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Lecturer</w:t>
            </w:r>
            <w:r w:rsidR="00B53ED0">
              <w:rPr>
                <w:rFonts w:ascii="Calibri" w:hAnsi="Calibri" w:cs="Arial"/>
                <w:b/>
                <w:color w:val="000000"/>
                <w:sz w:val="28"/>
                <w:szCs w:val="28"/>
                <w:lang w:val="en-AU"/>
              </w:rPr>
              <w:t xml:space="preserve"> </w:t>
            </w:r>
            <w:r w:rsidR="00141CED">
              <w:rPr>
                <w:rFonts w:ascii="Calibri" w:hAnsi="Calibri" w:cs="Arial"/>
                <w:b/>
                <w:color w:val="000000"/>
                <w:sz w:val="28"/>
                <w:szCs w:val="28"/>
                <w:lang w:val="en-AU"/>
              </w:rPr>
              <w:t>(</w:t>
            </w:r>
            <w:r w:rsidR="00B53ED0">
              <w:rPr>
                <w:rFonts w:ascii="Calibri" w:hAnsi="Calibri" w:cs="Arial"/>
                <w:b/>
                <w:color w:val="000000"/>
                <w:sz w:val="28"/>
                <w:szCs w:val="28"/>
                <w:lang w:val="en-AU"/>
              </w:rPr>
              <w:t>Teaching Focussed)</w:t>
            </w:r>
            <w:r w:rsidR="00141CED">
              <w:rPr>
                <w:rFonts w:ascii="Calibri" w:hAnsi="Calibri" w:cs="Arial"/>
                <w:b/>
                <w:color w:val="000000"/>
                <w:sz w:val="28"/>
                <w:szCs w:val="28"/>
                <w:lang w:val="en-AU"/>
              </w:rPr>
              <w:t xml:space="preserve"> – </w:t>
            </w:r>
            <w:r w:rsidR="00A425BA">
              <w:rPr>
                <w:rFonts w:ascii="Calibri" w:hAnsi="Calibri" w:cs="Arial"/>
                <w:b/>
                <w:color w:val="000000"/>
                <w:sz w:val="28"/>
                <w:szCs w:val="28"/>
                <w:lang w:val="en-AU"/>
              </w:rPr>
              <w:t xml:space="preserve">Ergonomics, Safety and </w:t>
            </w:r>
            <w:r w:rsidR="00843264">
              <w:rPr>
                <w:rFonts w:ascii="Calibri" w:hAnsi="Calibri" w:cs="Arial"/>
                <w:b/>
                <w:color w:val="000000"/>
                <w:sz w:val="28"/>
                <w:szCs w:val="28"/>
                <w:lang w:val="en-AU"/>
              </w:rPr>
              <w:t xml:space="preserve">Health </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166342" w:rsidP="007011D4">
            <w:pPr>
              <w:rPr>
                <w:rFonts w:ascii="Calibri" w:hAnsi="Calibri" w:cs="Arial"/>
                <w:color w:val="000000"/>
                <w:sz w:val="22"/>
                <w:szCs w:val="22"/>
                <w:lang w:val="en-AU"/>
              </w:rPr>
            </w:pPr>
            <w:r w:rsidRPr="00830506">
              <w:rPr>
                <w:rFonts w:ascii="Calibri" w:hAnsi="Calibri" w:cs="Arial"/>
                <w:color w:val="000000"/>
                <w:sz w:val="22"/>
                <w:szCs w:val="22"/>
                <w:lang w:val="en-AU"/>
              </w:rPr>
              <w:fldChar w:fldCharType="begin">
                <w:ffData>
                  <w:name w:val="Text1"/>
                  <w:enabled/>
                  <w:calcOnExit w:val="0"/>
                  <w:textInput/>
                </w:ffData>
              </w:fldChar>
            </w:r>
            <w:bookmarkStart w:id="1" w:name="Text1"/>
            <w:r w:rsidR="00E42ADC" w:rsidRPr="00830506">
              <w:rPr>
                <w:rFonts w:ascii="Calibri" w:hAnsi="Calibri" w:cs="Arial"/>
                <w:color w:val="000000"/>
                <w:sz w:val="22"/>
                <w:szCs w:val="22"/>
                <w:lang w:val="en-AU"/>
              </w:rPr>
              <w:instrText xml:space="preserve"> FORMTEXT </w:instrText>
            </w:r>
            <w:r w:rsidRPr="00830506">
              <w:rPr>
                <w:rFonts w:ascii="Calibri" w:hAnsi="Calibri" w:cs="Arial"/>
                <w:color w:val="000000"/>
                <w:sz w:val="22"/>
                <w:szCs w:val="22"/>
                <w:lang w:val="en-AU"/>
              </w:rPr>
            </w:r>
            <w:r w:rsidRPr="00830506">
              <w:rPr>
                <w:rFonts w:ascii="Calibri" w:hAnsi="Calibri" w:cs="Arial"/>
                <w:color w:val="000000"/>
                <w:sz w:val="22"/>
                <w:szCs w:val="22"/>
                <w:lang w:val="en-AU"/>
              </w:rPr>
              <w:fldChar w:fldCharType="separate"/>
            </w:r>
            <w:r w:rsidR="00E42ADC" w:rsidRPr="00830506">
              <w:rPr>
                <w:rFonts w:ascii="Calibri" w:hAnsi="Calibri" w:cs="Arial"/>
                <w:noProof/>
                <w:color w:val="000000"/>
                <w:sz w:val="22"/>
                <w:szCs w:val="22"/>
                <w:lang w:val="en-AU"/>
              </w:rPr>
              <w:t> </w:t>
            </w:r>
            <w:r w:rsidR="00E42ADC" w:rsidRPr="00830506">
              <w:rPr>
                <w:rFonts w:ascii="Calibri" w:hAnsi="Calibri" w:cs="Arial"/>
                <w:noProof/>
                <w:color w:val="000000"/>
                <w:sz w:val="22"/>
                <w:szCs w:val="22"/>
                <w:lang w:val="en-AU"/>
              </w:rPr>
              <w:t> </w:t>
            </w:r>
            <w:r w:rsidR="00E42ADC" w:rsidRPr="00830506">
              <w:rPr>
                <w:rFonts w:ascii="Calibri" w:hAnsi="Calibri" w:cs="Arial"/>
                <w:noProof/>
                <w:color w:val="000000"/>
                <w:sz w:val="22"/>
                <w:szCs w:val="22"/>
                <w:lang w:val="en-AU"/>
              </w:rPr>
              <w:t> </w:t>
            </w:r>
            <w:r w:rsidR="00E42ADC" w:rsidRPr="00830506">
              <w:rPr>
                <w:rFonts w:ascii="Calibri" w:hAnsi="Calibri" w:cs="Arial"/>
                <w:noProof/>
                <w:color w:val="000000"/>
                <w:sz w:val="22"/>
                <w:szCs w:val="22"/>
                <w:lang w:val="en-AU"/>
              </w:rPr>
              <w:t> </w:t>
            </w:r>
            <w:r w:rsidR="00E42ADC" w:rsidRPr="00830506">
              <w:rPr>
                <w:rFonts w:ascii="Calibri" w:hAnsi="Calibri" w:cs="Arial"/>
                <w:noProof/>
                <w:color w:val="000000"/>
                <w:sz w:val="22"/>
                <w:szCs w:val="22"/>
                <w:lang w:val="en-AU"/>
              </w:rPr>
              <w:t> </w:t>
            </w:r>
            <w:r w:rsidRPr="00830506">
              <w:rPr>
                <w:rFonts w:ascii="Calibri" w:hAnsi="Calibri" w:cs="Arial"/>
                <w:color w:val="000000"/>
                <w:sz w:val="22"/>
                <w:szCs w:val="22"/>
                <w:lang w:val="en-AU"/>
              </w:rPr>
              <w:fldChar w:fldCharType="end"/>
            </w:r>
            <w:bookmarkEnd w:id="1"/>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141CED" w:rsidP="007011D4">
            <w:pPr>
              <w:rPr>
                <w:rFonts w:ascii="Calibri" w:hAnsi="Calibri" w:cs="Arial"/>
                <w:color w:val="000000"/>
                <w:sz w:val="22"/>
                <w:szCs w:val="22"/>
                <w:lang w:val="en-AU"/>
              </w:rPr>
            </w:pPr>
            <w:r>
              <w:rPr>
                <w:rFonts w:ascii="Calibri" w:hAnsi="Calibri" w:cs="Arial"/>
                <w:color w:val="000000"/>
                <w:sz w:val="22"/>
                <w:szCs w:val="22"/>
                <w:lang w:val="en-AU"/>
              </w:rPr>
              <w:t>Public Health</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977216" w:rsidP="007011D4">
            <w:pPr>
              <w:rPr>
                <w:rFonts w:ascii="Calibri" w:hAnsi="Calibri" w:cs="Arial"/>
                <w:color w:val="000000"/>
                <w:sz w:val="22"/>
                <w:szCs w:val="22"/>
                <w:lang w:val="en-AU"/>
              </w:rPr>
            </w:pPr>
            <w:r>
              <w:rPr>
                <w:rFonts w:ascii="Calibri" w:hAnsi="Calibri" w:cs="Arial"/>
                <w:color w:val="000000"/>
                <w:sz w:val="22"/>
                <w:szCs w:val="22"/>
                <w:lang w:val="en-AU"/>
              </w:rPr>
              <w:t xml:space="preserve">School of </w:t>
            </w:r>
            <w:r w:rsidR="00141CED">
              <w:rPr>
                <w:rFonts w:ascii="Calibri" w:hAnsi="Calibri" w:cs="Arial"/>
                <w:color w:val="000000"/>
                <w:sz w:val="22"/>
                <w:szCs w:val="22"/>
                <w:lang w:val="en-AU"/>
              </w:rPr>
              <w:t>Psychology &amp; Public Health</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C43251" w:rsidP="007011D4">
            <w:pPr>
              <w:rPr>
                <w:rFonts w:ascii="Calibri" w:hAnsi="Calibri" w:cs="Arial"/>
                <w:color w:val="000000"/>
                <w:sz w:val="22"/>
                <w:szCs w:val="22"/>
                <w:lang w:val="en-AU"/>
              </w:rPr>
            </w:pPr>
            <w:r>
              <w:rPr>
                <w:rFonts w:asciiTheme="minorHAnsi" w:hAnsiTheme="minorHAnsi" w:cs="Arial"/>
                <w:color w:val="000000"/>
                <w:sz w:val="22"/>
                <w:szCs w:val="22"/>
                <w:lang w:val="en-AU"/>
              </w:rPr>
              <w:t>Melbourne (Various)</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tbl>
            <w:tblPr>
              <w:tblW w:w="0" w:type="auto"/>
              <w:tblBorders>
                <w:insideV w:val="single" w:sz="4" w:space="0" w:color="auto"/>
              </w:tblBorders>
              <w:tblLook w:val="01E0" w:firstRow="1" w:lastRow="1" w:firstColumn="1" w:lastColumn="1" w:noHBand="0" w:noVBand="0"/>
            </w:tblPr>
            <w:tblGrid>
              <w:gridCol w:w="5824"/>
            </w:tblGrid>
            <w:tr w:rsidR="00141CED" w:rsidRPr="0043618D" w:rsidTr="00520D7C">
              <w:tc>
                <w:tcPr>
                  <w:tcW w:w="6157" w:type="dxa"/>
                  <w:tcBorders>
                    <w:left w:val="nil"/>
                  </w:tcBorders>
                </w:tcPr>
                <w:p w:rsidR="00FE0957" w:rsidRDefault="00FE0957" w:rsidP="00FE0957">
                  <w:pPr>
                    <w:ind w:left="-87"/>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Fixed Term, 12 Months, Part-time (0.6 FTE) </w:t>
                  </w:r>
                </w:p>
                <w:p w:rsidR="00FE0957" w:rsidRDefault="00FE0957" w:rsidP="00FE0957">
                  <w:pPr>
                    <w:ind w:left="-87"/>
                    <w:rPr>
                      <w:rFonts w:asciiTheme="minorHAnsi" w:hAnsiTheme="minorHAnsi" w:cs="Arial"/>
                      <w:color w:val="000000"/>
                      <w:sz w:val="22"/>
                      <w:szCs w:val="22"/>
                      <w:lang w:val="en-AU"/>
                    </w:rPr>
                  </w:pPr>
                  <w:r w:rsidRPr="00B11AF4">
                    <w:rPr>
                      <w:rFonts w:asciiTheme="minorHAnsi" w:hAnsiTheme="minorHAnsi" w:cs="Arial"/>
                      <w:sz w:val="22"/>
                      <w:szCs w:val="22"/>
                      <w:lang w:val="en-AU"/>
                    </w:rPr>
                    <w:t xml:space="preserve">Fixed term contract type: </w:t>
                  </w:r>
                  <w:r>
                    <w:rPr>
                      <w:rFonts w:asciiTheme="minorHAnsi" w:hAnsiTheme="minorHAnsi" w:cs="Arial"/>
                      <w:sz w:val="22"/>
                      <w:szCs w:val="22"/>
                      <w:lang w:val="en-AU"/>
                    </w:rPr>
                    <w:t>Replacement Employee</w:t>
                  </w:r>
                  <w:r w:rsidRPr="0043618D">
                    <w:rPr>
                      <w:rFonts w:asciiTheme="minorHAnsi" w:hAnsiTheme="minorHAnsi" w:cs="Arial"/>
                      <w:color w:val="000000"/>
                      <w:sz w:val="22"/>
                      <w:szCs w:val="22"/>
                      <w:lang w:val="en-AU"/>
                    </w:rPr>
                    <w:t xml:space="preserve"> </w:t>
                  </w:r>
                </w:p>
                <w:p w:rsidR="00141CED" w:rsidRPr="0043618D" w:rsidRDefault="00141CED" w:rsidP="00141CED">
                  <w:pPr>
                    <w:rPr>
                      <w:rFonts w:asciiTheme="minorHAnsi" w:hAnsiTheme="minorHAnsi" w:cs="Arial"/>
                      <w:color w:val="000000"/>
                      <w:sz w:val="22"/>
                      <w:szCs w:val="22"/>
                      <w:lang w:val="en-AU"/>
                    </w:rPr>
                  </w:pPr>
                </w:p>
              </w:tc>
            </w:tr>
          </w:tbl>
          <w:p w:rsidR="00E42ADC" w:rsidRPr="00830506" w:rsidRDefault="00E42ADC" w:rsidP="007011D4">
            <w:pPr>
              <w:rPr>
                <w:rFonts w:ascii="Calibri" w:hAnsi="Calibri" w:cs="Arial"/>
                <w:color w:val="000000"/>
                <w:sz w:val="22"/>
                <w:szCs w:val="22"/>
                <w:lang w:val="en-AU"/>
              </w:rPr>
            </w:pPr>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977216" w:rsidRPr="00853B66" w:rsidRDefault="00977216" w:rsidP="00977216">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Acting </w:t>
            </w:r>
            <w:r w:rsidRPr="00853B66">
              <w:rPr>
                <w:rFonts w:asciiTheme="minorHAnsi" w:hAnsiTheme="minorHAnsi" w:cs="Arial"/>
                <w:color w:val="000000"/>
                <w:sz w:val="22"/>
                <w:szCs w:val="22"/>
                <w:lang w:val="en-AU"/>
              </w:rPr>
              <w:t>Discipline</w:t>
            </w:r>
            <w:r>
              <w:rPr>
                <w:rFonts w:asciiTheme="minorHAnsi" w:hAnsiTheme="minorHAnsi" w:cs="Arial"/>
                <w:color w:val="000000"/>
                <w:sz w:val="22"/>
                <w:szCs w:val="22"/>
                <w:lang w:val="en-AU"/>
              </w:rPr>
              <w:t xml:space="preserve"> Lead</w:t>
            </w:r>
            <w:r w:rsidRPr="00853B66">
              <w:rPr>
                <w:rFonts w:asciiTheme="minorHAnsi" w:hAnsiTheme="minorHAnsi" w:cs="Arial"/>
                <w:color w:val="000000"/>
                <w:sz w:val="22"/>
                <w:szCs w:val="22"/>
                <w:lang w:val="en-AU"/>
              </w:rPr>
              <w:t xml:space="preserve">, </w:t>
            </w:r>
            <w:r>
              <w:rPr>
                <w:rFonts w:asciiTheme="minorHAnsi" w:hAnsiTheme="minorHAnsi" w:cs="Arial"/>
                <w:color w:val="000000"/>
                <w:sz w:val="22"/>
                <w:szCs w:val="22"/>
                <w:lang w:val="en-AU"/>
              </w:rPr>
              <w:t>Ergonomics, Safety and Health</w:t>
            </w:r>
          </w:p>
          <w:p w:rsidR="00843264" w:rsidRPr="00830506" w:rsidRDefault="00977216" w:rsidP="00977216">
            <w:pPr>
              <w:rPr>
                <w:rFonts w:ascii="Calibri" w:hAnsi="Calibri" w:cs="Arial"/>
                <w:color w:val="000000"/>
                <w:sz w:val="22"/>
                <w:szCs w:val="22"/>
                <w:lang w:val="en-AU"/>
              </w:rPr>
            </w:pPr>
            <w:r>
              <w:rPr>
                <w:rFonts w:asciiTheme="minorHAnsi" w:hAnsiTheme="minorHAnsi" w:cs="Arial"/>
                <w:color w:val="000000"/>
                <w:sz w:val="22"/>
                <w:szCs w:val="22"/>
                <w:lang w:val="en-AU"/>
              </w:rPr>
              <w:t>50037978</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F24B15"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977216" w:rsidRPr="003B0155" w:rsidRDefault="00977216" w:rsidP="00977216">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Pr="003B0155">
          <w:rPr>
            <w:rStyle w:val="Hyperlink"/>
            <w:rFonts w:asciiTheme="minorHAnsi" w:hAnsiTheme="minorHAnsi" w:cs="Arial"/>
            <w:sz w:val="22"/>
            <w:szCs w:val="22"/>
            <w:lang w:val="en-AU"/>
          </w:rPr>
          <w:t>http://www.latrobe.edu.au/about</w:t>
        </w:r>
      </w:hyperlink>
      <w:r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rsidR="00977216" w:rsidRPr="003B0155" w:rsidRDefault="00977216" w:rsidP="00977216">
      <w:pPr>
        <w:rPr>
          <w:rFonts w:asciiTheme="minorHAnsi" w:hAnsiTheme="minorHAnsi" w:cs="Arial"/>
          <w:sz w:val="22"/>
          <w:szCs w:val="22"/>
          <w:lang w:val="en-AU"/>
        </w:rPr>
      </w:pPr>
    </w:p>
    <w:p w:rsidR="00977216" w:rsidRDefault="00977216" w:rsidP="00977216">
      <w:pPr>
        <w:outlineLvl w:val="0"/>
        <w:rPr>
          <w:rStyle w:val="Hyperlink"/>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rsidR="00977216" w:rsidRDefault="00977216" w:rsidP="00977216">
      <w:pPr>
        <w:outlineLvl w:val="0"/>
        <w:rPr>
          <w:rFonts w:asciiTheme="minorHAnsi" w:hAnsiTheme="minorHAnsi" w:cs="Arial"/>
          <w:sz w:val="22"/>
          <w:szCs w:val="22"/>
        </w:rPr>
      </w:pPr>
    </w:p>
    <w:p w:rsidR="00977216" w:rsidRDefault="00977216" w:rsidP="00977216">
      <w:pPr>
        <w:outlineLvl w:val="0"/>
        <w:rPr>
          <w:rFonts w:asciiTheme="minorHAnsi" w:hAnsiTheme="minorHAnsi" w:cs="Arial"/>
          <w:sz w:val="22"/>
          <w:szCs w:val="22"/>
        </w:rPr>
      </w:pPr>
      <w:r>
        <w:rPr>
          <w:rFonts w:asciiTheme="minorHAnsi" w:hAnsiTheme="minorHAnsi" w:cs="Arial"/>
          <w:sz w:val="22"/>
          <w:szCs w:val="22"/>
        </w:rPr>
        <w:t xml:space="preserve">School of Psychology &amp; Public Health - </w:t>
      </w:r>
      <w:hyperlink r:id="rId11" w:history="1">
        <w:r w:rsidRPr="00F57926">
          <w:rPr>
            <w:rStyle w:val="Hyperlink"/>
            <w:rFonts w:asciiTheme="minorHAnsi" w:hAnsiTheme="minorHAnsi" w:cs="Arial"/>
            <w:sz w:val="22"/>
            <w:szCs w:val="22"/>
          </w:rPr>
          <w:t>https://www.latrobe.edu.au/school-psychology-and-public-health</w:t>
        </w:r>
      </w:hyperlink>
      <w:r>
        <w:rPr>
          <w:rFonts w:asciiTheme="minorHAnsi" w:hAnsiTheme="minorHAnsi" w:cs="Arial"/>
          <w:sz w:val="22"/>
          <w:szCs w:val="22"/>
        </w:rPr>
        <w:t xml:space="preserve"> </w:t>
      </w:r>
    </w:p>
    <w:p w:rsidR="00977216" w:rsidRDefault="00977216" w:rsidP="00977216">
      <w:pPr>
        <w:outlineLvl w:val="0"/>
        <w:rPr>
          <w:rFonts w:asciiTheme="minorHAnsi" w:hAnsiTheme="minorHAnsi" w:cs="Arial"/>
          <w:sz w:val="22"/>
          <w:szCs w:val="22"/>
        </w:rPr>
      </w:pPr>
    </w:p>
    <w:p w:rsidR="00977216" w:rsidRDefault="00977216" w:rsidP="00977216">
      <w:pPr>
        <w:outlineLvl w:val="0"/>
        <w:rPr>
          <w:rFonts w:asciiTheme="minorHAnsi" w:hAnsiTheme="minorHAnsi" w:cs="Arial"/>
          <w:sz w:val="22"/>
          <w:szCs w:val="22"/>
        </w:rPr>
      </w:pPr>
      <w:r>
        <w:rPr>
          <w:rFonts w:asciiTheme="minorHAnsi" w:hAnsiTheme="minorHAnsi" w:cstheme="minorHAnsi"/>
          <w:sz w:val="22"/>
          <w:szCs w:val="22"/>
        </w:rPr>
        <w:t xml:space="preserve">Department of Public Health </w:t>
      </w:r>
      <w:r w:rsidRPr="003A1CFA">
        <w:rPr>
          <w:rFonts w:asciiTheme="minorHAnsi" w:hAnsiTheme="minorHAnsi" w:cstheme="minorHAnsi"/>
          <w:sz w:val="22"/>
          <w:szCs w:val="22"/>
        </w:rPr>
        <w:t xml:space="preserve">– </w:t>
      </w:r>
      <w:hyperlink r:id="rId12" w:history="1">
        <w:r w:rsidRPr="00F4194F">
          <w:rPr>
            <w:rStyle w:val="Hyperlink"/>
            <w:rFonts w:asciiTheme="minorHAnsi" w:hAnsiTheme="minorHAnsi"/>
            <w:sz w:val="22"/>
            <w:szCs w:val="22"/>
          </w:rPr>
          <w:t>http://www.latrobe.edu.au/public-health</w:t>
        </w:r>
      </w:hyperlink>
    </w:p>
    <w:p w:rsidR="00E42ADC" w:rsidRPr="00830506" w:rsidRDefault="00E42ADC" w:rsidP="00E42ADC">
      <w:pPr>
        <w:rPr>
          <w:rFonts w:ascii="Calibri" w:hAnsi="Calibri" w:cs="Arial"/>
          <w:sz w:val="22"/>
          <w:szCs w:val="22"/>
        </w:rPr>
      </w:pPr>
    </w:p>
    <w:p w:rsidR="002A38C3" w:rsidRPr="00830506" w:rsidRDefault="00A62A57" w:rsidP="002A38C3">
      <w:pPr>
        <w:rPr>
          <w:rFonts w:ascii="Calibri" w:hAnsi="Calibri"/>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68B4E2"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141CED" w:rsidRDefault="00141CED" w:rsidP="00DE7D17">
      <w:pPr>
        <w:pStyle w:val="Default"/>
        <w:rPr>
          <w:b/>
          <w:bCs/>
          <w:sz w:val="22"/>
          <w:szCs w:val="22"/>
        </w:rPr>
      </w:pPr>
      <w:r>
        <w:rPr>
          <w:b/>
          <w:bCs/>
          <w:sz w:val="22"/>
          <w:szCs w:val="22"/>
        </w:rPr>
        <w:t>Position Context</w:t>
      </w:r>
    </w:p>
    <w:p w:rsidR="00C43251" w:rsidRDefault="00C43251" w:rsidP="00C43251">
      <w:pPr>
        <w:jc w:val="both"/>
        <w:rPr>
          <w:rFonts w:asciiTheme="minorHAnsi" w:hAnsiTheme="minorHAnsi"/>
          <w:sz w:val="22"/>
          <w:szCs w:val="22"/>
        </w:rPr>
      </w:pPr>
    </w:p>
    <w:p w:rsidR="00C43251" w:rsidRPr="005F07A3" w:rsidRDefault="00C43251" w:rsidP="00C43251">
      <w:pPr>
        <w:jc w:val="both"/>
        <w:rPr>
          <w:rFonts w:asciiTheme="minorHAnsi" w:hAnsiTheme="minorHAnsi"/>
          <w:sz w:val="22"/>
          <w:szCs w:val="22"/>
        </w:rPr>
      </w:pPr>
      <w:r w:rsidRPr="005F07A3">
        <w:rPr>
          <w:rFonts w:asciiTheme="minorHAnsi" w:hAnsiTheme="minorHAnsi"/>
          <w:sz w:val="22"/>
          <w:szCs w:val="22"/>
        </w:rPr>
        <w:t>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rsidR="00C43251" w:rsidRPr="005F07A3" w:rsidRDefault="00C43251" w:rsidP="00C43251">
      <w:pPr>
        <w:rPr>
          <w:rFonts w:asciiTheme="minorHAnsi" w:hAnsiTheme="minorHAnsi" w:cs="Calibri"/>
          <w:b/>
          <w:snapToGrid/>
          <w:sz w:val="22"/>
          <w:szCs w:val="22"/>
          <w:lang w:val="en-AU" w:eastAsia="en-AU"/>
        </w:rPr>
      </w:pPr>
    </w:p>
    <w:p w:rsidR="00C43251" w:rsidRPr="005F07A3" w:rsidRDefault="00C43251" w:rsidP="00C43251">
      <w:pPr>
        <w:jc w:val="both"/>
        <w:rPr>
          <w:rFonts w:ascii="Calibri" w:hAnsi="Calibri" w:cs="Calibri"/>
          <w:snapToGrid/>
          <w:sz w:val="22"/>
          <w:szCs w:val="22"/>
          <w:lang w:eastAsia="en-AU"/>
        </w:rPr>
      </w:pPr>
      <w:r w:rsidRPr="005F07A3">
        <w:rPr>
          <w:rFonts w:ascii="Calibri" w:hAnsi="Calibri" w:cs="Calibri"/>
          <w:snapToGrid/>
          <w:sz w:val="22"/>
          <w:szCs w:val="22"/>
          <w:lang w:eastAsia="en-AU"/>
        </w:rPr>
        <w:t xml:space="preserve">One of the larger Schools within the College, the School of Psychology &amp; Public Health undertakes teaching and research across a broad range of disciplines, including: Public Health; Rehabilitation Counselling; </w:t>
      </w:r>
      <w:r>
        <w:rPr>
          <w:rFonts w:ascii="Calibri" w:hAnsi="Calibri" w:cs="Calibri"/>
          <w:snapToGrid/>
          <w:sz w:val="22"/>
          <w:szCs w:val="22"/>
          <w:lang w:eastAsia="en-AU"/>
        </w:rPr>
        <w:t>Digital Health and</w:t>
      </w:r>
      <w:r w:rsidR="00D629A5">
        <w:rPr>
          <w:rFonts w:ascii="Calibri" w:hAnsi="Calibri" w:cs="Calibri"/>
          <w:snapToGrid/>
          <w:sz w:val="22"/>
          <w:szCs w:val="22"/>
          <w:lang w:eastAsia="en-AU"/>
        </w:rPr>
        <w:t xml:space="preserve"> Analytics;</w:t>
      </w:r>
      <w:r>
        <w:rPr>
          <w:rFonts w:ascii="Calibri" w:hAnsi="Calibri" w:cs="Calibri"/>
          <w:snapToGrid/>
          <w:sz w:val="22"/>
          <w:szCs w:val="22"/>
          <w:lang w:eastAsia="en-AU"/>
        </w:rPr>
        <w:t xml:space="preserve"> </w:t>
      </w:r>
      <w:r w:rsidRPr="005F07A3">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5F07A3">
        <w:rPr>
          <w:rFonts w:ascii="Calibri" w:hAnsi="Calibri" w:cs="Calibri"/>
          <w:snapToGrid/>
          <w:sz w:val="22"/>
          <w:szCs w:val="22"/>
          <w:lang w:eastAsia="en-AU"/>
        </w:rPr>
        <w:t xml:space="preserve"> Ergonomics, Safety and Health; Art Therapy; Psychology; Neuroscience; and Counselling.  The School currently comprises seven academic units: the Department of Public Health, the Department of Psychology &amp; Counselling, the Olga Tennison Autism Research Centre (OTARC), The Bouverie </w:t>
      </w:r>
      <w:r w:rsidRPr="005F07A3">
        <w:rPr>
          <w:rFonts w:asciiTheme="minorHAnsi" w:hAnsiTheme="minorHAnsi" w:cstheme="minorHAnsi"/>
          <w:snapToGrid/>
          <w:sz w:val="22"/>
          <w:szCs w:val="22"/>
          <w:lang w:eastAsia="en-AU"/>
        </w:rPr>
        <w:t xml:space="preserve">Centre, </w:t>
      </w:r>
      <w:bookmarkStart w:id="2" w:name="_Hlk519092577"/>
      <w:r w:rsidRPr="005F07A3">
        <w:rPr>
          <w:rFonts w:asciiTheme="minorHAnsi" w:hAnsiTheme="minorHAnsi" w:cstheme="minorHAnsi"/>
          <w:snapToGrid/>
          <w:sz w:val="22"/>
          <w:szCs w:val="22"/>
          <w:lang w:eastAsia="en-AU"/>
        </w:rPr>
        <w:t>t</w:t>
      </w:r>
      <w:r w:rsidRPr="005F07A3">
        <w:rPr>
          <w:rFonts w:asciiTheme="minorHAnsi" w:hAnsiTheme="minorHAnsi" w:cstheme="minorHAnsi"/>
          <w:sz w:val="22"/>
          <w:szCs w:val="22"/>
          <w:shd w:val="clear" w:color="auto" w:fill="FFFFFF"/>
        </w:rPr>
        <w:t xml:space="preserve">he Centre for Alcohol Policy Research </w:t>
      </w:r>
      <w:r w:rsidRPr="00C43251">
        <w:rPr>
          <w:rFonts w:asciiTheme="minorHAnsi" w:hAnsiTheme="minorHAnsi" w:cstheme="minorHAnsi"/>
          <w:sz w:val="22"/>
          <w:szCs w:val="22"/>
          <w:shd w:val="clear" w:color="auto" w:fill="FFFFFF"/>
        </w:rPr>
        <w:t>(</w:t>
      </w:r>
      <w:r w:rsidRPr="00C43251">
        <w:rPr>
          <w:rStyle w:val="Emphasis"/>
          <w:rFonts w:asciiTheme="minorHAnsi" w:hAnsiTheme="minorHAnsi" w:cstheme="minorHAnsi"/>
          <w:bCs/>
          <w:i w:val="0"/>
          <w:sz w:val="22"/>
          <w:szCs w:val="22"/>
          <w:shd w:val="clear" w:color="auto" w:fill="FFFFFF"/>
        </w:rPr>
        <w:t>CAPR</w:t>
      </w:r>
      <w:r w:rsidRPr="00C43251">
        <w:rPr>
          <w:rFonts w:asciiTheme="minorHAnsi" w:hAnsiTheme="minorHAnsi" w:cstheme="minorHAnsi"/>
          <w:sz w:val="22"/>
          <w:szCs w:val="22"/>
          <w:shd w:val="clear" w:color="auto" w:fill="FFFFFF"/>
        </w:rPr>
        <w:t>),</w:t>
      </w:r>
      <w:r w:rsidRPr="005F07A3">
        <w:rPr>
          <w:rFonts w:asciiTheme="minorHAnsi" w:hAnsiTheme="minorHAnsi" w:cstheme="minorHAnsi"/>
          <w:sz w:val="22"/>
          <w:szCs w:val="22"/>
          <w:shd w:val="clear" w:color="auto" w:fill="FFFFFF"/>
        </w:rPr>
        <w:t xml:space="preserve"> the Centre for Health Communication and Participation (CHCP) </w:t>
      </w:r>
      <w:bookmarkEnd w:id="2"/>
      <w:r w:rsidRPr="005F07A3">
        <w:rPr>
          <w:rFonts w:asciiTheme="minorHAnsi" w:hAnsiTheme="minorHAnsi" w:cstheme="minorHAnsi"/>
          <w:snapToGrid/>
          <w:sz w:val="22"/>
          <w:szCs w:val="22"/>
          <w:lang w:eastAsia="en-AU"/>
        </w:rPr>
        <w:t>and the Australian Research Centre in Sex, Health and Society (ARCSHS).</w:t>
      </w:r>
    </w:p>
    <w:p w:rsidR="00C43251" w:rsidRPr="005F07A3" w:rsidRDefault="00C43251" w:rsidP="00C43251">
      <w:pPr>
        <w:rPr>
          <w:rFonts w:asciiTheme="minorHAnsi" w:hAnsiTheme="minorHAnsi" w:cs="Calibri"/>
          <w:snapToGrid/>
          <w:sz w:val="22"/>
          <w:szCs w:val="22"/>
          <w:lang w:eastAsia="en-AU"/>
        </w:rPr>
      </w:pPr>
    </w:p>
    <w:p w:rsidR="00C43251" w:rsidRPr="005F07A3" w:rsidRDefault="00C43251" w:rsidP="00C43251">
      <w:pPr>
        <w:pStyle w:val="CommentText"/>
        <w:jc w:val="both"/>
        <w:rPr>
          <w:rFonts w:asciiTheme="minorHAnsi" w:hAnsiTheme="minorHAnsi"/>
          <w:sz w:val="22"/>
          <w:szCs w:val="22"/>
          <w:lang w:val="en"/>
        </w:rPr>
      </w:pPr>
      <w:r w:rsidRPr="005F07A3">
        <w:rPr>
          <w:rFonts w:asciiTheme="minorHAnsi" w:hAnsiTheme="minorHAnsi"/>
          <w:sz w:val="22"/>
          <w:szCs w:val="22"/>
          <w:lang w:val="en"/>
        </w:rPr>
        <w:t xml:space="preserve">The Department of Public Health is </w:t>
      </w:r>
      <w:bookmarkStart w:id="3" w:name="_Hlk519092721"/>
      <w:r w:rsidRPr="005F07A3">
        <w:rPr>
          <w:rFonts w:asciiTheme="minorHAnsi" w:hAnsiTheme="minorHAnsi"/>
          <w:sz w:val="22"/>
          <w:szCs w:val="22"/>
          <w:lang w:val="en"/>
        </w:rPr>
        <w:t xml:space="preserve">a leading authority in many areas of public health including </w:t>
      </w:r>
      <w:bookmarkEnd w:id="3"/>
      <w:r w:rsidRPr="005F07A3">
        <w:rPr>
          <w:rFonts w:asciiTheme="minorHAnsi" w:hAnsiTheme="minorHAnsi"/>
          <w:sz w:val="22"/>
          <w:szCs w:val="22"/>
          <w:lang w:val="en"/>
        </w:rPr>
        <w:t>health policy, health promotion, health administration, health information management and informatics, art therapy, occupational health and safety, palliative care and rehabilitation counselling.</w:t>
      </w:r>
      <w:r w:rsidRPr="005F07A3">
        <w:rPr>
          <w:rStyle w:val="CommentReference"/>
        </w:rPr>
        <w:t xml:space="preserve">  </w:t>
      </w:r>
      <w:r w:rsidRPr="005F07A3">
        <w:rPr>
          <w:rFonts w:asciiTheme="minorHAnsi" w:hAnsi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5F07A3">
        <w:rPr>
          <w:rFonts w:asciiTheme="minorHAnsi" w:hAnsiTheme="minorHAnsi"/>
          <w:sz w:val="22"/>
          <w:szCs w:val="22"/>
        </w:rPr>
        <w:t xml:space="preserve">behavior change in sport, exercise and rehabilitation, occupational health, </w:t>
      </w:r>
      <w:r w:rsidRPr="005F07A3">
        <w:rPr>
          <w:rFonts w:asciiTheme="minorHAnsi" w:hAnsi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5F07A3">
        <w:rPr>
          <w:rFonts w:asciiTheme="minorHAnsi" w:hAnsiTheme="minorHAnsi"/>
          <w:i/>
          <w:sz w:val="22"/>
          <w:szCs w:val="22"/>
          <w:lang w:val="en"/>
        </w:rPr>
        <w:t>Building Healthy Communities</w:t>
      </w:r>
      <w:r w:rsidRPr="005F07A3">
        <w:rPr>
          <w:rFonts w:asciiTheme="minorHAnsi" w:hAnsiTheme="minorHAnsi"/>
          <w:sz w:val="22"/>
          <w:szCs w:val="22"/>
          <w:lang w:val="en"/>
        </w:rPr>
        <w:t xml:space="preserve"> and </w:t>
      </w:r>
      <w:r w:rsidRPr="005F07A3">
        <w:rPr>
          <w:rFonts w:asciiTheme="minorHAnsi" w:hAnsiTheme="minorHAnsi"/>
          <w:i/>
          <w:sz w:val="22"/>
          <w:szCs w:val="22"/>
          <w:lang w:val="en"/>
        </w:rPr>
        <w:t>Sport, Exercise and Rehabilitation</w:t>
      </w:r>
      <w:r w:rsidRPr="005F07A3">
        <w:rPr>
          <w:rFonts w:asciiTheme="minorHAnsi" w:hAnsiTheme="minorHAnsi"/>
          <w:sz w:val="22"/>
          <w:szCs w:val="22"/>
          <w:lang w:val="en"/>
        </w:rPr>
        <w:t xml:space="preserve">.  The Department </w:t>
      </w:r>
      <w:r w:rsidRPr="005F07A3">
        <w:rPr>
          <w:rFonts w:asciiTheme="minorHAnsi" w:hAnsiTheme="minorHAnsi" w:cs="Calibri"/>
          <w:snapToGrid/>
          <w:sz w:val="22"/>
          <w:szCs w:val="22"/>
          <w:lang w:eastAsia="en-AU"/>
        </w:rPr>
        <w:t>has a dynamic higher degree program in a range of areas, with</w:t>
      </w:r>
      <w:r w:rsidRPr="005F07A3">
        <w:rPr>
          <w:rFonts w:asciiTheme="minorHAnsi" w:hAnsiTheme="minorHAnsi"/>
          <w:sz w:val="22"/>
          <w:szCs w:val="22"/>
          <w:lang w:val="en"/>
        </w:rPr>
        <w:t xml:space="preserve"> large numbers of </w:t>
      </w:r>
      <w:proofErr w:type="spellStart"/>
      <w:r w:rsidRPr="005F07A3">
        <w:rPr>
          <w:rFonts w:asciiTheme="minorHAnsi" w:hAnsiTheme="minorHAnsi"/>
          <w:sz w:val="22"/>
          <w:szCs w:val="22"/>
          <w:lang w:val="en"/>
        </w:rPr>
        <w:t>Honours</w:t>
      </w:r>
      <w:proofErr w:type="spellEnd"/>
      <w:r w:rsidRPr="005F07A3">
        <w:rPr>
          <w:rFonts w:asciiTheme="minorHAnsi" w:hAnsiTheme="minorHAnsi"/>
          <w:sz w:val="22"/>
          <w:szCs w:val="22"/>
          <w:lang w:val="en"/>
        </w:rPr>
        <w:t xml:space="preserve">, PhD and Doctor of Public Health students from Australia and overseas. </w:t>
      </w:r>
    </w:p>
    <w:p w:rsidR="00C43251" w:rsidRPr="00407793" w:rsidRDefault="00C43251" w:rsidP="00C43251">
      <w:pPr>
        <w:jc w:val="both"/>
        <w:rPr>
          <w:rFonts w:asciiTheme="minorHAnsi" w:hAnsiTheme="minorHAnsi"/>
          <w:sz w:val="22"/>
          <w:szCs w:val="22"/>
          <w:lang w:val="en"/>
        </w:rPr>
      </w:pPr>
    </w:p>
    <w:p w:rsidR="00C43251" w:rsidRDefault="00C43251" w:rsidP="00C43251">
      <w:pPr>
        <w:jc w:val="both"/>
        <w:rPr>
          <w:rFonts w:asciiTheme="minorHAnsi" w:hAnsiTheme="minorHAnsi"/>
          <w:sz w:val="22"/>
          <w:szCs w:val="22"/>
          <w:lang w:val="en"/>
        </w:rPr>
      </w:pPr>
      <w:r w:rsidRPr="005F07A3">
        <w:rPr>
          <w:rFonts w:asciiTheme="minorHAnsi" w:hAnsiTheme="minorHAnsi"/>
          <w:sz w:val="22"/>
          <w:szCs w:val="22"/>
          <w:lang w:val="en"/>
        </w:rPr>
        <w:t xml:space="preserve">The Department offers a range of flexible undergraduate and postgraduate courses by which it aims to improve the health and wellbeing of individuals and communities through excellence in teaching and research. </w:t>
      </w:r>
      <w:bookmarkStart w:id="4" w:name="_Hlk519093418"/>
      <w:r w:rsidRPr="005F07A3">
        <w:rPr>
          <w:rFonts w:asciiTheme="minorHAnsi" w:hAnsiTheme="minorHAnsi"/>
          <w:sz w:val="22"/>
          <w:szCs w:val="22"/>
          <w:lang w:val="en"/>
        </w:rPr>
        <w:t>The courses include</w:t>
      </w:r>
      <w:r>
        <w:rPr>
          <w:rFonts w:asciiTheme="minorHAnsi" w:hAnsiTheme="minorHAnsi"/>
          <w:sz w:val="22"/>
          <w:szCs w:val="22"/>
          <w:lang w:val="en"/>
        </w:rPr>
        <w:t xml:space="preserve"> a Bachelor of Health Sciences </w:t>
      </w:r>
      <w:r w:rsidRPr="005F07A3">
        <w:rPr>
          <w:rFonts w:asciiTheme="minorHAnsi" w:hAnsiTheme="minorHAnsi"/>
          <w:sz w:val="22"/>
          <w:szCs w:val="22"/>
          <w:lang w:val="en"/>
        </w:rPr>
        <w:t>with majors in public health</w:t>
      </w:r>
      <w:r>
        <w:rPr>
          <w:rFonts w:asciiTheme="minorHAnsi" w:hAnsiTheme="minorHAnsi"/>
          <w:sz w:val="22"/>
          <w:szCs w:val="22"/>
          <w:lang w:val="en"/>
        </w:rPr>
        <w:t>;</w:t>
      </w:r>
      <w:r w:rsidRPr="005F07A3">
        <w:rPr>
          <w:rFonts w:asciiTheme="minorHAnsi" w:hAnsiTheme="minorHAnsi"/>
          <w:sz w:val="22"/>
          <w:szCs w:val="22"/>
          <w:lang w:val="en"/>
        </w:rPr>
        <w:t xml:space="preserve"> health promotion</w:t>
      </w:r>
      <w:r>
        <w:rPr>
          <w:rFonts w:asciiTheme="minorHAnsi" w:hAnsiTheme="minorHAnsi"/>
          <w:sz w:val="22"/>
          <w:szCs w:val="22"/>
          <w:lang w:val="en"/>
        </w:rPr>
        <w:t xml:space="preserve">; </w:t>
      </w:r>
      <w:r w:rsidRPr="005F07A3">
        <w:rPr>
          <w:rFonts w:asciiTheme="minorHAnsi" w:hAnsiTheme="minorHAnsi"/>
          <w:sz w:val="22"/>
          <w:szCs w:val="22"/>
          <w:lang w:val="en"/>
        </w:rPr>
        <w:t>rehabilitation counselling</w:t>
      </w:r>
      <w:r>
        <w:rPr>
          <w:rFonts w:asciiTheme="minorHAnsi" w:hAnsiTheme="minorHAnsi"/>
          <w:sz w:val="22"/>
          <w:szCs w:val="22"/>
          <w:lang w:val="en"/>
        </w:rPr>
        <w:t xml:space="preserve">; </w:t>
      </w:r>
      <w:r w:rsidRPr="005F07A3">
        <w:rPr>
          <w:rFonts w:asciiTheme="minorHAnsi" w:hAnsiTheme="minorHAnsi"/>
          <w:sz w:val="22"/>
          <w:szCs w:val="22"/>
          <w:lang w:val="en"/>
        </w:rPr>
        <w:t>sports counselling and athlete welfare</w:t>
      </w:r>
      <w:r>
        <w:rPr>
          <w:rFonts w:asciiTheme="minorHAnsi" w:hAnsiTheme="minorHAnsi"/>
          <w:sz w:val="22"/>
          <w:szCs w:val="22"/>
          <w:lang w:val="en"/>
        </w:rPr>
        <w:t>; and medical classification, the latter being offered as a combined degree with a Bachelor of Health Information Management.  F</w:t>
      </w:r>
      <w:bookmarkEnd w:id="4"/>
      <w:r w:rsidRPr="005F07A3">
        <w:rPr>
          <w:rFonts w:asciiTheme="minorHAnsi" w:hAnsiTheme="minorHAnsi"/>
          <w:sz w:val="22"/>
          <w:szCs w:val="22"/>
          <w:lang w:val="en"/>
        </w:rPr>
        <w:t xml:space="preserve">lagship </w:t>
      </w:r>
      <w:bookmarkStart w:id="5" w:name="_Hlk519093678"/>
      <w:r w:rsidRPr="005F07A3">
        <w:rPr>
          <w:rFonts w:asciiTheme="minorHAnsi" w:hAnsiTheme="minorHAnsi"/>
          <w:sz w:val="22"/>
          <w:szCs w:val="22"/>
          <w:lang w:val="en"/>
        </w:rPr>
        <w:t>postgraduate masters’ degrees</w:t>
      </w:r>
      <w:r>
        <w:rPr>
          <w:rFonts w:asciiTheme="minorHAnsi" w:hAnsiTheme="minorHAnsi"/>
          <w:sz w:val="22"/>
          <w:szCs w:val="22"/>
          <w:lang w:val="en"/>
        </w:rPr>
        <w:t xml:space="preserve"> are offered</w:t>
      </w:r>
      <w:r w:rsidRPr="005F07A3">
        <w:rPr>
          <w:rFonts w:asciiTheme="minorHAnsi" w:hAnsiTheme="minorHAnsi"/>
          <w:sz w:val="22"/>
          <w:szCs w:val="22"/>
          <w:lang w:val="en"/>
        </w:rPr>
        <w:t xml:space="preserve"> in Health Sciences, Public Health, Health Administration, Digital Health</w:t>
      </w:r>
      <w:r w:rsidRPr="00336694">
        <w:rPr>
          <w:rFonts w:asciiTheme="minorHAnsi" w:hAnsiTheme="minorHAnsi"/>
          <w:sz w:val="22"/>
          <w:szCs w:val="22"/>
          <w:lang w:val="en"/>
        </w:rPr>
        <w:t xml:space="preserve"> </w:t>
      </w:r>
      <w:r>
        <w:rPr>
          <w:rFonts w:asciiTheme="minorHAnsi" w:hAnsiTheme="minorHAnsi"/>
          <w:sz w:val="22"/>
          <w:szCs w:val="22"/>
          <w:lang w:val="en"/>
        </w:rPr>
        <w:t>and Analytics</w:t>
      </w:r>
      <w:r w:rsidRPr="005F07A3">
        <w:rPr>
          <w:rFonts w:asciiTheme="minorHAnsi" w:hAnsiTheme="minorHAnsi"/>
          <w:sz w:val="22"/>
          <w:szCs w:val="22"/>
          <w:lang w:val="en"/>
        </w:rPr>
        <w:t xml:space="preserve">, </w:t>
      </w:r>
      <w:r>
        <w:rPr>
          <w:rFonts w:asciiTheme="minorHAnsi" w:hAnsiTheme="minorHAnsi"/>
          <w:sz w:val="22"/>
          <w:szCs w:val="22"/>
          <w:lang w:val="en"/>
        </w:rPr>
        <w:t xml:space="preserve">Health Information Management, </w:t>
      </w:r>
      <w:r w:rsidRPr="005F07A3">
        <w:rPr>
          <w:rFonts w:asciiTheme="minorHAnsi" w:hAnsiTheme="minorHAnsi"/>
          <w:sz w:val="22"/>
          <w:szCs w:val="22"/>
          <w:lang w:val="en"/>
        </w:rPr>
        <w:t xml:space="preserve">Art Therapy and Ergonomics, Safety and Health.  </w:t>
      </w:r>
      <w:bookmarkEnd w:id="5"/>
      <w:r w:rsidRPr="005F07A3">
        <w:rPr>
          <w:rFonts w:asciiTheme="minorHAnsi" w:hAnsiTheme="minorHAnsi"/>
          <w:sz w:val="22"/>
          <w:szCs w:val="22"/>
          <w:lang w:val="en"/>
        </w:rPr>
        <w:t xml:space="preserve">The formal programs and short courses are designed for clinicians, managers and health researchers, with relevant external accreditation. </w:t>
      </w:r>
    </w:p>
    <w:p w:rsidR="00A425BA" w:rsidRDefault="00A425BA" w:rsidP="00A425BA">
      <w:pPr>
        <w:spacing w:before="120"/>
        <w:jc w:val="both"/>
        <w:rPr>
          <w:rFonts w:asciiTheme="minorHAnsi" w:hAnsiTheme="minorHAnsi"/>
          <w:sz w:val="22"/>
          <w:szCs w:val="22"/>
          <w:lang w:val="en"/>
        </w:rPr>
      </w:pPr>
      <w:r>
        <w:rPr>
          <w:rFonts w:asciiTheme="minorHAnsi" w:hAnsiTheme="minorHAnsi"/>
          <w:sz w:val="22"/>
          <w:szCs w:val="22"/>
          <w:lang w:val="en"/>
        </w:rPr>
        <w:t>The Masters of Ergonomics, Health and Safety (and the nested Graduate Certificate) are offered fully online, with s</w:t>
      </w:r>
      <w:r w:rsidRPr="00CD7F42">
        <w:rPr>
          <w:rFonts w:asciiTheme="minorHAnsi" w:hAnsiTheme="minorHAnsi"/>
          <w:sz w:val="22"/>
          <w:szCs w:val="22"/>
          <w:lang w:val="en"/>
        </w:rPr>
        <w:t xml:space="preserve">tudents </w:t>
      </w:r>
      <w:r>
        <w:rPr>
          <w:rFonts w:asciiTheme="minorHAnsi" w:hAnsiTheme="minorHAnsi"/>
          <w:sz w:val="22"/>
          <w:szCs w:val="22"/>
          <w:lang w:val="en"/>
        </w:rPr>
        <w:t>a</w:t>
      </w:r>
      <w:r w:rsidRPr="00CD7F42">
        <w:rPr>
          <w:rFonts w:asciiTheme="minorHAnsi" w:hAnsiTheme="minorHAnsi"/>
          <w:sz w:val="22"/>
          <w:szCs w:val="22"/>
          <w:lang w:val="en"/>
        </w:rPr>
        <w:t>lso offered opportunities to attend seminars throughout the course</w:t>
      </w:r>
      <w:r>
        <w:rPr>
          <w:rFonts w:asciiTheme="minorHAnsi" w:hAnsiTheme="minorHAnsi"/>
          <w:sz w:val="22"/>
          <w:szCs w:val="22"/>
          <w:lang w:val="en"/>
        </w:rPr>
        <w:t xml:space="preserve">.  </w:t>
      </w:r>
      <w:r>
        <w:rPr>
          <w:rFonts w:asciiTheme="minorHAnsi" w:hAnsiTheme="minorHAnsi"/>
          <w:sz w:val="22"/>
          <w:szCs w:val="22"/>
          <w:lang w:val="en"/>
        </w:rPr>
        <w:lastRenderedPageBreak/>
        <w:t xml:space="preserve">The ESH discipline staff also deliver undergraduate subjects within the Bachelor of Health Sciences.  </w:t>
      </w:r>
    </w:p>
    <w:p w:rsidR="00A425BA" w:rsidRPr="005F07A3" w:rsidRDefault="00A425BA" w:rsidP="00C43251">
      <w:pPr>
        <w:jc w:val="both"/>
        <w:rPr>
          <w:rFonts w:asciiTheme="minorHAnsi" w:hAnsiTheme="minorHAnsi"/>
          <w:color w:val="7030A0"/>
          <w:sz w:val="22"/>
          <w:szCs w:val="22"/>
          <w:lang w:val="en"/>
        </w:rPr>
      </w:pPr>
    </w:p>
    <w:p w:rsidR="00141CED" w:rsidRDefault="00141CED" w:rsidP="00DE7D17">
      <w:pPr>
        <w:pStyle w:val="Default"/>
        <w:rPr>
          <w:b/>
          <w:bCs/>
          <w:sz w:val="22"/>
          <w:szCs w:val="22"/>
        </w:rPr>
      </w:pPr>
    </w:p>
    <w:p w:rsidR="00A425BA" w:rsidRDefault="00A425BA">
      <w:pPr>
        <w:widowControl/>
        <w:rPr>
          <w:rFonts w:ascii="Calibri" w:hAnsi="Calibri" w:cs="Calibri"/>
          <w:b/>
          <w:bCs/>
          <w:snapToGrid/>
          <w:color w:val="000000"/>
          <w:sz w:val="22"/>
          <w:szCs w:val="22"/>
          <w:lang w:val="en-AU" w:eastAsia="en-AU"/>
        </w:rPr>
      </w:pPr>
      <w:r>
        <w:rPr>
          <w:b/>
          <w:bCs/>
          <w:sz w:val="22"/>
          <w:szCs w:val="22"/>
        </w:rPr>
        <w:br w:type="page"/>
      </w:r>
    </w:p>
    <w:p w:rsidR="00DE7D17" w:rsidRPr="00DD4712" w:rsidRDefault="00DE7D17" w:rsidP="00DE7D17">
      <w:pPr>
        <w:pStyle w:val="Default"/>
        <w:rPr>
          <w:b/>
          <w:bCs/>
          <w:sz w:val="22"/>
          <w:szCs w:val="22"/>
        </w:rPr>
      </w:pPr>
      <w:r w:rsidRPr="00DD4712">
        <w:rPr>
          <w:b/>
          <w:bCs/>
          <w:sz w:val="22"/>
          <w:szCs w:val="22"/>
        </w:rPr>
        <w:lastRenderedPageBreak/>
        <w:t xml:space="preserve">Level B – Lecturer </w:t>
      </w:r>
      <w:r w:rsidR="00AD685E">
        <w:rPr>
          <w:b/>
          <w:bCs/>
          <w:sz w:val="22"/>
          <w:szCs w:val="22"/>
        </w:rPr>
        <w:t>(Teaching Focussed)</w:t>
      </w:r>
    </w:p>
    <w:p w:rsidR="00DE7D17" w:rsidRPr="00DD4712" w:rsidRDefault="00DE7D17" w:rsidP="00DE7D17">
      <w:pPr>
        <w:pStyle w:val="Default"/>
        <w:rPr>
          <w:sz w:val="22"/>
          <w:szCs w:val="22"/>
        </w:rPr>
      </w:pPr>
    </w:p>
    <w:p w:rsidR="00683B74" w:rsidRPr="00683B74" w:rsidRDefault="00683B74" w:rsidP="00683B74">
      <w:pPr>
        <w:pStyle w:val="Default"/>
        <w:jc w:val="both"/>
        <w:rPr>
          <w:rFonts w:asciiTheme="minorHAnsi" w:hAnsiTheme="minorHAnsi" w:cstheme="minorHAnsi"/>
          <w:sz w:val="22"/>
          <w:szCs w:val="22"/>
        </w:rPr>
      </w:pPr>
      <w:r w:rsidRPr="00683B74">
        <w:rPr>
          <w:rFonts w:asciiTheme="minorHAnsi" w:hAnsiTheme="minorHAnsi" w:cstheme="minorHAnsi"/>
          <w:sz w:val="22"/>
          <w:szCs w:val="22"/>
        </w:rPr>
        <w:t>A Level B academic with a teaching focussed appointment will work without the need for close supervision and is expected to develop curriculum, coordinate subjects, teach and support students as they learn. In addition, a teaching focussed academic will support the administrative functions of the discipline as well as undertake scholarly work relevant to the development of learning and teaching in their discipline or professional field. A teaching focussed academic is expected to demonstrate teaching excellence in keeping with the La Trobe Teaching Excellence Principles and maintain a track record of excellence as evidenced by Student Feedback on Teaching (SFT) surveys, peer-feedback on teaching and through other evidence-based measures. Further, a level B teaching focussed academic will co-ordinate and/or lead the activities of other staff, as appropriate to learning and teaching in the discipline.</w:t>
      </w:r>
    </w:p>
    <w:p w:rsidR="00683B74" w:rsidRPr="00683B74" w:rsidRDefault="00683B74" w:rsidP="00683B74">
      <w:pPr>
        <w:pStyle w:val="Default"/>
        <w:jc w:val="both"/>
        <w:rPr>
          <w:rFonts w:asciiTheme="minorHAnsi" w:hAnsiTheme="minorHAnsi" w:cstheme="minorHAnsi"/>
          <w:sz w:val="22"/>
          <w:szCs w:val="22"/>
        </w:rPr>
      </w:pPr>
    </w:p>
    <w:p w:rsidR="00683B74" w:rsidRPr="00683B74" w:rsidRDefault="00683B74" w:rsidP="00683B74">
      <w:pPr>
        <w:jc w:val="both"/>
        <w:rPr>
          <w:rFonts w:asciiTheme="minorHAnsi" w:hAnsiTheme="minorHAnsi" w:cstheme="minorHAnsi"/>
          <w:sz w:val="22"/>
          <w:szCs w:val="22"/>
        </w:rPr>
      </w:pPr>
      <w:r w:rsidRPr="00683B74">
        <w:rPr>
          <w:rFonts w:asciiTheme="minorHAnsi" w:hAnsiTheme="minorHAnsi" w:cstheme="minorHAnsi"/>
          <w:color w:val="000000"/>
          <w:sz w:val="22"/>
          <w:szCs w:val="22"/>
          <w:lang w:eastAsia="en-AU"/>
        </w:rPr>
        <w:t xml:space="preserve">A teaching </w:t>
      </w:r>
      <w:proofErr w:type="spellStart"/>
      <w:r w:rsidRPr="00683B74">
        <w:rPr>
          <w:rFonts w:asciiTheme="minorHAnsi" w:hAnsiTheme="minorHAnsi" w:cstheme="minorHAnsi"/>
          <w:color w:val="000000"/>
          <w:sz w:val="22"/>
          <w:szCs w:val="22"/>
          <w:lang w:eastAsia="en-AU"/>
        </w:rPr>
        <w:t>focussed</w:t>
      </w:r>
      <w:proofErr w:type="spellEnd"/>
      <w:r w:rsidRPr="00683B74">
        <w:rPr>
          <w:rFonts w:asciiTheme="minorHAnsi" w:hAnsiTheme="minorHAnsi" w:cstheme="minorHAnsi"/>
          <w:color w:val="000000"/>
          <w:sz w:val="22"/>
          <w:szCs w:val="22"/>
          <w:lang w:eastAsia="en-AU"/>
        </w:rPr>
        <w:t xml:space="preserve"> academic is expected to participate regularly in gathering and monitoring of student feedback through Student Feedback on Teaching surveys and will normally receive high teaching results relative to their peers. At least once a year they will also undertake to have their teaching peer-reviewed as part of a commitment to scholarly teaching practice. </w:t>
      </w:r>
    </w:p>
    <w:p w:rsidR="00043BFD" w:rsidRPr="00683B74" w:rsidRDefault="00043BFD" w:rsidP="00DE7D17">
      <w:pPr>
        <w:pStyle w:val="Default"/>
        <w:rPr>
          <w:sz w:val="22"/>
          <w:szCs w:val="22"/>
        </w:rPr>
      </w:pPr>
    </w:p>
    <w:p w:rsidR="009B091D" w:rsidRPr="009569F8" w:rsidRDefault="009B091D" w:rsidP="009B091D">
      <w:pPr>
        <w:pStyle w:val="Default"/>
        <w:jc w:val="both"/>
        <w:rPr>
          <w:rFonts w:asciiTheme="minorHAnsi" w:hAnsiTheme="minorHAnsi"/>
          <w:b/>
          <w:sz w:val="22"/>
          <w:szCs w:val="22"/>
        </w:rPr>
      </w:pPr>
      <w:r>
        <w:rPr>
          <w:rFonts w:asciiTheme="minorHAnsi" w:hAnsiTheme="minorHAnsi"/>
          <w:sz w:val="22"/>
          <w:szCs w:val="22"/>
        </w:rPr>
        <w:t xml:space="preserve">The </w:t>
      </w:r>
      <w:r w:rsidR="00CF5171">
        <w:rPr>
          <w:rFonts w:asciiTheme="minorHAnsi" w:hAnsiTheme="minorHAnsi"/>
          <w:sz w:val="22"/>
          <w:szCs w:val="22"/>
        </w:rPr>
        <w:t>Lecturer</w:t>
      </w:r>
      <w:r>
        <w:rPr>
          <w:rFonts w:asciiTheme="minorHAnsi" w:hAnsiTheme="minorHAnsi"/>
          <w:sz w:val="22"/>
          <w:szCs w:val="22"/>
        </w:rPr>
        <w:t xml:space="preserve"> will be expected to</w:t>
      </w:r>
      <w:r w:rsidR="00C03CF9">
        <w:rPr>
          <w:rFonts w:asciiTheme="minorHAnsi" w:hAnsiTheme="minorHAnsi"/>
          <w:sz w:val="22"/>
          <w:szCs w:val="22"/>
        </w:rPr>
        <w:t xml:space="preserve"> teach into and</w:t>
      </w:r>
      <w:r>
        <w:rPr>
          <w:rFonts w:asciiTheme="minorHAnsi" w:hAnsiTheme="minorHAnsi"/>
          <w:sz w:val="22"/>
          <w:szCs w:val="22"/>
        </w:rPr>
        <w:t xml:space="preserve"> coordinate designated subjects in the undergraduate and postgraduate programs in </w:t>
      </w:r>
      <w:r w:rsidR="00A425BA">
        <w:rPr>
          <w:rFonts w:asciiTheme="minorHAnsi" w:hAnsiTheme="minorHAnsi"/>
          <w:sz w:val="22"/>
          <w:szCs w:val="22"/>
        </w:rPr>
        <w:t xml:space="preserve">Ergonomics, Safety and </w:t>
      </w:r>
      <w:r>
        <w:rPr>
          <w:rFonts w:asciiTheme="minorHAnsi" w:hAnsiTheme="minorHAnsi"/>
          <w:sz w:val="22"/>
          <w:szCs w:val="22"/>
        </w:rPr>
        <w:t>Health and to work in co-operation with the course coordinator(s) and discipline lead to deliver an</w:t>
      </w:r>
      <w:r w:rsidR="00C03CF9">
        <w:rPr>
          <w:rFonts w:asciiTheme="minorHAnsi" w:hAnsiTheme="minorHAnsi"/>
          <w:sz w:val="22"/>
          <w:szCs w:val="22"/>
        </w:rPr>
        <w:t xml:space="preserve"> overall</w:t>
      </w:r>
      <w:r>
        <w:rPr>
          <w:rFonts w:asciiTheme="minorHAnsi" w:hAnsiTheme="minorHAnsi"/>
          <w:sz w:val="22"/>
          <w:szCs w:val="22"/>
        </w:rPr>
        <w:t xml:space="preserve"> outstanding student experience.</w:t>
      </w:r>
      <w:r w:rsidR="00A425BA">
        <w:rPr>
          <w:rFonts w:asciiTheme="minorHAnsi" w:hAnsiTheme="minorHAnsi"/>
          <w:sz w:val="22"/>
          <w:szCs w:val="22"/>
        </w:rPr>
        <w:t xml:space="preserve">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rsidR="00DE7D17" w:rsidRPr="00DD4712" w:rsidRDefault="00DE7D17" w:rsidP="00DE7D17">
      <w:pPr>
        <w:pStyle w:val="Default"/>
        <w:rPr>
          <w:sz w:val="22"/>
          <w:szCs w:val="22"/>
        </w:rPr>
      </w:pP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Demonstrate effectiveness by taking an evidence-based approach to evaluate learning and teaching initiatives.</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Demonstrate a scholarly approach to learning and teaching by contributing to La Trobe’s </w:t>
      </w:r>
      <w:proofErr w:type="spellStart"/>
      <w:r w:rsidRPr="00683B74">
        <w:rPr>
          <w:rFonts w:asciiTheme="minorHAnsi" w:hAnsiTheme="minorHAnsi" w:cstheme="minorHAnsi"/>
          <w:sz w:val="22"/>
          <w:szCs w:val="22"/>
        </w:rPr>
        <w:t>S</w:t>
      </w:r>
      <w:r w:rsidR="00A81F4B">
        <w:rPr>
          <w:rFonts w:asciiTheme="minorHAnsi" w:hAnsiTheme="minorHAnsi" w:cstheme="minorHAnsi"/>
          <w:sz w:val="22"/>
          <w:szCs w:val="22"/>
        </w:rPr>
        <w:t>o</w:t>
      </w:r>
      <w:r w:rsidRPr="00683B74">
        <w:rPr>
          <w:rFonts w:asciiTheme="minorHAnsi" w:hAnsiTheme="minorHAnsi" w:cstheme="minorHAnsi"/>
          <w:sz w:val="22"/>
          <w:szCs w:val="22"/>
        </w:rPr>
        <w:t>LT</w:t>
      </w:r>
      <w:proofErr w:type="spellEnd"/>
      <w:r w:rsidRPr="00683B74">
        <w:rPr>
          <w:rFonts w:asciiTheme="minorHAnsi" w:hAnsiTheme="minorHAnsi" w:cstheme="minorHAnsi"/>
          <w:sz w:val="22"/>
          <w:szCs w:val="22"/>
        </w:rPr>
        <w:t xml:space="preserve"> </w:t>
      </w:r>
      <w:r w:rsidR="00A81F4B">
        <w:rPr>
          <w:rFonts w:asciiTheme="minorHAnsi" w:hAnsiTheme="minorHAnsi" w:cstheme="minorHAnsi"/>
          <w:sz w:val="22"/>
          <w:szCs w:val="22"/>
        </w:rPr>
        <w:t xml:space="preserve">(refer appendix) </w:t>
      </w:r>
      <w:r w:rsidRPr="00683B74">
        <w:rPr>
          <w:rFonts w:asciiTheme="minorHAnsi" w:hAnsiTheme="minorHAnsi" w:cstheme="minorHAnsi"/>
          <w:sz w:val="22"/>
          <w:szCs w:val="22"/>
        </w:rPr>
        <w:t>including sharing of good practice.</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Coordinate and teach subjects providing a high-quality learning experience that engages students through the conduct of lectures, tutorials, practical classes, demonstrations, workshops, student field excursions, clinical sessions and/or other sessions in online, blended or face-to-face modes.</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Provide constructive, fair and timely feedback on learning to students.</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Initiate, and participate in innovative subject and course level curriculum design, development and review in areas such as, but not restricted to, online and blended delivery, taking an evidence-based approach to evaluate how these initiatives improve the student experience. </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proofErr w:type="spellStart"/>
      <w:r w:rsidRPr="00683B74">
        <w:rPr>
          <w:rFonts w:asciiTheme="minorHAnsi" w:hAnsiTheme="minorHAnsi" w:cstheme="minorHAnsi"/>
          <w:sz w:val="22"/>
          <w:szCs w:val="22"/>
        </w:rPr>
        <w:t>Prioritise</w:t>
      </w:r>
      <w:proofErr w:type="spellEnd"/>
      <w:r w:rsidRPr="00683B74">
        <w:rPr>
          <w:rFonts w:asciiTheme="minorHAnsi" w:hAnsiTheme="minorHAnsi" w:cstheme="minorHAnsi"/>
          <w:sz w:val="22"/>
          <w:szCs w:val="22"/>
        </w:rPr>
        <w:t xml:space="preserve"> the embedding of employability capabilities in the curriculum.</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Participate in La Trobe Learning and Teaching conferences, colloquia or workshops. </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Lead and implement teaching improvement projects at subject, course or discipline level.</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Provide mentoring to other academics on good teaching practice.</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With mentoring support, as appropriate, obtain funding from internal or external sources for teaching improvement projects. </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Co-supervise or, where appropriate supervise Higher Degree by Research, </w:t>
      </w:r>
      <w:proofErr w:type="spellStart"/>
      <w:r w:rsidRPr="00683B74">
        <w:rPr>
          <w:rFonts w:asciiTheme="minorHAnsi" w:hAnsiTheme="minorHAnsi" w:cstheme="minorHAnsi"/>
          <w:sz w:val="22"/>
          <w:szCs w:val="22"/>
        </w:rPr>
        <w:t>honours</w:t>
      </w:r>
      <w:proofErr w:type="spellEnd"/>
      <w:r w:rsidRPr="00683B74">
        <w:rPr>
          <w:rFonts w:asciiTheme="minorHAnsi" w:hAnsiTheme="minorHAnsi" w:cstheme="minorHAnsi"/>
          <w:sz w:val="22"/>
          <w:szCs w:val="22"/>
        </w:rPr>
        <w:t xml:space="preserve"> and postgraduate students. </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lastRenderedPageBreak/>
        <w:t>Continue to develop professional practice skills, knowledge and expertise.</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Contribute to knowledge transfer and to building relationships at a local level.</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Perform allocated administrative functions effectively and efficiently. </w:t>
      </w:r>
    </w:p>
    <w:p w:rsidR="00683B74" w:rsidRPr="00683B74" w:rsidRDefault="00683B74" w:rsidP="00683B74">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Serve on committees at the school or course level and contribute to committees at the Department, School or College level as required.</w:t>
      </w:r>
    </w:p>
    <w:p w:rsidR="00255958" w:rsidRPr="00683B74" w:rsidRDefault="00683B74" w:rsidP="00C03CF9">
      <w:pPr>
        <w:pStyle w:val="ListParagraph"/>
        <w:numPr>
          <w:ilvl w:val="0"/>
          <w:numId w:val="23"/>
        </w:numPr>
        <w:spacing w:after="0" w:line="252" w:lineRule="auto"/>
        <w:ind w:left="714" w:hanging="357"/>
        <w:jc w:val="both"/>
        <w:rPr>
          <w:rFonts w:asciiTheme="minorHAnsi" w:hAnsiTheme="minorHAnsi" w:cstheme="minorHAnsi"/>
          <w:sz w:val="22"/>
          <w:szCs w:val="22"/>
        </w:rPr>
      </w:pPr>
      <w:r w:rsidRPr="00683B74">
        <w:rPr>
          <w:rFonts w:asciiTheme="minorHAnsi" w:hAnsiTheme="minorHAnsi" w:cstheme="minorHAnsi"/>
          <w:sz w:val="22"/>
          <w:szCs w:val="22"/>
        </w:rPr>
        <w:t>Undertake other duties commensurate with the classification and scope of the position as required by the Head of Department or Head of School.</w:t>
      </w:r>
    </w:p>
    <w:p w:rsidR="00683B74" w:rsidRDefault="00683B74" w:rsidP="00683B74">
      <w:pPr>
        <w:widowControl/>
        <w:rPr>
          <w:b/>
          <w:bCs/>
          <w:sz w:val="22"/>
          <w:szCs w:val="22"/>
        </w:rPr>
      </w:pPr>
    </w:p>
    <w:p w:rsidR="00DE7D17" w:rsidRPr="00683B74" w:rsidRDefault="00DE7D17" w:rsidP="00683B74">
      <w:pPr>
        <w:widowControl/>
        <w:rPr>
          <w:rFonts w:asciiTheme="minorHAnsi" w:hAnsiTheme="minorHAnsi" w:cstheme="minorHAnsi"/>
          <w:b/>
          <w:bCs/>
          <w:snapToGrid/>
          <w:color w:val="000000"/>
          <w:sz w:val="22"/>
          <w:szCs w:val="22"/>
          <w:lang w:val="en-AU" w:eastAsia="en-AU"/>
        </w:rPr>
      </w:pPr>
      <w:r w:rsidRPr="00683B74">
        <w:rPr>
          <w:rFonts w:asciiTheme="minorHAnsi" w:hAnsiTheme="minorHAnsi" w:cstheme="minorHAnsi"/>
          <w:b/>
          <w:bCs/>
          <w:sz w:val="22"/>
          <w:szCs w:val="22"/>
        </w:rPr>
        <w:t xml:space="preserve">Key Selection Criteria </w:t>
      </w:r>
    </w:p>
    <w:p w:rsidR="00DE7D17" w:rsidRPr="00DD4712" w:rsidRDefault="00DE7D17" w:rsidP="00DE7D17">
      <w:pPr>
        <w:pStyle w:val="Default"/>
        <w:rPr>
          <w:sz w:val="22"/>
          <w:szCs w:val="22"/>
        </w:rPr>
      </w:pPr>
    </w:p>
    <w:p w:rsidR="00DE7D17" w:rsidRPr="00683B74" w:rsidRDefault="00DE7D17" w:rsidP="00C03CF9">
      <w:pPr>
        <w:pStyle w:val="Default"/>
        <w:spacing w:after="120"/>
        <w:rPr>
          <w:b/>
          <w:bCs/>
          <w:sz w:val="22"/>
          <w:szCs w:val="22"/>
        </w:rPr>
      </w:pPr>
      <w:r w:rsidRPr="00683B74">
        <w:rPr>
          <w:b/>
          <w:bCs/>
          <w:sz w:val="22"/>
          <w:szCs w:val="22"/>
        </w:rPr>
        <w:t>ESSENTIAL</w:t>
      </w:r>
      <w:r w:rsidR="00A84E11" w:rsidRPr="00683B74">
        <w:rPr>
          <w:b/>
          <w:bCs/>
          <w:sz w:val="22"/>
          <w:szCs w:val="22"/>
        </w:rPr>
        <w:t>:</w:t>
      </w:r>
      <w:r w:rsidRPr="00683B74">
        <w:rPr>
          <w:b/>
          <w:bCs/>
          <w:sz w:val="22"/>
          <w:szCs w:val="22"/>
        </w:rPr>
        <w:t xml:space="preserve"> </w:t>
      </w:r>
    </w:p>
    <w:p w:rsidR="00977216" w:rsidRPr="000E37AA" w:rsidRDefault="00977216" w:rsidP="00977216">
      <w:pPr>
        <w:pStyle w:val="Default"/>
        <w:numPr>
          <w:ilvl w:val="0"/>
          <w:numId w:val="30"/>
        </w:numPr>
        <w:spacing w:after="70"/>
        <w:jc w:val="both"/>
        <w:rPr>
          <w:sz w:val="22"/>
          <w:szCs w:val="22"/>
        </w:rPr>
      </w:pPr>
      <w:r w:rsidRPr="000E37AA">
        <w:rPr>
          <w:color w:val="auto"/>
          <w:sz w:val="22"/>
          <w:szCs w:val="22"/>
        </w:rPr>
        <w:t>Completion of a PhD or</w:t>
      </w:r>
      <w:r>
        <w:rPr>
          <w:color w:val="auto"/>
          <w:sz w:val="22"/>
          <w:szCs w:val="22"/>
        </w:rPr>
        <w:t xml:space="preserve"> other </w:t>
      </w:r>
      <w:proofErr w:type="gramStart"/>
      <w:r>
        <w:rPr>
          <w:color w:val="auto"/>
          <w:sz w:val="22"/>
          <w:szCs w:val="22"/>
        </w:rPr>
        <w:t>post graduate</w:t>
      </w:r>
      <w:proofErr w:type="gramEnd"/>
      <w:r>
        <w:rPr>
          <w:color w:val="auto"/>
          <w:sz w:val="22"/>
          <w:szCs w:val="22"/>
        </w:rPr>
        <w:t xml:space="preserve"> specialist</w:t>
      </w:r>
      <w:r w:rsidRPr="000E37AA">
        <w:rPr>
          <w:color w:val="auto"/>
          <w:sz w:val="22"/>
          <w:szCs w:val="22"/>
        </w:rPr>
        <w:t xml:space="preserve"> qualifications</w:t>
      </w:r>
      <w:r>
        <w:rPr>
          <w:color w:val="auto"/>
          <w:sz w:val="22"/>
          <w:szCs w:val="22"/>
        </w:rPr>
        <w:t xml:space="preserve"> in the area of ergonomics and/or occupational health and safety</w:t>
      </w:r>
      <w:r w:rsidRPr="000E37AA">
        <w:rPr>
          <w:color w:val="auto"/>
          <w:sz w:val="22"/>
          <w:szCs w:val="22"/>
        </w:rPr>
        <w:t xml:space="preserve"> </w:t>
      </w:r>
      <w:r>
        <w:rPr>
          <w:color w:val="auto"/>
          <w:sz w:val="22"/>
          <w:szCs w:val="22"/>
        </w:rPr>
        <w:t xml:space="preserve">which are </w:t>
      </w:r>
      <w:r w:rsidRPr="000E37AA">
        <w:rPr>
          <w:color w:val="auto"/>
          <w:sz w:val="22"/>
          <w:szCs w:val="22"/>
        </w:rPr>
        <w:t>recognised by the University/profession as appropriate for the discipline area.</w:t>
      </w:r>
    </w:p>
    <w:p w:rsidR="00977216" w:rsidRPr="00EE03DB" w:rsidRDefault="00977216" w:rsidP="00977216">
      <w:pPr>
        <w:pStyle w:val="Default"/>
        <w:numPr>
          <w:ilvl w:val="0"/>
          <w:numId w:val="30"/>
        </w:numPr>
        <w:adjustRightInd/>
        <w:spacing w:after="68"/>
        <w:jc w:val="both"/>
        <w:rPr>
          <w:rFonts w:asciiTheme="minorHAnsi" w:hAnsiTheme="minorHAnsi" w:cs="Arial"/>
          <w:sz w:val="22"/>
          <w:szCs w:val="22"/>
        </w:rPr>
      </w:pPr>
      <w:r>
        <w:rPr>
          <w:color w:val="auto"/>
          <w:sz w:val="22"/>
          <w:szCs w:val="22"/>
        </w:rPr>
        <w:t>D</w:t>
      </w:r>
      <w:r w:rsidRPr="00EE03DB">
        <w:rPr>
          <w:color w:val="auto"/>
          <w:sz w:val="22"/>
          <w:szCs w:val="22"/>
        </w:rPr>
        <w:t xml:space="preserve">emonstrated effectiveness in teaching and a </w:t>
      </w:r>
      <w:r w:rsidRPr="00EE03DB">
        <w:rPr>
          <w:rFonts w:asciiTheme="minorHAnsi" w:hAnsiTheme="minorHAnsi"/>
          <w:sz w:val="22"/>
          <w:szCs w:val="22"/>
        </w:rPr>
        <w:t>knowledge of current and new teaching methods and pedagogies.</w:t>
      </w:r>
    </w:p>
    <w:p w:rsidR="00977216" w:rsidRDefault="00C43251" w:rsidP="00C43251">
      <w:pPr>
        <w:pStyle w:val="Default"/>
        <w:numPr>
          <w:ilvl w:val="0"/>
          <w:numId w:val="30"/>
        </w:numPr>
        <w:spacing w:after="70"/>
        <w:jc w:val="both"/>
        <w:rPr>
          <w:sz w:val="22"/>
          <w:szCs w:val="22"/>
        </w:rPr>
      </w:pPr>
      <w:r w:rsidRPr="000E37AA">
        <w:rPr>
          <w:sz w:val="22"/>
          <w:szCs w:val="22"/>
        </w:rPr>
        <w:t>Demonstrated practice expertise and/or scholarly leadership</w:t>
      </w:r>
      <w:r w:rsidR="00977216">
        <w:rPr>
          <w:sz w:val="22"/>
          <w:szCs w:val="22"/>
        </w:rPr>
        <w:t xml:space="preserve"> </w:t>
      </w:r>
      <w:r w:rsidR="00977216">
        <w:rPr>
          <w:color w:val="auto"/>
          <w:sz w:val="22"/>
          <w:szCs w:val="22"/>
        </w:rPr>
        <w:t>in the area of ergonomics and/or occupational health and safety</w:t>
      </w:r>
    </w:p>
    <w:p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Demonstrated effectiveness in teaching, curriculum development and subject coordination in face-to-face, blended and/or online modes, as evidenced by sustained high results on student feedback on teaching surveys, teaching excellence awards or through other forms of evidence. </w:t>
      </w:r>
    </w:p>
    <w:p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Evidence of innovative initiatives undertaken in the last three years that have improved the student experience, and the evaluation of effectiveness of these initiatives.</w:t>
      </w:r>
    </w:p>
    <w:p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Demonstrated ability to influence the teaching practice of others.  </w:t>
      </w:r>
    </w:p>
    <w:p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Demonstrated ability to engage with the Scholarship of Teaching and Learning.</w:t>
      </w:r>
    </w:p>
    <w:p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Demonstrated high level oral and written communication skills, including the ability to interact effectively, collaboratively and productively with staff and students from a diverse range of backgrounds. </w:t>
      </w:r>
    </w:p>
    <w:p w:rsidR="00683B74" w:rsidRDefault="00683B74" w:rsidP="00C03CF9">
      <w:pPr>
        <w:pStyle w:val="Default"/>
        <w:spacing w:after="120"/>
        <w:jc w:val="both"/>
        <w:rPr>
          <w:rFonts w:asciiTheme="minorHAnsi" w:hAnsiTheme="minorHAnsi" w:cstheme="minorHAnsi"/>
          <w:b/>
          <w:bCs/>
          <w:sz w:val="22"/>
          <w:szCs w:val="22"/>
        </w:rPr>
      </w:pPr>
      <w:r w:rsidRPr="00683B74">
        <w:rPr>
          <w:rFonts w:asciiTheme="minorHAnsi" w:hAnsiTheme="minorHAnsi" w:cstheme="minorHAnsi"/>
          <w:b/>
          <w:bCs/>
          <w:sz w:val="22"/>
          <w:szCs w:val="22"/>
        </w:rPr>
        <w:t>DESIRABLE:</w:t>
      </w:r>
    </w:p>
    <w:p w:rsidR="00B06FCC" w:rsidRDefault="00B06FCC" w:rsidP="00B06FCC">
      <w:pPr>
        <w:pStyle w:val="Default"/>
        <w:numPr>
          <w:ilvl w:val="0"/>
          <w:numId w:val="30"/>
        </w:numPr>
        <w:spacing w:after="30"/>
        <w:jc w:val="both"/>
        <w:rPr>
          <w:sz w:val="22"/>
          <w:szCs w:val="22"/>
        </w:rPr>
      </w:pPr>
      <w:r>
        <w:rPr>
          <w:sz w:val="22"/>
          <w:szCs w:val="22"/>
        </w:rPr>
        <w:t>Record of successful Professional Practice and/or research student supervision relative to opportunity.</w:t>
      </w:r>
    </w:p>
    <w:p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Ability to produce outputs related to the Scholarship of Learning and Teaching.</w:t>
      </w:r>
    </w:p>
    <w:p w:rsidR="00683B74" w:rsidRPr="00683B74" w:rsidRDefault="00683B74" w:rsidP="00683B74">
      <w:pPr>
        <w:pStyle w:val="ListParagraph"/>
        <w:numPr>
          <w:ilvl w:val="0"/>
          <w:numId w:val="30"/>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Graduate Certificate in Higher Education or similar evidence of professional preparation for, and continuous professional development in, higher education teaching. </w:t>
      </w:r>
    </w:p>
    <w:p w:rsidR="00A84E11" w:rsidRPr="00CB63A5" w:rsidRDefault="00A84E11" w:rsidP="00A84E11">
      <w:pPr>
        <w:pStyle w:val="Default"/>
        <w:spacing w:after="68"/>
        <w:rPr>
          <w:b/>
          <w:bCs/>
          <w:sz w:val="22"/>
          <w:szCs w:val="22"/>
        </w:rPr>
      </w:pPr>
      <w:r w:rsidRPr="003016C6">
        <w:rPr>
          <w:b/>
          <w:bCs/>
          <w:sz w:val="22"/>
          <w:szCs w:val="22"/>
        </w:rPr>
        <w:t>Other relevant information:</w:t>
      </w:r>
    </w:p>
    <w:p w:rsidR="00C43251" w:rsidRPr="00A425BA" w:rsidRDefault="00C43251" w:rsidP="00C43251">
      <w:pPr>
        <w:pStyle w:val="Default"/>
        <w:numPr>
          <w:ilvl w:val="0"/>
          <w:numId w:val="24"/>
        </w:numPr>
        <w:jc w:val="both"/>
        <w:rPr>
          <w:rFonts w:asciiTheme="minorHAnsi" w:hAnsiTheme="minorHAnsi"/>
          <w:bCs/>
          <w:sz w:val="22"/>
          <w:szCs w:val="22"/>
        </w:rPr>
      </w:pPr>
      <w:r>
        <w:rPr>
          <w:rFonts w:asciiTheme="minorHAnsi" w:hAnsiTheme="minorHAnsi"/>
          <w:bCs/>
          <w:sz w:val="22"/>
          <w:szCs w:val="22"/>
        </w:rPr>
        <w:t xml:space="preserve">The Department of Public Health bases staff at both </w:t>
      </w:r>
      <w:r>
        <w:rPr>
          <w:rFonts w:asciiTheme="minorHAnsi" w:hAnsiTheme="minorHAnsi"/>
          <w:sz w:val="22"/>
          <w:szCs w:val="22"/>
          <w:lang w:val="en"/>
        </w:rPr>
        <w:t xml:space="preserve">the Melbourne (Bundoora) and CBD (Collins St) campuses.  </w:t>
      </w:r>
      <w:r>
        <w:rPr>
          <w:rFonts w:asciiTheme="minorHAnsi" w:hAnsiTheme="minorHAnsi"/>
          <w:bCs/>
          <w:sz w:val="22"/>
          <w:szCs w:val="22"/>
        </w:rPr>
        <w:t xml:space="preserve">Whilst primarily </w:t>
      </w:r>
      <w:r w:rsidR="00DB2278">
        <w:rPr>
          <w:rFonts w:asciiTheme="minorHAnsi" w:hAnsiTheme="minorHAnsi"/>
          <w:bCs/>
          <w:sz w:val="22"/>
          <w:szCs w:val="22"/>
        </w:rPr>
        <w:t xml:space="preserve">based </w:t>
      </w:r>
      <w:r>
        <w:rPr>
          <w:rFonts w:asciiTheme="minorHAnsi" w:hAnsiTheme="minorHAnsi"/>
          <w:bCs/>
          <w:sz w:val="22"/>
          <w:szCs w:val="22"/>
        </w:rPr>
        <w:t>at the Bundoora campus</w:t>
      </w:r>
      <w:r w:rsidR="00DB2278">
        <w:rPr>
          <w:rFonts w:asciiTheme="minorHAnsi" w:hAnsiTheme="minorHAnsi"/>
          <w:bCs/>
          <w:sz w:val="22"/>
          <w:szCs w:val="22"/>
        </w:rPr>
        <w:t>, the incumbent may be assigned responsibilities that may o</w:t>
      </w:r>
      <w:r>
        <w:rPr>
          <w:rFonts w:asciiTheme="minorHAnsi" w:hAnsiTheme="minorHAnsi"/>
          <w:bCs/>
          <w:sz w:val="22"/>
          <w:szCs w:val="22"/>
        </w:rPr>
        <w:t xml:space="preserve">ccasionally </w:t>
      </w:r>
      <w:r w:rsidR="00DB2278">
        <w:rPr>
          <w:rFonts w:asciiTheme="minorHAnsi" w:hAnsiTheme="minorHAnsi"/>
          <w:bCs/>
          <w:sz w:val="22"/>
          <w:szCs w:val="22"/>
        </w:rPr>
        <w:t>require</w:t>
      </w:r>
      <w:r>
        <w:rPr>
          <w:rFonts w:asciiTheme="minorHAnsi" w:hAnsiTheme="minorHAnsi"/>
          <w:bCs/>
          <w:sz w:val="22"/>
          <w:szCs w:val="22"/>
        </w:rPr>
        <w:t xml:space="preserve"> travel to the </w:t>
      </w:r>
      <w:r w:rsidR="00DB2278">
        <w:rPr>
          <w:rFonts w:asciiTheme="minorHAnsi" w:hAnsiTheme="minorHAnsi"/>
          <w:sz w:val="22"/>
          <w:szCs w:val="22"/>
          <w:lang w:val="en"/>
        </w:rPr>
        <w:t xml:space="preserve">Melbourne CBD or </w:t>
      </w:r>
      <w:r>
        <w:rPr>
          <w:rFonts w:asciiTheme="minorHAnsi" w:hAnsiTheme="minorHAnsi"/>
          <w:bCs/>
          <w:sz w:val="22"/>
          <w:szCs w:val="22"/>
        </w:rPr>
        <w:t>Sydney campus</w:t>
      </w:r>
      <w:r w:rsidR="00DB2278">
        <w:rPr>
          <w:rFonts w:asciiTheme="minorHAnsi" w:hAnsiTheme="minorHAnsi"/>
          <w:bCs/>
          <w:sz w:val="22"/>
          <w:szCs w:val="22"/>
        </w:rPr>
        <w:t>es</w:t>
      </w:r>
      <w:r>
        <w:rPr>
          <w:rFonts w:asciiTheme="minorHAnsi" w:hAnsiTheme="minorHAnsi"/>
          <w:sz w:val="22"/>
          <w:szCs w:val="22"/>
          <w:lang w:val="en"/>
        </w:rPr>
        <w:t xml:space="preserve">. </w:t>
      </w:r>
    </w:p>
    <w:p w:rsidR="003016C6" w:rsidRPr="00B97AC7" w:rsidRDefault="003016C6" w:rsidP="003016C6">
      <w:pPr>
        <w:pStyle w:val="ListParagraph"/>
        <w:numPr>
          <w:ilvl w:val="0"/>
          <w:numId w:val="24"/>
        </w:numPr>
        <w:spacing w:after="0"/>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w:t>
      </w:r>
      <w:proofErr w:type="gramStart"/>
      <w:r w:rsidRPr="00B97AC7">
        <w:rPr>
          <w:rFonts w:asciiTheme="minorHAnsi" w:hAnsiTheme="minorHAnsi"/>
          <w:bCs/>
          <w:sz w:val="22"/>
          <w:szCs w:val="22"/>
        </w:rPr>
        <w:t>may be allocated</w:t>
      </w:r>
      <w:proofErr w:type="gramEnd"/>
      <w:r w:rsidRPr="00B97AC7">
        <w:rPr>
          <w:rFonts w:asciiTheme="minorHAnsi" w:hAnsiTheme="minorHAnsi"/>
          <w:bCs/>
          <w:sz w:val="22"/>
          <w:szCs w:val="22"/>
        </w:rPr>
        <w:t xml:space="preserve"> responsibilities that will require them to </w:t>
      </w:r>
      <w:r>
        <w:rPr>
          <w:rFonts w:asciiTheme="minorHAnsi" w:hAnsiTheme="minorHAnsi"/>
          <w:bCs/>
          <w:sz w:val="22"/>
          <w:szCs w:val="22"/>
        </w:rPr>
        <w:t xml:space="preserve">deliver </w:t>
      </w:r>
      <w:r w:rsidR="00557AD1">
        <w:rPr>
          <w:rFonts w:asciiTheme="minorHAnsi" w:hAnsiTheme="minorHAnsi"/>
          <w:bCs/>
          <w:sz w:val="22"/>
          <w:szCs w:val="22"/>
        </w:rPr>
        <w:t>online</w:t>
      </w:r>
      <w:r>
        <w:rPr>
          <w:rFonts w:asciiTheme="minorHAnsi" w:hAnsiTheme="minorHAnsi"/>
          <w:bCs/>
          <w:sz w:val="22"/>
          <w:szCs w:val="22"/>
        </w:rPr>
        <w:t xml:space="preserv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w:t>
      </w:r>
    </w:p>
    <w:p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rsidR="00A62A57" w:rsidRDefault="00A62A57" w:rsidP="00A62A57">
      <w:pPr>
        <w:pStyle w:val="Default"/>
        <w:jc w:val="both"/>
        <w:rPr>
          <w:b/>
          <w:bCs/>
          <w:sz w:val="22"/>
          <w:szCs w:val="22"/>
        </w:rPr>
      </w:pPr>
    </w:p>
    <w:p w:rsidR="00A62A57" w:rsidRPr="00A62A57" w:rsidRDefault="00A62A57" w:rsidP="00C03CF9">
      <w:pPr>
        <w:pStyle w:val="Default"/>
        <w:jc w:val="both"/>
        <w:rPr>
          <w:b/>
          <w:bCs/>
          <w:sz w:val="22"/>
          <w:szCs w:val="22"/>
        </w:rPr>
      </w:pPr>
      <w:r w:rsidRPr="00A62A57">
        <w:rPr>
          <w:b/>
          <w:bCs/>
          <w:sz w:val="22"/>
          <w:szCs w:val="22"/>
        </w:rPr>
        <w:t>Essential Compliance Requirements</w:t>
      </w:r>
    </w:p>
    <w:p w:rsidR="00C03CF9" w:rsidRDefault="00C03CF9" w:rsidP="00A62A57">
      <w:pPr>
        <w:pStyle w:val="Default"/>
        <w:jc w:val="both"/>
        <w:rPr>
          <w:bCs/>
          <w:sz w:val="22"/>
          <w:szCs w:val="22"/>
        </w:rPr>
      </w:pPr>
    </w:p>
    <w:p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rsidR="00A62A57" w:rsidRPr="00A62A57" w:rsidRDefault="00A62A57" w:rsidP="00A62A57">
      <w:pPr>
        <w:pStyle w:val="Default"/>
        <w:jc w:val="both"/>
        <w:rPr>
          <w:bCs/>
          <w:sz w:val="22"/>
          <w:szCs w:val="22"/>
        </w:rPr>
      </w:pPr>
    </w:p>
    <w:p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rsidR="00A84E11" w:rsidRDefault="00A84E11" w:rsidP="00A84E11">
      <w:pPr>
        <w:pStyle w:val="Default"/>
        <w:spacing w:after="68"/>
        <w:rPr>
          <w:sz w:val="22"/>
          <w:szCs w:val="22"/>
        </w:rPr>
      </w:pPr>
    </w:p>
    <w:p w:rsidR="007B3B2B" w:rsidRPr="00830506" w:rsidRDefault="007B3B2B" w:rsidP="007B3B2B">
      <w:pPr>
        <w:pStyle w:val="Default"/>
        <w:jc w:val="both"/>
        <w:rPr>
          <w:b/>
          <w:bCs/>
          <w:sz w:val="22"/>
          <w:szCs w:val="22"/>
        </w:rPr>
      </w:pPr>
      <w:r w:rsidRPr="00830506">
        <w:rPr>
          <w:b/>
          <w:bCs/>
          <w:sz w:val="22"/>
          <w:szCs w:val="22"/>
        </w:rPr>
        <w:t>La Trobe Cultural Qualities</w:t>
      </w:r>
    </w:p>
    <w:p w:rsidR="007B3B2B" w:rsidRPr="00830506" w:rsidRDefault="007B3B2B" w:rsidP="007B3B2B">
      <w:pPr>
        <w:pStyle w:val="Default"/>
        <w:jc w:val="both"/>
        <w:rPr>
          <w:sz w:val="22"/>
          <w:szCs w:val="22"/>
        </w:rPr>
      </w:pPr>
    </w:p>
    <w:p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rsidR="007B3B2B" w:rsidRPr="00830506" w:rsidRDefault="007B3B2B" w:rsidP="007B3B2B">
      <w:pPr>
        <w:pStyle w:val="Default"/>
        <w:jc w:val="both"/>
        <w:rPr>
          <w:sz w:val="22"/>
          <w:szCs w:val="22"/>
        </w:rPr>
      </w:pPr>
      <w:r w:rsidRPr="00830506">
        <w:rPr>
          <w:color w:val="595959"/>
          <w:sz w:val="22"/>
          <w:szCs w:val="22"/>
        </w:rPr>
        <w:t> </w:t>
      </w:r>
    </w:p>
    <w:p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A81F4B" w:rsidRDefault="00555D7C" w:rsidP="00A81F4B">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r w:rsidR="00A81F4B">
        <w:rPr>
          <w:rFonts w:ascii="Calibri" w:hAnsi="Calibri"/>
          <w:sz w:val="20"/>
          <w:lang w:val="en-AU"/>
        </w:rPr>
        <w:br w:type="page"/>
      </w:r>
    </w:p>
    <w:p w:rsidR="00A81F4B" w:rsidRDefault="00A81F4B" w:rsidP="00A81F4B">
      <w:pPr>
        <w:spacing w:line="259" w:lineRule="exact"/>
        <w:rPr>
          <w:sz w:val="20"/>
        </w:rPr>
      </w:pPr>
      <w:r>
        <w:rPr>
          <w:noProof/>
          <w:lang w:val="en-AU" w:eastAsia="en-AU"/>
        </w:rPr>
        <w:lastRenderedPageBreak/>
        <w:drawing>
          <wp:anchor distT="0" distB="0" distL="114300" distR="114300" simplePos="0" relativeHeight="251660288" behindDoc="0" locked="0" layoutInCell="1" allowOverlap="0" wp14:anchorId="2ACFBD55" wp14:editId="7E9F2F9B">
            <wp:simplePos x="0" y="0"/>
            <wp:positionH relativeFrom="margin">
              <wp:posOffset>-419100</wp:posOffset>
            </wp:positionH>
            <wp:positionV relativeFrom="margin">
              <wp:posOffset>132080</wp:posOffset>
            </wp:positionV>
            <wp:extent cx="2390775" cy="704850"/>
            <wp:effectExtent l="0" t="0" r="9525" b="0"/>
            <wp:wrapSquare wrapText="bothSides"/>
            <wp:docPr id="4"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F4B" w:rsidRDefault="00A81F4B" w:rsidP="00A81F4B">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A81F4B" w:rsidRDefault="00A81F4B" w:rsidP="00A81F4B">
      <w:pPr>
        <w:spacing w:line="259" w:lineRule="exact"/>
        <w:rPr>
          <w:rFonts w:ascii="Arial" w:hAnsi="Arial" w:cs="Arial"/>
          <w:sz w:val="16"/>
          <w:szCs w:val="16"/>
        </w:rPr>
      </w:pPr>
    </w:p>
    <w:p w:rsidR="00A81F4B" w:rsidRDefault="00A81F4B" w:rsidP="00A81F4B">
      <w:pPr>
        <w:spacing w:line="259" w:lineRule="exact"/>
        <w:rPr>
          <w:rFonts w:ascii="Arial" w:hAnsi="Arial" w:cs="Arial"/>
          <w:sz w:val="16"/>
          <w:szCs w:val="16"/>
        </w:rPr>
      </w:pPr>
    </w:p>
    <w:p w:rsidR="00A81F4B" w:rsidRPr="00CA7AEA" w:rsidRDefault="00A81F4B" w:rsidP="00A81F4B">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A81F4B" w:rsidRPr="0043618D" w:rsidTr="009D37AA">
        <w:tc>
          <w:tcPr>
            <w:tcW w:w="9242" w:type="dxa"/>
            <w:shd w:val="clear" w:color="auto" w:fill="CCCCCC"/>
          </w:tcPr>
          <w:p w:rsidR="00A81F4B" w:rsidRPr="0059112C" w:rsidRDefault="00A81F4B" w:rsidP="009D37AA">
            <w:pPr>
              <w:rPr>
                <w:rFonts w:ascii="Calibri" w:hAnsi="Calibri" w:cs="Arial"/>
                <w:b/>
                <w:sz w:val="40"/>
                <w:szCs w:val="40"/>
                <w:lang w:val="en-AU"/>
              </w:rPr>
            </w:pPr>
            <w:r>
              <w:rPr>
                <w:rFonts w:ascii="Calibri" w:hAnsi="Calibri" w:cs="Arial"/>
                <w:b/>
                <w:sz w:val="40"/>
                <w:szCs w:val="40"/>
                <w:lang w:val="en-AU"/>
              </w:rPr>
              <w:t>APPENDIX</w:t>
            </w:r>
          </w:p>
        </w:tc>
      </w:tr>
    </w:tbl>
    <w:p w:rsidR="00A81F4B" w:rsidRPr="0059112C" w:rsidRDefault="00A81F4B" w:rsidP="00A81F4B">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3019"/>
        <w:gridCol w:w="6007"/>
      </w:tblGrid>
      <w:tr w:rsidR="00A81F4B" w:rsidRPr="0043618D" w:rsidTr="009D37AA">
        <w:tc>
          <w:tcPr>
            <w:tcW w:w="9242" w:type="dxa"/>
            <w:gridSpan w:val="2"/>
            <w:tcBorders>
              <w:bottom w:val="single" w:sz="4" w:space="0" w:color="auto"/>
            </w:tcBorders>
          </w:tcPr>
          <w:p w:rsidR="00A81F4B" w:rsidRPr="00AD53C7" w:rsidRDefault="00A81F4B" w:rsidP="009D37AA">
            <w:pPr>
              <w:rPr>
                <w:rFonts w:ascii="Calibri" w:hAnsi="Calibri" w:cs="Arial"/>
                <w:b/>
                <w:color w:val="000000"/>
                <w:sz w:val="28"/>
                <w:szCs w:val="28"/>
                <w:lang w:val="en-AU"/>
              </w:rPr>
            </w:pPr>
            <w:r w:rsidRPr="00AD53C7">
              <w:rPr>
                <w:rFonts w:asciiTheme="minorHAnsi" w:hAnsiTheme="minorHAnsi" w:cstheme="minorHAnsi"/>
                <w:b/>
                <w:sz w:val="28"/>
                <w:szCs w:val="28"/>
              </w:rPr>
              <w:t>The Scholarship of Learning and Teaching (</w:t>
            </w:r>
            <w:proofErr w:type="spellStart"/>
            <w:r w:rsidRPr="00AD53C7">
              <w:rPr>
                <w:rFonts w:asciiTheme="minorHAnsi" w:hAnsiTheme="minorHAnsi" w:cstheme="minorHAnsi"/>
                <w:b/>
                <w:sz w:val="28"/>
                <w:szCs w:val="28"/>
              </w:rPr>
              <w:t>SoLT</w:t>
            </w:r>
            <w:proofErr w:type="spellEnd"/>
            <w:r w:rsidRPr="00AD53C7">
              <w:rPr>
                <w:rFonts w:asciiTheme="minorHAnsi" w:hAnsiTheme="minorHAnsi" w:cstheme="minorHAnsi"/>
                <w:b/>
                <w:sz w:val="28"/>
                <w:szCs w:val="28"/>
              </w:rPr>
              <w:t>) at La Trobe</w:t>
            </w:r>
          </w:p>
        </w:tc>
      </w:tr>
      <w:tr w:rsidR="00A81F4B" w:rsidRPr="0043618D" w:rsidTr="009D37AA">
        <w:tc>
          <w:tcPr>
            <w:tcW w:w="3085" w:type="dxa"/>
            <w:tcBorders>
              <w:top w:val="single" w:sz="4" w:space="0" w:color="auto"/>
              <w:bottom w:val="nil"/>
              <w:right w:val="nil"/>
            </w:tcBorders>
          </w:tcPr>
          <w:p w:rsidR="00A81F4B" w:rsidRPr="0059112C" w:rsidRDefault="00A81F4B" w:rsidP="009D37AA">
            <w:pPr>
              <w:rPr>
                <w:rFonts w:ascii="Calibri" w:hAnsi="Calibri" w:cs="Arial"/>
                <w:b/>
                <w:color w:val="000000"/>
                <w:szCs w:val="24"/>
                <w:lang w:val="en-AU"/>
              </w:rPr>
            </w:pPr>
          </w:p>
        </w:tc>
        <w:tc>
          <w:tcPr>
            <w:tcW w:w="6157" w:type="dxa"/>
            <w:tcBorders>
              <w:top w:val="single" w:sz="4" w:space="0" w:color="auto"/>
              <w:left w:val="nil"/>
              <w:bottom w:val="nil"/>
            </w:tcBorders>
          </w:tcPr>
          <w:p w:rsidR="00A81F4B" w:rsidRPr="0059112C" w:rsidRDefault="00A81F4B" w:rsidP="009D37AA">
            <w:pPr>
              <w:rPr>
                <w:rFonts w:ascii="Calibri" w:hAnsi="Calibri" w:cs="Arial"/>
                <w:color w:val="000000"/>
                <w:szCs w:val="24"/>
                <w:lang w:val="en-AU"/>
              </w:rPr>
            </w:pPr>
          </w:p>
        </w:tc>
      </w:tr>
    </w:tbl>
    <w:p w:rsidR="00A81F4B" w:rsidRPr="00AD53C7" w:rsidRDefault="00A81F4B" w:rsidP="00A81F4B">
      <w:pPr>
        <w:pStyle w:val="Heading1"/>
        <w:ind w:firstLine="0"/>
        <w:jc w:val="left"/>
        <w:rPr>
          <w:rFonts w:asciiTheme="minorHAnsi" w:hAnsiTheme="minorHAnsi" w:cstheme="minorHAnsi"/>
          <w:sz w:val="22"/>
          <w:szCs w:val="22"/>
        </w:rPr>
      </w:pPr>
      <w:r w:rsidRPr="00AD53C7">
        <w:rPr>
          <w:rFonts w:asciiTheme="minorHAnsi" w:hAnsiTheme="minorHAnsi" w:cstheme="minorHAnsi"/>
          <w:sz w:val="22"/>
          <w:szCs w:val="22"/>
        </w:rPr>
        <w:t>Purpose</w:t>
      </w:r>
    </w:p>
    <w:p w:rsidR="00A81F4B" w:rsidRPr="00AD53C7" w:rsidRDefault="00A81F4B" w:rsidP="00A81F4B">
      <w:pPr>
        <w:pStyle w:val="BodyText"/>
        <w:rPr>
          <w:rFonts w:asciiTheme="minorHAnsi" w:hAnsiTheme="minorHAnsi" w:cstheme="minorHAnsi"/>
          <w:b/>
          <w:sz w:val="22"/>
          <w:szCs w:val="22"/>
        </w:rPr>
      </w:pPr>
    </w:p>
    <w:p w:rsidR="00A81F4B" w:rsidRPr="00AD53C7" w:rsidRDefault="00A81F4B" w:rsidP="00A81F4B">
      <w:pPr>
        <w:pStyle w:val="BodyText"/>
        <w:ind w:left="460" w:right="120"/>
        <w:rPr>
          <w:rFonts w:asciiTheme="minorHAnsi" w:hAnsiTheme="minorHAnsi" w:cstheme="minorHAnsi"/>
          <w:sz w:val="22"/>
          <w:szCs w:val="22"/>
        </w:rPr>
      </w:pPr>
      <w:r w:rsidRPr="00AD53C7">
        <w:rPr>
          <w:rFonts w:asciiTheme="minorHAnsi" w:hAnsiTheme="minorHAnsi" w:cstheme="minorHAnsi"/>
          <w:sz w:val="22"/>
          <w:szCs w:val="22"/>
        </w:rPr>
        <w:t xml:space="preserve">La Trobe is committed to an outstanding student experience and to excellence in learning and teaching. To this end, we have introduced teaching-focussed positions to enable academics the flexibility to focus on learning and teaching (for a </w:t>
      </w:r>
      <w:proofErr w:type="gramStart"/>
      <w:r w:rsidRPr="00AD53C7">
        <w:rPr>
          <w:rFonts w:asciiTheme="minorHAnsi" w:hAnsiTheme="minorHAnsi" w:cstheme="minorHAnsi"/>
          <w:sz w:val="22"/>
          <w:szCs w:val="22"/>
        </w:rPr>
        <w:t>period of time</w:t>
      </w:r>
      <w:proofErr w:type="gramEnd"/>
      <w:r w:rsidRPr="00AD53C7">
        <w:rPr>
          <w:rFonts w:asciiTheme="minorHAnsi" w:hAnsiTheme="minorHAnsi" w:cstheme="minorHAnsi"/>
          <w:sz w:val="22"/>
          <w:szCs w:val="22"/>
        </w:rPr>
        <w:t>, or for the longer term) and to chart a career path that recognises and rewards excellence in scholarly approaches to learning and teaching.</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A81F4B">
      <w:pPr>
        <w:pStyle w:val="BodyText"/>
        <w:spacing w:before="1"/>
        <w:ind w:left="460" w:right="132"/>
        <w:rPr>
          <w:rFonts w:asciiTheme="minorHAnsi" w:hAnsiTheme="minorHAnsi" w:cstheme="minorHAnsi"/>
          <w:sz w:val="22"/>
          <w:szCs w:val="22"/>
        </w:rPr>
      </w:pPr>
      <w:r w:rsidRPr="00AD53C7">
        <w:rPr>
          <w:rFonts w:asciiTheme="minorHAnsi" w:hAnsiTheme="minorHAnsi" w:cstheme="minorHAnsi"/>
          <w:sz w:val="22"/>
          <w:szCs w:val="22"/>
        </w:rPr>
        <w:t xml:space="preserve">Teaching-focussed academics are expected to demonstrate excellence in the practice of teaching which includes engaging students in high impact learning experiences and/or the scholarly leadership of teaching and curriculum development, in line with the La Trobe Teaching Excellence Principles. Staff in these roles are also expected to align their practice with the strategic directions of the University in relation to learning and teaching. We are committed to an outstanding student experience across all aspects of the student lifecycle; assessment for learning; student employability and an industry-informed curricula; and innovation including </w:t>
      </w:r>
      <w:proofErr w:type="gramStart"/>
      <w:r w:rsidRPr="00AD53C7">
        <w:rPr>
          <w:rFonts w:asciiTheme="minorHAnsi" w:hAnsiTheme="minorHAnsi" w:cstheme="minorHAnsi"/>
          <w:sz w:val="22"/>
          <w:szCs w:val="22"/>
        </w:rPr>
        <w:t>through the use of</w:t>
      </w:r>
      <w:proofErr w:type="gramEnd"/>
      <w:r w:rsidRPr="00AD53C7">
        <w:rPr>
          <w:rFonts w:asciiTheme="minorHAnsi" w:hAnsiTheme="minorHAnsi" w:cstheme="minorHAnsi"/>
          <w:sz w:val="22"/>
          <w:szCs w:val="22"/>
        </w:rPr>
        <w:t xml:space="preserve"> technologies, to engage students in learning.</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A81F4B">
      <w:pPr>
        <w:pStyle w:val="BodyText"/>
        <w:ind w:left="460" w:right="313"/>
        <w:rPr>
          <w:rFonts w:asciiTheme="minorHAnsi" w:hAnsiTheme="minorHAnsi" w:cstheme="minorHAnsi"/>
          <w:sz w:val="22"/>
          <w:szCs w:val="22"/>
        </w:rPr>
      </w:pPr>
      <w:r w:rsidRPr="00AD53C7">
        <w:rPr>
          <w:rFonts w:asciiTheme="minorHAnsi" w:hAnsiTheme="minorHAnsi" w:cstheme="minorHAnsi"/>
          <w:sz w:val="22"/>
          <w:szCs w:val="22"/>
        </w:rPr>
        <w:t>For the purposes of workload allocation, teaching-focussed academics are also expected to engage in the Scholarship of Learning and Teaching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This paper seeks to clarify the definition and expectations of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at La Trobe.</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A81F4B">
      <w:pPr>
        <w:pStyle w:val="Heading1"/>
        <w:ind w:firstLine="0"/>
        <w:rPr>
          <w:rFonts w:asciiTheme="minorHAnsi" w:hAnsiTheme="minorHAnsi" w:cstheme="minorHAnsi"/>
          <w:sz w:val="22"/>
          <w:szCs w:val="22"/>
        </w:rPr>
      </w:pPr>
      <w:r w:rsidRPr="00AD53C7">
        <w:rPr>
          <w:rFonts w:asciiTheme="minorHAnsi" w:hAnsiTheme="minorHAnsi" w:cstheme="minorHAnsi"/>
          <w:sz w:val="22"/>
          <w:szCs w:val="22"/>
        </w:rPr>
        <w:t>Background</w:t>
      </w:r>
    </w:p>
    <w:p w:rsidR="00A81F4B" w:rsidRPr="00AD53C7" w:rsidRDefault="00A81F4B" w:rsidP="00A81F4B">
      <w:pPr>
        <w:pStyle w:val="BodyText"/>
        <w:spacing w:before="1"/>
        <w:rPr>
          <w:rFonts w:asciiTheme="minorHAnsi" w:hAnsiTheme="minorHAnsi" w:cstheme="minorHAnsi"/>
          <w:b/>
          <w:sz w:val="22"/>
          <w:szCs w:val="22"/>
        </w:rPr>
      </w:pPr>
    </w:p>
    <w:p w:rsidR="00A81F4B" w:rsidRPr="00AD53C7" w:rsidRDefault="00A81F4B" w:rsidP="00A81F4B">
      <w:pPr>
        <w:pStyle w:val="BodyText"/>
        <w:ind w:left="460" w:right="225"/>
        <w:rPr>
          <w:rFonts w:asciiTheme="minorHAnsi" w:hAnsiTheme="minorHAnsi" w:cstheme="minorHAnsi"/>
          <w:sz w:val="22"/>
          <w:szCs w:val="22"/>
        </w:rPr>
      </w:pPr>
      <w:r w:rsidRPr="00AD53C7">
        <w:rPr>
          <w:rFonts w:asciiTheme="minorHAnsi" w:hAnsiTheme="minorHAnsi" w:cstheme="minorHAnsi"/>
          <w:sz w:val="22"/>
          <w:szCs w:val="22"/>
        </w:rPr>
        <w:t>The term 'Scholarship of Teaching and Learning'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was popularised by the work of Ernest Boyer in the 1990s. Boyer (1990) argued there are four scholarships:</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A81F4B">
      <w:pPr>
        <w:pStyle w:val="ListParagraph"/>
        <w:widowControl w:val="0"/>
        <w:numPr>
          <w:ilvl w:val="0"/>
          <w:numId w:val="35"/>
        </w:numPr>
        <w:tabs>
          <w:tab w:val="left" w:pos="1181"/>
        </w:tabs>
        <w:autoSpaceDE w:val="0"/>
        <w:autoSpaceDN w:val="0"/>
        <w:spacing w:after="0"/>
        <w:contextualSpacing w:val="0"/>
        <w:rPr>
          <w:rFonts w:asciiTheme="minorHAnsi" w:hAnsiTheme="minorHAnsi" w:cstheme="minorHAnsi"/>
          <w:sz w:val="22"/>
          <w:szCs w:val="22"/>
        </w:rPr>
      </w:pPr>
      <w:r w:rsidRPr="00AD53C7">
        <w:rPr>
          <w:rFonts w:asciiTheme="minorHAnsi" w:hAnsiTheme="minorHAnsi" w:cstheme="minorHAnsi"/>
          <w:sz w:val="22"/>
          <w:szCs w:val="22"/>
        </w:rPr>
        <w:t>of discovery: basic or ‘pure’ research, the pursuit of knowledge for its own</w:t>
      </w:r>
      <w:r w:rsidRPr="00AD53C7">
        <w:rPr>
          <w:rFonts w:asciiTheme="minorHAnsi" w:hAnsiTheme="minorHAnsi" w:cstheme="minorHAnsi"/>
          <w:spacing w:val="-11"/>
          <w:sz w:val="22"/>
          <w:szCs w:val="22"/>
        </w:rPr>
        <w:t xml:space="preserve"> </w:t>
      </w:r>
      <w:r w:rsidRPr="00AD53C7">
        <w:rPr>
          <w:rFonts w:asciiTheme="minorHAnsi" w:hAnsiTheme="minorHAnsi" w:cstheme="minorHAnsi"/>
          <w:sz w:val="22"/>
          <w:szCs w:val="22"/>
        </w:rPr>
        <w:t>sake</w:t>
      </w:r>
    </w:p>
    <w:p w:rsidR="00A81F4B" w:rsidRPr="00AD53C7" w:rsidRDefault="00A81F4B" w:rsidP="00A81F4B">
      <w:pPr>
        <w:pStyle w:val="ListParagraph"/>
        <w:widowControl w:val="0"/>
        <w:numPr>
          <w:ilvl w:val="0"/>
          <w:numId w:val="35"/>
        </w:numPr>
        <w:tabs>
          <w:tab w:val="left" w:pos="1181"/>
        </w:tabs>
        <w:autoSpaceDE w:val="0"/>
        <w:autoSpaceDN w:val="0"/>
        <w:spacing w:after="0"/>
        <w:ind w:right="266"/>
        <w:contextualSpacing w:val="0"/>
        <w:rPr>
          <w:rFonts w:asciiTheme="minorHAnsi" w:hAnsiTheme="minorHAnsi" w:cstheme="minorHAnsi"/>
          <w:sz w:val="22"/>
          <w:szCs w:val="22"/>
        </w:rPr>
      </w:pPr>
      <w:r w:rsidRPr="00AD53C7">
        <w:rPr>
          <w:rFonts w:asciiTheme="minorHAnsi" w:hAnsiTheme="minorHAnsi" w:cstheme="minorHAnsi"/>
          <w:sz w:val="22"/>
          <w:szCs w:val="22"/>
        </w:rPr>
        <w:t>of integration: “making connections across the disciplines, placing the specialties in larger contexts, illuminating data in a revealing way, often educating non- specialists,</w:t>
      </w:r>
      <w:r w:rsidRPr="00AD53C7">
        <w:rPr>
          <w:rFonts w:asciiTheme="minorHAnsi" w:hAnsiTheme="minorHAnsi" w:cstheme="minorHAnsi"/>
          <w:spacing w:val="-2"/>
          <w:sz w:val="22"/>
          <w:szCs w:val="22"/>
        </w:rPr>
        <w:t xml:space="preserve"> </w:t>
      </w:r>
      <w:r w:rsidRPr="00AD53C7">
        <w:rPr>
          <w:rFonts w:asciiTheme="minorHAnsi" w:hAnsiTheme="minorHAnsi" w:cstheme="minorHAnsi"/>
          <w:sz w:val="22"/>
          <w:szCs w:val="22"/>
        </w:rPr>
        <w:t>too”</w:t>
      </w:r>
    </w:p>
    <w:p w:rsidR="00A81F4B" w:rsidRPr="00AD53C7" w:rsidRDefault="00A81F4B" w:rsidP="00A81F4B">
      <w:pPr>
        <w:pStyle w:val="ListParagraph"/>
        <w:widowControl w:val="0"/>
        <w:numPr>
          <w:ilvl w:val="0"/>
          <w:numId w:val="35"/>
        </w:numPr>
        <w:tabs>
          <w:tab w:val="left" w:pos="1181"/>
        </w:tabs>
        <w:autoSpaceDE w:val="0"/>
        <w:autoSpaceDN w:val="0"/>
        <w:spacing w:after="0"/>
        <w:ind w:right="209"/>
        <w:contextualSpacing w:val="0"/>
        <w:rPr>
          <w:rFonts w:asciiTheme="minorHAnsi" w:hAnsiTheme="minorHAnsi" w:cstheme="minorHAnsi"/>
          <w:sz w:val="22"/>
          <w:szCs w:val="22"/>
        </w:rPr>
      </w:pPr>
      <w:r w:rsidRPr="00AD53C7">
        <w:rPr>
          <w:rFonts w:asciiTheme="minorHAnsi" w:hAnsiTheme="minorHAnsi" w:cstheme="minorHAnsi"/>
          <w:sz w:val="22"/>
          <w:szCs w:val="22"/>
        </w:rPr>
        <w:t>of application: applying what we know through theory as well as practice to solve complex</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problems</w:t>
      </w:r>
    </w:p>
    <w:p w:rsidR="00A81F4B" w:rsidRPr="00AD53C7" w:rsidRDefault="00A81F4B" w:rsidP="00A81F4B">
      <w:pPr>
        <w:pStyle w:val="ListParagraph"/>
        <w:widowControl w:val="0"/>
        <w:numPr>
          <w:ilvl w:val="0"/>
          <w:numId w:val="35"/>
        </w:numPr>
        <w:tabs>
          <w:tab w:val="left" w:pos="1181"/>
        </w:tabs>
        <w:autoSpaceDE w:val="0"/>
        <w:autoSpaceDN w:val="0"/>
        <w:spacing w:after="0"/>
        <w:contextualSpacing w:val="0"/>
        <w:rPr>
          <w:rFonts w:asciiTheme="minorHAnsi" w:hAnsiTheme="minorHAnsi" w:cstheme="minorHAnsi"/>
          <w:sz w:val="22"/>
          <w:szCs w:val="22"/>
        </w:rPr>
      </w:pPr>
      <w:r w:rsidRPr="00AD53C7">
        <w:rPr>
          <w:rFonts w:asciiTheme="minorHAnsi" w:hAnsiTheme="minorHAnsi" w:cstheme="minorHAnsi"/>
          <w:sz w:val="22"/>
          <w:szCs w:val="22"/>
        </w:rPr>
        <w:t>of</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teaching</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A81F4B">
      <w:pPr>
        <w:pStyle w:val="BodyText"/>
        <w:ind w:left="460" w:right="385"/>
        <w:rPr>
          <w:rFonts w:asciiTheme="minorHAnsi" w:hAnsiTheme="minorHAnsi" w:cstheme="minorHAnsi"/>
          <w:sz w:val="22"/>
          <w:szCs w:val="22"/>
        </w:rPr>
      </w:pPr>
      <w:r w:rsidRPr="00AD53C7">
        <w:rPr>
          <w:rFonts w:asciiTheme="minorHAnsi" w:hAnsiTheme="minorHAnsi" w:cstheme="minorHAnsi"/>
          <w:sz w:val="22"/>
          <w:szCs w:val="22"/>
        </w:rPr>
        <w:t xml:space="preserve">A recent report by the HEA into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xml:space="preserve"> notes that it is a practice now used in the Higher Education sectors of many nations. The Report notes:</w:t>
      </w:r>
    </w:p>
    <w:p w:rsidR="00A81F4B" w:rsidRPr="00AD53C7" w:rsidRDefault="00A81F4B" w:rsidP="00A81F4B">
      <w:pPr>
        <w:pStyle w:val="BodyText"/>
        <w:spacing w:before="1"/>
        <w:rPr>
          <w:rFonts w:asciiTheme="minorHAnsi" w:hAnsiTheme="minorHAnsi" w:cstheme="minorHAnsi"/>
          <w:sz w:val="22"/>
          <w:szCs w:val="22"/>
        </w:rPr>
      </w:pPr>
    </w:p>
    <w:p w:rsidR="00A81F4B" w:rsidRPr="00AD53C7" w:rsidRDefault="00A81F4B" w:rsidP="00A81F4B">
      <w:pPr>
        <w:pStyle w:val="BodyText"/>
        <w:ind w:left="820" w:right="365"/>
        <w:rPr>
          <w:rFonts w:asciiTheme="minorHAnsi" w:hAnsiTheme="minorHAnsi" w:cstheme="minorHAnsi"/>
          <w:i/>
          <w:sz w:val="22"/>
          <w:szCs w:val="22"/>
        </w:rPr>
      </w:pPr>
      <w:r w:rsidRPr="00AD53C7">
        <w:rPr>
          <w:rFonts w:asciiTheme="minorHAnsi" w:hAnsiTheme="minorHAnsi" w:cstheme="minorHAnsi"/>
          <w:i/>
          <w:sz w:val="22"/>
          <w:szCs w:val="22"/>
        </w:rPr>
        <w:t xml:space="preserve">It focuses on teaching and learning strategies underpinning the curriculum, and </w:t>
      </w:r>
      <w:r w:rsidRPr="00AD53C7">
        <w:rPr>
          <w:rFonts w:asciiTheme="minorHAnsi" w:hAnsiTheme="minorHAnsi" w:cstheme="minorHAnsi"/>
          <w:i/>
          <w:sz w:val="22"/>
          <w:szCs w:val="22"/>
        </w:rPr>
        <w:lastRenderedPageBreak/>
        <w:t xml:space="preserve">promotes research-informed teaching. Increasingly, it also seeks to involve students by providing opportunities to learn in research-mode and to develop undergraduate research. </w:t>
      </w:r>
      <w:proofErr w:type="spellStart"/>
      <w:r w:rsidRPr="00AD53C7">
        <w:rPr>
          <w:rFonts w:asciiTheme="minorHAnsi" w:hAnsiTheme="minorHAnsi" w:cstheme="minorHAnsi"/>
          <w:i/>
          <w:sz w:val="22"/>
          <w:szCs w:val="22"/>
        </w:rPr>
        <w:t>SoTL</w:t>
      </w:r>
      <w:proofErr w:type="spellEnd"/>
      <w:r w:rsidRPr="00AD53C7">
        <w:rPr>
          <w:rFonts w:asciiTheme="minorHAnsi" w:hAnsiTheme="minorHAnsi" w:cstheme="minorHAnsi"/>
          <w:i/>
          <w:sz w:val="22"/>
          <w:szCs w:val="22"/>
        </w:rPr>
        <w:t xml:space="preserve"> is a research-led form of professional development, and has the potential to inform policy and practice at institutional level, for example, in career development and in the promotion and recognition of teaching excellence.</w:t>
      </w:r>
    </w:p>
    <w:p w:rsidR="00A81F4B" w:rsidRDefault="00A81F4B" w:rsidP="00A81F4B">
      <w:pPr>
        <w:rPr>
          <w:rFonts w:asciiTheme="minorHAnsi" w:hAnsiTheme="minorHAnsi" w:cstheme="minorHAnsi"/>
          <w:sz w:val="22"/>
          <w:szCs w:val="22"/>
        </w:rPr>
      </w:pPr>
    </w:p>
    <w:p w:rsidR="00A81F4B" w:rsidRPr="00AD53C7" w:rsidRDefault="00A81F4B" w:rsidP="00A81F4B">
      <w:pPr>
        <w:pStyle w:val="BodyText"/>
        <w:spacing w:before="60"/>
        <w:ind w:left="460" w:right="131"/>
        <w:rPr>
          <w:rFonts w:asciiTheme="minorHAnsi" w:hAnsiTheme="minorHAnsi" w:cstheme="minorHAnsi"/>
          <w:sz w:val="22"/>
          <w:szCs w:val="22"/>
        </w:rPr>
      </w:pP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xml:space="preserve"> is widely recognised as having significant benefits for higher education institutions. The University of Phoenix observes that the ‘purpose of the scholarship of teaching and learning is to study and improve teaching models and practices to achieve optimal learning’. It therefore benefits the student experience directly. But there are additional benefits for the institution. It is central to improvement to universities as educational institutions and there are reciprocal benefits for staff and students as interactions in the classroom contribute to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xml:space="preserve"> as well as </w:t>
      </w:r>
      <w:r w:rsidRPr="00AD53C7">
        <w:rPr>
          <w:rFonts w:asciiTheme="minorHAnsi" w:hAnsiTheme="minorHAnsi" w:cstheme="minorHAnsi"/>
          <w:i/>
          <w:sz w:val="22"/>
          <w:szCs w:val="22"/>
        </w:rPr>
        <w:t>vice versa</w:t>
      </w:r>
      <w:r w:rsidRPr="00AD53C7">
        <w:rPr>
          <w:rFonts w:asciiTheme="minorHAnsi" w:hAnsiTheme="minorHAnsi" w:cstheme="minorHAnsi"/>
          <w:sz w:val="22"/>
          <w:szCs w:val="22"/>
        </w:rPr>
        <w:t>: ‘Valuing good theory and best practices is a way to reach and teach students and aspiring scholars and practitioners’.</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A81F4B">
      <w:pPr>
        <w:pStyle w:val="Heading1"/>
        <w:ind w:firstLine="0"/>
        <w:rPr>
          <w:rFonts w:asciiTheme="minorHAnsi" w:hAnsiTheme="minorHAnsi" w:cstheme="minorHAnsi"/>
          <w:sz w:val="22"/>
          <w:szCs w:val="22"/>
        </w:rPr>
      </w:pPr>
      <w:r w:rsidRPr="00AD53C7">
        <w:rPr>
          <w:rFonts w:asciiTheme="minorHAnsi" w:hAnsiTheme="minorHAnsi" w:cstheme="minorHAnsi"/>
          <w:sz w:val="22"/>
          <w:szCs w:val="22"/>
        </w:rPr>
        <w:t>La Trobe Definition</w:t>
      </w:r>
    </w:p>
    <w:p w:rsidR="00A81F4B" w:rsidRPr="00AD53C7" w:rsidRDefault="00A81F4B" w:rsidP="00A81F4B">
      <w:pPr>
        <w:pStyle w:val="BodyText"/>
        <w:rPr>
          <w:rFonts w:asciiTheme="minorHAnsi" w:hAnsiTheme="minorHAnsi" w:cstheme="minorHAnsi"/>
          <w:b/>
          <w:sz w:val="22"/>
          <w:szCs w:val="22"/>
        </w:rPr>
      </w:pPr>
    </w:p>
    <w:p w:rsidR="00A81F4B" w:rsidRPr="00AD53C7" w:rsidRDefault="00A81F4B" w:rsidP="00E44B6C">
      <w:pPr>
        <w:pStyle w:val="BodyText"/>
        <w:ind w:left="426" w:right="95"/>
        <w:rPr>
          <w:rFonts w:asciiTheme="minorHAnsi" w:hAnsiTheme="minorHAnsi" w:cstheme="minorHAnsi"/>
          <w:sz w:val="22"/>
          <w:szCs w:val="22"/>
        </w:rPr>
      </w:pPr>
      <w:r w:rsidRPr="00AD53C7">
        <w:rPr>
          <w:rFonts w:asciiTheme="minorHAnsi" w:hAnsiTheme="minorHAnsi" w:cstheme="minorHAnsi"/>
          <w:sz w:val="22"/>
          <w:szCs w:val="22"/>
        </w:rPr>
        <w:t>La Trobe utilise</w:t>
      </w:r>
      <w:r w:rsidR="00601AE1">
        <w:rPr>
          <w:rFonts w:asciiTheme="minorHAnsi" w:hAnsiTheme="minorHAnsi" w:cstheme="minorHAnsi"/>
          <w:sz w:val="22"/>
          <w:szCs w:val="22"/>
        </w:rPr>
        <w:t>s</w:t>
      </w:r>
      <w:r w:rsidRPr="00AD53C7">
        <w:rPr>
          <w:rFonts w:asciiTheme="minorHAnsi" w:hAnsiTheme="minorHAnsi" w:cstheme="minorHAnsi"/>
          <w:sz w:val="22"/>
          <w:szCs w:val="22"/>
        </w:rPr>
        <w:t xml:space="preserve"> the following definition. Our preference for the term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rather than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emphasises our concern to place student learning and the student experience at the centre of all we do:</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E44B6C">
      <w:pPr>
        <w:ind w:left="720" w:right="144"/>
        <w:jc w:val="both"/>
        <w:rPr>
          <w:rFonts w:asciiTheme="minorHAnsi" w:hAnsiTheme="minorHAnsi" w:cstheme="minorHAnsi"/>
          <w:sz w:val="22"/>
          <w:szCs w:val="22"/>
        </w:rPr>
      </w:pPr>
      <w:r w:rsidRPr="00AD53C7">
        <w:rPr>
          <w:rFonts w:asciiTheme="minorHAnsi" w:hAnsiTheme="minorHAnsi" w:cstheme="minorHAnsi"/>
          <w:sz w:val="22"/>
          <w:szCs w:val="22"/>
        </w:rPr>
        <w:t>The Scholarship of Learning and Teaching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at La Trobe refers to systematic, critically reflective and evidence-based learning and teaching practice and/or leadership and/or pedagogic research. It is grounded in the relevant disciplinary and pedagogical literature, is subject to peer review, and contributes positively to continuous improvement in the student experience and the quality of teaching and</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assessment.</w:t>
      </w:r>
    </w:p>
    <w:p w:rsidR="00A81F4B" w:rsidRPr="00AD53C7" w:rsidRDefault="00A81F4B" w:rsidP="00A81F4B">
      <w:pPr>
        <w:pStyle w:val="BodyText"/>
        <w:spacing w:before="1"/>
        <w:rPr>
          <w:rFonts w:asciiTheme="minorHAnsi" w:hAnsiTheme="minorHAnsi" w:cstheme="minorHAnsi"/>
          <w:i/>
          <w:sz w:val="22"/>
          <w:szCs w:val="22"/>
        </w:rPr>
      </w:pPr>
    </w:p>
    <w:p w:rsidR="00A81F4B" w:rsidRPr="00AD53C7" w:rsidRDefault="00A81F4B" w:rsidP="00A81F4B">
      <w:pPr>
        <w:pStyle w:val="BodyText"/>
        <w:ind w:left="426" w:right="313"/>
        <w:rPr>
          <w:rFonts w:asciiTheme="minorHAnsi" w:hAnsiTheme="minorHAnsi" w:cstheme="minorHAnsi"/>
          <w:sz w:val="22"/>
          <w:szCs w:val="22"/>
        </w:rPr>
      </w:pPr>
      <w:r w:rsidRPr="00AD53C7">
        <w:rPr>
          <w:rFonts w:asciiTheme="minorHAnsi" w:hAnsiTheme="minorHAnsi" w:cstheme="minorHAnsi"/>
          <w:sz w:val="22"/>
          <w:szCs w:val="22"/>
        </w:rPr>
        <w:t xml:space="preserve">At La Trobe,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activities will be agreed upon by the staff member and their supervisor for the purposes of Career Success. Engagement in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w:t>
      </w:r>
      <w:proofErr w:type="gramStart"/>
      <w:r w:rsidRPr="00AD53C7">
        <w:rPr>
          <w:rFonts w:asciiTheme="minorHAnsi" w:hAnsiTheme="minorHAnsi" w:cstheme="minorHAnsi"/>
          <w:sz w:val="22"/>
          <w:szCs w:val="22"/>
        </w:rPr>
        <w:t>can be demonstrated</w:t>
      </w:r>
      <w:proofErr w:type="gramEnd"/>
      <w:r w:rsidRPr="00AD53C7">
        <w:rPr>
          <w:rFonts w:asciiTheme="minorHAnsi" w:hAnsiTheme="minorHAnsi" w:cstheme="minorHAnsi"/>
          <w:sz w:val="22"/>
          <w:szCs w:val="22"/>
        </w:rPr>
        <w:t xml:space="preserve"> in a number of ways including:</w:t>
      </w:r>
    </w:p>
    <w:p w:rsidR="00A81F4B" w:rsidRPr="00AD53C7" w:rsidRDefault="00A81F4B" w:rsidP="00A81F4B">
      <w:pPr>
        <w:pStyle w:val="BodyText"/>
        <w:rPr>
          <w:rFonts w:asciiTheme="minorHAnsi" w:hAnsiTheme="minorHAnsi" w:cstheme="minorHAnsi"/>
          <w:sz w:val="22"/>
          <w:szCs w:val="22"/>
        </w:rPr>
      </w:pPr>
    </w:p>
    <w:p w:rsidR="00A81F4B" w:rsidRPr="00AD53C7" w:rsidRDefault="00A81F4B" w:rsidP="00A81F4B">
      <w:pPr>
        <w:pStyle w:val="ListParagraph"/>
        <w:widowControl w:val="0"/>
        <w:numPr>
          <w:ilvl w:val="0"/>
          <w:numId w:val="34"/>
        </w:numPr>
        <w:tabs>
          <w:tab w:val="left" w:pos="1540"/>
          <w:tab w:val="left" w:pos="1541"/>
        </w:tabs>
        <w:autoSpaceDE w:val="0"/>
        <w:autoSpaceDN w:val="0"/>
        <w:spacing w:after="0"/>
        <w:ind w:right="316" w:hanging="487"/>
        <w:contextualSpacing w:val="0"/>
        <w:jc w:val="left"/>
        <w:rPr>
          <w:rFonts w:asciiTheme="minorHAnsi" w:hAnsiTheme="minorHAnsi" w:cstheme="minorHAnsi"/>
          <w:sz w:val="22"/>
          <w:szCs w:val="22"/>
        </w:rPr>
      </w:pPr>
      <w:r w:rsidRPr="00AD53C7">
        <w:rPr>
          <w:rFonts w:asciiTheme="minorHAnsi" w:hAnsiTheme="minorHAnsi" w:cstheme="minorHAnsi"/>
          <w:sz w:val="22"/>
          <w:szCs w:val="22"/>
        </w:rPr>
        <w:t>a critically reflective approach to development, monitoring and evaluation of subjects, courses, learning resources and curricula based on scholarly evaluation of subject and course-level data;</w:t>
      </w:r>
      <w:r w:rsidRPr="00AD53C7">
        <w:rPr>
          <w:rFonts w:asciiTheme="minorHAnsi" w:hAnsiTheme="minorHAnsi" w:cstheme="minorHAnsi"/>
          <w:spacing w:val="3"/>
          <w:sz w:val="22"/>
          <w:szCs w:val="22"/>
        </w:rPr>
        <w:t xml:space="preserve"> </w:t>
      </w:r>
      <w:r w:rsidRPr="00AD53C7">
        <w:rPr>
          <w:rFonts w:asciiTheme="minorHAnsi" w:hAnsiTheme="minorHAnsi" w:cstheme="minorHAnsi"/>
          <w:sz w:val="22"/>
          <w:szCs w:val="22"/>
        </w:rPr>
        <w:t>and/or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1" w:after="0"/>
        <w:ind w:right="199" w:hanging="554"/>
        <w:contextualSpacing w:val="0"/>
        <w:jc w:val="left"/>
        <w:rPr>
          <w:rFonts w:asciiTheme="minorHAnsi" w:hAnsiTheme="minorHAnsi" w:cstheme="minorHAnsi"/>
          <w:sz w:val="22"/>
          <w:szCs w:val="22"/>
        </w:rPr>
      </w:pPr>
      <w:r w:rsidRPr="00AD53C7">
        <w:rPr>
          <w:rFonts w:asciiTheme="minorHAnsi" w:hAnsiTheme="minorHAnsi" w:cstheme="minorHAnsi"/>
          <w:sz w:val="22"/>
          <w:szCs w:val="22"/>
        </w:rPr>
        <w:t>the creation and evaluation of innovative teaching, assessment and curriculum design strategies; and/or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1" w:after="0"/>
        <w:ind w:right="820" w:hanging="619"/>
        <w:contextualSpacing w:val="0"/>
        <w:jc w:val="left"/>
        <w:rPr>
          <w:rFonts w:asciiTheme="minorHAnsi" w:hAnsiTheme="minorHAnsi" w:cstheme="minorHAnsi"/>
          <w:sz w:val="22"/>
          <w:szCs w:val="22"/>
        </w:rPr>
      </w:pPr>
      <w:r w:rsidRPr="00AD53C7">
        <w:rPr>
          <w:rFonts w:asciiTheme="minorHAnsi" w:hAnsiTheme="minorHAnsi" w:cstheme="minorHAnsi"/>
          <w:sz w:val="22"/>
          <w:szCs w:val="22"/>
        </w:rPr>
        <w:t xml:space="preserve">adoption and evaluation of technologies to enhance the student </w:t>
      </w:r>
      <w:r w:rsidRPr="00AD53C7">
        <w:rPr>
          <w:rFonts w:asciiTheme="minorHAnsi" w:hAnsiTheme="minorHAnsi" w:cstheme="minorHAnsi"/>
          <w:spacing w:val="-2"/>
          <w:sz w:val="22"/>
          <w:szCs w:val="22"/>
        </w:rPr>
        <w:t xml:space="preserve">learning </w:t>
      </w:r>
      <w:r w:rsidRPr="00AD53C7">
        <w:rPr>
          <w:rFonts w:asciiTheme="minorHAnsi" w:hAnsiTheme="minorHAnsi" w:cstheme="minorHAnsi"/>
          <w:sz w:val="22"/>
          <w:szCs w:val="22"/>
        </w:rPr>
        <w:t>experience;</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1" w:after="0"/>
        <w:ind w:right="521" w:hanging="607"/>
        <w:contextualSpacing w:val="0"/>
        <w:jc w:val="left"/>
        <w:rPr>
          <w:rFonts w:asciiTheme="minorHAnsi" w:hAnsiTheme="minorHAnsi" w:cstheme="minorHAnsi"/>
          <w:sz w:val="22"/>
          <w:szCs w:val="22"/>
        </w:rPr>
      </w:pPr>
      <w:r w:rsidRPr="00AD53C7">
        <w:rPr>
          <w:rFonts w:asciiTheme="minorHAnsi" w:hAnsiTheme="minorHAnsi" w:cstheme="minorHAnsi"/>
          <w:sz w:val="22"/>
          <w:szCs w:val="22"/>
        </w:rPr>
        <w:t>engaging with students systematically and as partners to improve teaching, learning and curriculum design and delivery;</w:t>
      </w:r>
      <w:r w:rsidRPr="00AD53C7">
        <w:rPr>
          <w:rFonts w:asciiTheme="minorHAnsi" w:hAnsiTheme="minorHAnsi" w:cstheme="minorHAnsi"/>
          <w:spacing w:val="-2"/>
          <w:sz w:val="22"/>
          <w:szCs w:val="22"/>
        </w:rPr>
        <w:t xml:space="preserve"> </w:t>
      </w:r>
      <w:r w:rsidRPr="00AD53C7">
        <w:rPr>
          <w:rFonts w:asciiTheme="minorHAnsi" w:hAnsiTheme="minorHAnsi" w:cstheme="minorHAnsi"/>
          <w:sz w:val="22"/>
          <w:szCs w:val="22"/>
        </w:rPr>
        <w:t>and/or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1" w:after="0"/>
        <w:ind w:right="540" w:hanging="540"/>
        <w:contextualSpacing w:val="0"/>
        <w:jc w:val="left"/>
        <w:rPr>
          <w:rFonts w:asciiTheme="minorHAnsi" w:hAnsiTheme="minorHAnsi" w:cstheme="minorHAnsi"/>
          <w:sz w:val="22"/>
          <w:szCs w:val="22"/>
        </w:rPr>
      </w:pPr>
      <w:r w:rsidRPr="00AD53C7">
        <w:rPr>
          <w:rFonts w:asciiTheme="minorHAnsi" w:hAnsiTheme="minorHAnsi" w:cstheme="minorHAnsi"/>
          <w:sz w:val="22"/>
          <w:szCs w:val="22"/>
        </w:rPr>
        <w:t>providing sustained undergraduate research opportunities to strengthen the learning-teaching-research nexus; and</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1" w:after="0"/>
        <w:ind w:right="1175" w:hanging="607"/>
        <w:contextualSpacing w:val="0"/>
        <w:jc w:val="left"/>
        <w:rPr>
          <w:rFonts w:asciiTheme="minorHAnsi" w:hAnsiTheme="minorHAnsi" w:cstheme="minorHAnsi"/>
          <w:sz w:val="22"/>
          <w:szCs w:val="22"/>
        </w:rPr>
      </w:pPr>
      <w:r w:rsidRPr="00AD53C7">
        <w:rPr>
          <w:rFonts w:asciiTheme="minorHAnsi" w:hAnsiTheme="minorHAnsi" w:cstheme="minorHAnsi"/>
          <w:sz w:val="22"/>
          <w:szCs w:val="22"/>
        </w:rPr>
        <w:t>engaging in projects funded by external or internal grants to support instructional activities;</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and/or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60" w:after="0"/>
        <w:ind w:right="386" w:hanging="674"/>
        <w:contextualSpacing w:val="0"/>
        <w:jc w:val="left"/>
        <w:rPr>
          <w:rFonts w:asciiTheme="minorHAnsi" w:hAnsiTheme="minorHAnsi" w:cstheme="minorHAnsi"/>
          <w:sz w:val="22"/>
          <w:szCs w:val="22"/>
        </w:rPr>
      </w:pPr>
      <w:r w:rsidRPr="00AD53C7">
        <w:rPr>
          <w:rFonts w:asciiTheme="minorHAnsi" w:hAnsiTheme="minorHAnsi" w:cstheme="minorHAnsi"/>
          <w:sz w:val="22"/>
          <w:szCs w:val="22"/>
        </w:rPr>
        <w:t>influencing and improving practice at the local or institutional levels; and/or identifying, sharing and advocating for evidence-based practice in teaching and learning at La Trobe;</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and/or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2" w:after="0"/>
        <w:ind w:right="187" w:hanging="739"/>
        <w:contextualSpacing w:val="0"/>
        <w:jc w:val="left"/>
        <w:rPr>
          <w:rFonts w:asciiTheme="minorHAnsi" w:hAnsiTheme="minorHAnsi" w:cstheme="minorHAnsi"/>
          <w:sz w:val="22"/>
          <w:szCs w:val="22"/>
        </w:rPr>
      </w:pPr>
      <w:r w:rsidRPr="00AD53C7">
        <w:rPr>
          <w:rFonts w:asciiTheme="minorHAnsi" w:hAnsiTheme="minorHAnsi" w:cstheme="minorHAnsi"/>
          <w:sz w:val="22"/>
          <w:szCs w:val="22"/>
        </w:rPr>
        <w:lastRenderedPageBreak/>
        <w:t>fostering conversations in schools, departments and colleges that are informed by national and international higher education developments, and local issues and strategic priorities;</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and/or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1" w:after="0"/>
        <w:ind w:right="258" w:hanging="607"/>
        <w:contextualSpacing w:val="0"/>
        <w:jc w:val="left"/>
        <w:rPr>
          <w:rFonts w:asciiTheme="minorHAnsi" w:hAnsiTheme="minorHAnsi" w:cstheme="minorHAnsi"/>
          <w:sz w:val="22"/>
          <w:szCs w:val="22"/>
        </w:rPr>
      </w:pPr>
      <w:r w:rsidRPr="00AD53C7">
        <w:rPr>
          <w:rFonts w:asciiTheme="minorHAnsi" w:hAnsiTheme="minorHAnsi" w:cstheme="minorHAnsi"/>
          <w:sz w:val="22"/>
          <w:szCs w:val="22"/>
        </w:rPr>
        <w:t>scholarly, evidence-based presentations to peers at seminars and conferences; and/or</w:t>
      </w:r>
    </w:p>
    <w:p w:rsidR="00A81F4B" w:rsidRPr="00AD53C7" w:rsidRDefault="00A81F4B" w:rsidP="00A81F4B">
      <w:pPr>
        <w:pStyle w:val="ListParagraph"/>
        <w:widowControl w:val="0"/>
        <w:numPr>
          <w:ilvl w:val="0"/>
          <w:numId w:val="34"/>
        </w:numPr>
        <w:tabs>
          <w:tab w:val="left" w:pos="1540"/>
          <w:tab w:val="left" w:pos="1541"/>
        </w:tabs>
        <w:autoSpaceDE w:val="0"/>
        <w:autoSpaceDN w:val="0"/>
        <w:spacing w:before="40" w:after="0"/>
        <w:ind w:hanging="540"/>
        <w:contextualSpacing w:val="0"/>
        <w:jc w:val="left"/>
        <w:rPr>
          <w:rFonts w:asciiTheme="minorHAnsi" w:hAnsiTheme="minorHAnsi" w:cstheme="minorHAnsi"/>
          <w:sz w:val="22"/>
          <w:szCs w:val="22"/>
        </w:rPr>
      </w:pPr>
      <w:r w:rsidRPr="00AD53C7">
        <w:rPr>
          <w:rFonts w:asciiTheme="minorHAnsi" w:hAnsiTheme="minorHAnsi" w:cstheme="minorHAnsi"/>
          <w:sz w:val="22"/>
          <w:szCs w:val="22"/>
        </w:rPr>
        <w:t>publishing pedagogic research in peer-reviewed</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journals.</w:t>
      </w:r>
    </w:p>
    <w:p w:rsidR="00A81F4B" w:rsidRPr="00AD53C7" w:rsidRDefault="00A81F4B" w:rsidP="00A81F4B">
      <w:pPr>
        <w:spacing w:before="41"/>
        <w:ind w:right="116"/>
        <w:jc w:val="right"/>
        <w:rPr>
          <w:rFonts w:asciiTheme="minorHAnsi" w:hAnsiTheme="minorHAnsi" w:cstheme="minorHAnsi"/>
          <w:i/>
          <w:sz w:val="22"/>
          <w:szCs w:val="22"/>
        </w:rPr>
      </w:pPr>
    </w:p>
    <w:p w:rsidR="00A81F4B" w:rsidRPr="00AD53C7" w:rsidRDefault="00A81F4B" w:rsidP="00A81F4B">
      <w:pPr>
        <w:spacing w:before="41"/>
        <w:ind w:right="116"/>
        <w:jc w:val="right"/>
        <w:rPr>
          <w:rFonts w:asciiTheme="minorHAnsi" w:hAnsiTheme="minorHAnsi" w:cstheme="minorHAnsi"/>
          <w:color w:val="363636"/>
          <w:sz w:val="22"/>
          <w:szCs w:val="22"/>
          <w:shd w:val="clear" w:color="auto" w:fill="FFFFFF"/>
        </w:rPr>
      </w:pPr>
      <w:r w:rsidRPr="00AD53C7">
        <w:rPr>
          <w:rFonts w:asciiTheme="minorHAnsi" w:hAnsiTheme="minorHAnsi" w:cstheme="minorHAnsi"/>
          <w:i/>
          <w:sz w:val="22"/>
          <w:szCs w:val="22"/>
        </w:rPr>
        <w:t xml:space="preserve">Paula Baron, </w:t>
      </w:r>
      <w:r w:rsidRPr="00AD53C7">
        <w:rPr>
          <w:rFonts w:asciiTheme="minorHAnsi" w:hAnsiTheme="minorHAnsi" w:cstheme="minorHAnsi"/>
          <w:i/>
          <w:color w:val="363636"/>
          <w:sz w:val="22"/>
          <w:szCs w:val="22"/>
          <w:shd w:val="clear" w:color="auto" w:fill="FFFFFF"/>
        </w:rPr>
        <w:t>PVC Learning Quality Innovation</w:t>
      </w:r>
    </w:p>
    <w:p w:rsidR="00A81F4B" w:rsidRPr="00AD53C7" w:rsidRDefault="00A81F4B" w:rsidP="00A81F4B">
      <w:pPr>
        <w:spacing w:before="41"/>
        <w:ind w:right="116"/>
        <w:jc w:val="right"/>
        <w:rPr>
          <w:rFonts w:asciiTheme="minorHAnsi" w:hAnsiTheme="minorHAnsi" w:cstheme="minorHAnsi"/>
          <w:i/>
          <w:sz w:val="22"/>
          <w:szCs w:val="22"/>
        </w:rPr>
      </w:pPr>
      <w:r w:rsidRPr="00AD53C7">
        <w:rPr>
          <w:rFonts w:asciiTheme="minorHAnsi" w:hAnsiTheme="minorHAnsi" w:cstheme="minorHAnsi"/>
          <w:i/>
          <w:sz w:val="22"/>
          <w:szCs w:val="22"/>
        </w:rPr>
        <w:t>August 2018</w:t>
      </w:r>
    </w:p>
    <w:p w:rsidR="00A81F4B" w:rsidRPr="00AD53C7" w:rsidRDefault="00A81F4B" w:rsidP="00A81F4B">
      <w:pPr>
        <w:spacing w:after="60"/>
        <w:rPr>
          <w:rFonts w:asciiTheme="minorHAnsi" w:hAnsiTheme="minorHAnsi" w:cstheme="minorHAnsi"/>
          <w:sz w:val="22"/>
          <w:szCs w:val="22"/>
          <w:lang w:val="en-AU"/>
        </w:rPr>
      </w:pPr>
    </w:p>
    <w:p w:rsidR="00265D6D" w:rsidRPr="00DD4712" w:rsidRDefault="00265D6D" w:rsidP="00C03CF9">
      <w:pPr>
        <w:spacing w:after="60"/>
        <w:rPr>
          <w:rFonts w:ascii="Calibri" w:hAnsi="Calibri"/>
          <w:sz w:val="16"/>
          <w:szCs w:val="16"/>
          <w:lang w:val="en-AU"/>
        </w:rPr>
      </w:pPr>
    </w:p>
    <w:sectPr w:rsidR="00265D6D" w:rsidRPr="00DD4712" w:rsidSect="00A02E8F">
      <w:headerReference w:type="even" r:id="rId13"/>
      <w:headerReference w:type="default" r:id="rId14"/>
      <w:foot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55" w:rsidRDefault="00D61455">
      <w:r>
        <w:separator/>
      </w:r>
    </w:p>
  </w:endnote>
  <w:endnote w:type="continuationSeparator" w:id="0">
    <w:p w:rsidR="00D61455" w:rsidRDefault="00D6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E763A2">
      <w:rPr>
        <w:i/>
        <w:sz w:val="16"/>
        <w:szCs w:val="16"/>
      </w:rPr>
      <w:t>October 2018</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55" w:rsidRDefault="00D61455">
      <w:r>
        <w:separator/>
      </w:r>
    </w:p>
  </w:footnote>
  <w:footnote w:type="continuationSeparator" w:id="0">
    <w:p w:rsidR="00D61455" w:rsidRDefault="00D6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F24B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7728;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F24B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77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67B4B"/>
    <w:multiLevelType w:val="hybridMultilevel"/>
    <w:tmpl w:val="707E2720"/>
    <w:lvl w:ilvl="0" w:tplc="68088C96">
      <w:start w:val="1"/>
      <w:numFmt w:val="decimal"/>
      <w:lvlText w:val="%1."/>
      <w:lvlJc w:val="left"/>
      <w:pPr>
        <w:ind w:left="1180" w:hanging="360"/>
      </w:pPr>
      <w:rPr>
        <w:rFonts w:ascii="Times New Roman" w:eastAsia="Times New Roman" w:hAnsi="Times New Roman" w:cs="Times New Roman" w:hint="default"/>
        <w:spacing w:val="-5"/>
        <w:w w:val="100"/>
        <w:sz w:val="24"/>
        <w:szCs w:val="24"/>
        <w:lang w:val="en-AU" w:eastAsia="en-AU" w:bidi="en-AU"/>
      </w:rPr>
    </w:lvl>
    <w:lvl w:ilvl="1" w:tplc="F7C83CF4">
      <w:numFmt w:val="bullet"/>
      <w:lvlText w:val=""/>
      <w:lvlJc w:val="left"/>
      <w:pPr>
        <w:ind w:left="1540" w:hanging="360"/>
      </w:pPr>
      <w:rPr>
        <w:rFonts w:ascii="Symbol" w:eastAsia="Symbol" w:hAnsi="Symbol" w:cs="Symbol" w:hint="default"/>
        <w:w w:val="100"/>
        <w:sz w:val="24"/>
        <w:szCs w:val="24"/>
        <w:lang w:val="en-AU" w:eastAsia="en-AU" w:bidi="en-AU"/>
      </w:rPr>
    </w:lvl>
    <w:lvl w:ilvl="2" w:tplc="C940200C">
      <w:numFmt w:val="bullet"/>
      <w:lvlText w:val="•"/>
      <w:lvlJc w:val="left"/>
      <w:pPr>
        <w:ind w:left="2396" w:hanging="360"/>
      </w:pPr>
      <w:rPr>
        <w:rFonts w:hint="default"/>
        <w:lang w:val="en-AU" w:eastAsia="en-AU" w:bidi="en-AU"/>
      </w:rPr>
    </w:lvl>
    <w:lvl w:ilvl="3" w:tplc="E356DD70">
      <w:numFmt w:val="bullet"/>
      <w:lvlText w:val="•"/>
      <w:lvlJc w:val="left"/>
      <w:pPr>
        <w:ind w:left="3252" w:hanging="360"/>
      </w:pPr>
      <w:rPr>
        <w:rFonts w:hint="default"/>
        <w:lang w:val="en-AU" w:eastAsia="en-AU" w:bidi="en-AU"/>
      </w:rPr>
    </w:lvl>
    <w:lvl w:ilvl="4" w:tplc="A4E0A9EC">
      <w:numFmt w:val="bullet"/>
      <w:lvlText w:val="•"/>
      <w:lvlJc w:val="left"/>
      <w:pPr>
        <w:ind w:left="4108" w:hanging="360"/>
      </w:pPr>
      <w:rPr>
        <w:rFonts w:hint="default"/>
        <w:lang w:val="en-AU" w:eastAsia="en-AU" w:bidi="en-AU"/>
      </w:rPr>
    </w:lvl>
    <w:lvl w:ilvl="5" w:tplc="4E50D3A6">
      <w:numFmt w:val="bullet"/>
      <w:lvlText w:val="•"/>
      <w:lvlJc w:val="left"/>
      <w:pPr>
        <w:ind w:left="4965" w:hanging="360"/>
      </w:pPr>
      <w:rPr>
        <w:rFonts w:hint="default"/>
        <w:lang w:val="en-AU" w:eastAsia="en-AU" w:bidi="en-AU"/>
      </w:rPr>
    </w:lvl>
    <w:lvl w:ilvl="6" w:tplc="2C74A588">
      <w:numFmt w:val="bullet"/>
      <w:lvlText w:val="•"/>
      <w:lvlJc w:val="left"/>
      <w:pPr>
        <w:ind w:left="5821" w:hanging="360"/>
      </w:pPr>
      <w:rPr>
        <w:rFonts w:hint="default"/>
        <w:lang w:val="en-AU" w:eastAsia="en-AU" w:bidi="en-AU"/>
      </w:rPr>
    </w:lvl>
    <w:lvl w:ilvl="7" w:tplc="EC588124">
      <w:numFmt w:val="bullet"/>
      <w:lvlText w:val="•"/>
      <w:lvlJc w:val="left"/>
      <w:pPr>
        <w:ind w:left="6677" w:hanging="360"/>
      </w:pPr>
      <w:rPr>
        <w:rFonts w:hint="default"/>
        <w:lang w:val="en-AU" w:eastAsia="en-AU" w:bidi="en-AU"/>
      </w:rPr>
    </w:lvl>
    <w:lvl w:ilvl="8" w:tplc="CCF2FB38">
      <w:numFmt w:val="bullet"/>
      <w:lvlText w:val="•"/>
      <w:lvlJc w:val="left"/>
      <w:pPr>
        <w:ind w:left="7533" w:hanging="360"/>
      </w:pPr>
      <w:rPr>
        <w:rFonts w:hint="default"/>
        <w:lang w:val="en-AU" w:eastAsia="en-AU" w:bidi="en-AU"/>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45C07"/>
    <w:multiLevelType w:val="hybridMultilevel"/>
    <w:tmpl w:val="A50E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8D22DFB"/>
    <w:multiLevelType w:val="hybridMultilevel"/>
    <w:tmpl w:val="44641DEA"/>
    <w:lvl w:ilvl="0" w:tplc="07324750">
      <w:start w:val="1"/>
      <w:numFmt w:val="lowerRoman"/>
      <w:lvlText w:val="%1."/>
      <w:lvlJc w:val="left"/>
      <w:pPr>
        <w:ind w:left="1540" w:hanging="488"/>
        <w:jc w:val="right"/>
      </w:pPr>
      <w:rPr>
        <w:rFonts w:ascii="Times New Roman" w:eastAsia="Times New Roman" w:hAnsi="Times New Roman" w:cs="Times New Roman" w:hint="default"/>
        <w:spacing w:val="-5"/>
        <w:w w:val="99"/>
        <w:sz w:val="24"/>
        <w:szCs w:val="24"/>
        <w:lang w:val="en-AU" w:eastAsia="en-AU" w:bidi="en-AU"/>
      </w:rPr>
    </w:lvl>
    <w:lvl w:ilvl="1" w:tplc="3C9810EA">
      <w:numFmt w:val="bullet"/>
      <w:lvlText w:val="•"/>
      <w:lvlJc w:val="left"/>
      <w:pPr>
        <w:ind w:left="2310" w:hanging="488"/>
      </w:pPr>
      <w:rPr>
        <w:rFonts w:hint="default"/>
        <w:lang w:val="en-AU" w:eastAsia="en-AU" w:bidi="en-AU"/>
      </w:rPr>
    </w:lvl>
    <w:lvl w:ilvl="2" w:tplc="4CB64902">
      <w:numFmt w:val="bullet"/>
      <w:lvlText w:val="•"/>
      <w:lvlJc w:val="left"/>
      <w:pPr>
        <w:ind w:left="3081" w:hanging="488"/>
      </w:pPr>
      <w:rPr>
        <w:rFonts w:hint="default"/>
        <w:lang w:val="en-AU" w:eastAsia="en-AU" w:bidi="en-AU"/>
      </w:rPr>
    </w:lvl>
    <w:lvl w:ilvl="3" w:tplc="21A4D55C">
      <w:numFmt w:val="bullet"/>
      <w:lvlText w:val="•"/>
      <w:lvlJc w:val="left"/>
      <w:pPr>
        <w:ind w:left="3851" w:hanging="488"/>
      </w:pPr>
      <w:rPr>
        <w:rFonts w:hint="default"/>
        <w:lang w:val="en-AU" w:eastAsia="en-AU" w:bidi="en-AU"/>
      </w:rPr>
    </w:lvl>
    <w:lvl w:ilvl="4" w:tplc="BE0A1130">
      <w:numFmt w:val="bullet"/>
      <w:lvlText w:val="•"/>
      <w:lvlJc w:val="left"/>
      <w:pPr>
        <w:ind w:left="4622" w:hanging="488"/>
      </w:pPr>
      <w:rPr>
        <w:rFonts w:hint="default"/>
        <w:lang w:val="en-AU" w:eastAsia="en-AU" w:bidi="en-AU"/>
      </w:rPr>
    </w:lvl>
    <w:lvl w:ilvl="5" w:tplc="D9B23412">
      <w:numFmt w:val="bullet"/>
      <w:lvlText w:val="•"/>
      <w:lvlJc w:val="left"/>
      <w:pPr>
        <w:ind w:left="5393" w:hanging="488"/>
      </w:pPr>
      <w:rPr>
        <w:rFonts w:hint="default"/>
        <w:lang w:val="en-AU" w:eastAsia="en-AU" w:bidi="en-AU"/>
      </w:rPr>
    </w:lvl>
    <w:lvl w:ilvl="6" w:tplc="EDB28678">
      <w:numFmt w:val="bullet"/>
      <w:lvlText w:val="•"/>
      <w:lvlJc w:val="left"/>
      <w:pPr>
        <w:ind w:left="6163" w:hanging="488"/>
      </w:pPr>
      <w:rPr>
        <w:rFonts w:hint="default"/>
        <w:lang w:val="en-AU" w:eastAsia="en-AU" w:bidi="en-AU"/>
      </w:rPr>
    </w:lvl>
    <w:lvl w:ilvl="7" w:tplc="0A62BDEA">
      <w:numFmt w:val="bullet"/>
      <w:lvlText w:val="•"/>
      <w:lvlJc w:val="left"/>
      <w:pPr>
        <w:ind w:left="6934" w:hanging="488"/>
      </w:pPr>
      <w:rPr>
        <w:rFonts w:hint="default"/>
        <w:lang w:val="en-AU" w:eastAsia="en-AU" w:bidi="en-AU"/>
      </w:rPr>
    </w:lvl>
    <w:lvl w:ilvl="8" w:tplc="410864D2">
      <w:numFmt w:val="bullet"/>
      <w:lvlText w:val="•"/>
      <w:lvlJc w:val="left"/>
      <w:pPr>
        <w:ind w:left="7705" w:hanging="488"/>
      </w:pPr>
      <w:rPr>
        <w:rFonts w:hint="default"/>
        <w:lang w:val="en-AU" w:eastAsia="en-AU" w:bidi="en-AU"/>
      </w:r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5"/>
  </w:num>
  <w:num w:numId="4">
    <w:abstractNumId w:val="16"/>
  </w:num>
  <w:num w:numId="5">
    <w:abstractNumId w:val="22"/>
  </w:num>
  <w:num w:numId="6">
    <w:abstractNumId w:val="23"/>
  </w:num>
  <w:num w:numId="7">
    <w:abstractNumId w:val="11"/>
  </w:num>
  <w:num w:numId="8">
    <w:abstractNumId w:val="3"/>
  </w:num>
  <w:num w:numId="9">
    <w:abstractNumId w:val="24"/>
  </w:num>
  <w:num w:numId="10">
    <w:abstractNumId w:val="27"/>
  </w:num>
  <w:num w:numId="11">
    <w:abstractNumId w:val="15"/>
  </w:num>
  <w:num w:numId="12">
    <w:abstractNumId w:val="8"/>
  </w:num>
  <w:num w:numId="13">
    <w:abstractNumId w:val="31"/>
  </w:num>
  <w:num w:numId="14">
    <w:abstractNumId w:val="29"/>
  </w:num>
  <w:num w:numId="15">
    <w:abstractNumId w:val="20"/>
  </w:num>
  <w:num w:numId="16">
    <w:abstractNumId w:val="19"/>
  </w:num>
  <w:num w:numId="17">
    <w:abstractNumId w:val="30"/>
  </w:num>
  <w:num w:numId="18">
    <w:abstractNumId w:val="33"/>
  </w:num>
  <w:num w:numId="19">
    <w:abstractNumId w:val="4"/>
  </w:num>
  <w:num w:numId="20">
    <w:abstractNumId w:val="12"/>
  </w:num>
  <w:num w:numId="21">
    <w:abstractNumId w:val="28"/>
  </w:num>
  <w:num w:numId="22">
    <w:abstractNumId w:val="9"/>
  </w:num>
  <w:num w:numId="23">
    <w:abstractNumId w:val="0"/>
  </w:num>
  <w:num w:numId="24">
    <w:abstractNumId w:val="17"/>
  </w:num>
  <w:num w:numId="25">
    <w:abstractNumId w:val="7"/>
  </w:num>
  <w:num w:numId="26">
    <w:abstractNumId w:val="1"/>
  </w:num>
  <w:num w:numId="27">
    <w:abstractNumId w:val="2"/>
  </w:num>
  <w:num w:numId="28">
    <w:abstractNumId w:val="10"/>
  </w:num>
  <w:num w:numId="29">
    <w:abstractNumId w:val="34"/>
  </w:num>
  <w:num w:numId="30">
    <w:abstractNumId w:val="6"/>
  </w:num>
  <w:num w:numId="31">
    <w:abstractNumId w:val="14"/>
  </w:num>
  <w:num w:numId="32">
    <w:abstractNumId w:val="35"/>
  </w:num>
  <w:num w:numId="33">
    <w:abstractNumId w:val="18"/>
  </w:num>
  <w:num w:numId="34">
    <w:abstractNumId w:val="26"/>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D0"/>
    <w:rsid w:val="000071F5"/>
    <w:rsid w:val="00022CBA"/>
    <w:rsid w:val="00024409"/>
    <w:rsid w:val="00024FA3"/>
    <w:rsid w:val="00026046"/>
    <w:rsid w:val="00043BFD"/>
    <w:rsid w:val="0004599F"/>
    <w:rsid w:val="000525D9"/>
    <w:rsid w:val="00054C61"/>
    <w:rsid w:val="00061F2F"/>
    <w:rsid w:val="00070A22"/>
    <w:rsid w:val="00075BE2"/>
    <w:rsid w:val="00076B6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41CED"/>
    <w:rsid w:val="00166342"/>
    <w:rsid w:val="00166A9D"/>
    <w:rsid w:val="001908D2"/>
    <w:rsid w:val="001A15D3"/>
    <w:rsid w:val="001B303F"/>
    <w:rsid w:val="001B38E4"/>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16C6"/>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57AD1"/>
    <w:rsid w:val="00560D9F"/>
    <w:rsid w:val="00587393"/>
    <w:rsid w:val="005A56CF"/>
    <w:rsid w:val="005F3321"/>
    <w:rsid w:val="00601AE1"/>
    <w:rsid w:val="00611589"/>
    <w:rsid w:val="006374AB"/>
    <w:rsid w:val="00644663"/>
    <w:rsid w:val="006505B6"/>
    <w:rsid w:val="00660C71"/>
    <w:rsid w:val="006629E6"/>
    <w:rsid w:val="00677A7D"/>
    <w:rsid w:val="006811C9"/>
    <w:rsid w:val="00683B74"/>
    <w:rsid w:val="00684D0B"/>
    <w:rsid w:val="006864C7"/>
    <w:rsid w:val="00697233"/>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3264"/>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77216"/>
    <w:rsid w:val="0098228A"/>
    <w:rsid w:val="0098359C"/>
    <w:rsid w:val="00984C04"/>
    <w:rsid w:val="00990932"/>
    <w:rsid w:val="009A15BA"/>
    <w:rsid w:val="009B091D"/>
    <w:rsid w:val="009B2F16"/>
    <w:rsid w:val="009D5B18"/>
    <w:rsid w:val="009E0A63"/>
    <w:rsid w:val="009F212E"/>
    <w:rsid w:val="009F7B57"/>
    <w:rsid w:val="00A02E8F"/>
    <w:rsid w:val="00A1133C"/>
    <w:rsid w:val="00A13BB7"/>
    <w:rsid w:val="00A220CE"/>
    <w:rsid w:val="00A2623F"/>
    <w:rsid w:val="00A345AF"/>
    <w:rsid w:val="00A425BA"/>
    <w:rsid w:val="00A46E57"/>
    <w:rsid w:val="00A52E42"/>
    <w:rsid w:val="00A55BC3"/>
    <w:rsid w:val="00A60F34"/>
    <w:rsid w:val="00A62A57"/>
    <w:rsid w:val="00A64A18"/>
    <w:rsid w:val="00A67E1E"/>
    <w:rsid w:val="00A77FDD"/>
    <w:rsid w:val="00A81F4B"/>
    <w:rsid w:val="00A84E11"/>
    <w:rsid w:val="00A861C0"/>
    <w:rsid w:val="00A91018"/>
    <w:rsid w:val="00AA134A"/>
    <w:rsid w:val="00AA480C"/>
    <w:rsid w:val="00AA5846"/>
    <w:rsid w:val="00AB02EB"/>
    <w:rsid w:val="00AC23EB"/>
    <w:rsid w:val="00AD685E"/>
    <w:rsid w:val="00AE25D2"/>
    <w:rsid w:val="00B037AE"/>
    <w:rsid w:val="00B05B00"/>
    <w:rsid w:val="00B06FCC"/>
    <w:rsid w:val="00B105FB"/>
    <w:rsid w:val="00B20918"/>
    <w:rsid w:val="00B20CFC"/>
    <w:rsid w:val="00B220E8"/>
    <w:rsid w:val="00B36F35"/>
    <w:rsid w:val="00B4034C"/>
    <w:rsid w:val="00B4513A"/>
    <w:rsid w:val="00B47792"/>
    <w:rsid w:val="00B53ED0"/>
    <w:rsid w:val="00B53F6E"/>
    <w:rsid w:val="00B76A0D"/>
    <w:rsid w:val="00B775F6"/>
    <w:rsid w:val="00B97A05"/>
    <w:rsid w:val="00BA19EF"/>
    <w:rsid w:val="00BA3C29"/>
    <w:rsid w:val="00BB5F6A"/>
    <w:rsid w:val="00BC0265"/>
    <w:rsid w:val="00BE08F6"/>
    <w:rsid w:val="00BE1D29"/>
    <w:rsid w:val="00BE5C22"/>
    <w:rsid w:val="00C02C2A"/>
    <w:rsid w:val="00C03CF9"/>
    <w:rsid w:val="00C03F22"/>
    <w:rsid w:val="00C04F87"/>
    <w:rsid w:val="00C34C4B"/>
    <w:rsid w:val="00C42DA8"/>
    <w:rsid w:val="00C43251"/>
    <w:rsid w:val="00C56ECF"/>
    <w:rsid w:val="00C60E89"/>
    <w:rsid w:val="00C61BBE"/>
    <w:rsid w:val="00C71833"/>
    <w:rsid w:val="00C77564"/>
    <w:rsid w:val="00CA15FC"/>
    <w:rsid w:val="00CA55AB"/>
    <w:rsid w:val="00CA7AEA"/>
    <w:rsid w:val="00CB4775"/>
    <w:rsid w:val="00CB63A5"/>
    <w:rsid w:val="00CB7A0D"/>
    <w:rsid w:val="00CE360A"/>
    <w:rsid w:val="00CF0177"/>
    <w:rsid w:val="00CF5171"/>
    <w:rsid w:val="00D1324E"/>
    <w:rsid w:val="00D15678"/>
    <w:rsid w:val="00D22469"/>
    <w:rsid w:val="00D23711"/>
    <w:rsid w:val="00D4393B"/>
    <w:rsid w:val="00D61455"/>
    <w:rsid w:val="00D629A5"/>
    <w:rsid w:val="00D665B1"/>
    <w:rsid w:val="00D714EB"/>
    <w:rsid w:val="00D731B7"/>
    <w:rsid w:val="00D8679E"/>
    <w:rsid w:val="00D96063"/>
    <w:rsid w:val="00DA349C"/>
    <w:rsid w:val="00DA42B8"/>
    <w:rsid w:val="00DB0011"/>
    <w:rsid w:val="00DB2278"/>
    <w:rsid w:val="00DC3574"/>
    <w:rsid w:val="00DD4712"/>
    <w:rsid w:val="00DD55A7"/>
    <w:rsid w:val="00DE2133"/>
    <w:rsid w:val="00DE7D17"/>
    <w:rsid w:val="00DF0C4C"/>
    <w:rsid w:val="00E01B9D"/>
    <w:rsid w:val="00E063D8"/>
    <w:rsid w:val="00E12249"/>
    <w:rsid w:val="00E15D35"/>
    <w:rsid w:val="00E26E0B"/>
    <w:rsid w:val="00E30A7F"/>
    <w:rsid w:val="00E42ADC"/>
    <w:rsid w:val="00E44B6C"/>
    <w:rsid w:val="00E528B2"/>
    <w:rsid w:val="00E620F1"/>
    <w:rsid w:val="00E763A2"/>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4B15"/>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 w:val="00FE0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CC8FFB9-EC3E-448C-AD4C-F6880A5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link w:val="Heading1Char"/>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paragraph" w:styleId="CommentText">
    <w:name w:val="annotation text"/>
    <w:basedOn w:val="Normal"/>
    <w:link w:val="CommentTextChar"/>
    <w:unhideWhenUsed/>
    <w:rsid w:val="00C43251"/>
    <w:rPr>
      <w:sz w:val="20"/>
    </w:rPr>
  </w:style>
  <w:style w:type="character" w:customStyle="1" w:styleId="CommentTextChar">
    <w:name w:val="Comment Text Char"/>
    <w:basedOn w:val="DefaultParagraphFont"/>
    <w:link w:val="CommentText"/>
    <w:rsid w:val="00C43251"/>
    <w:rPr>
      <w:rFonts w:ascii="Univers" w:hAnsi="Univers"/>
      <w:snapToGrid w:val="0"/>
      <w:lang w:val="en-US" w:eastAsia="en-US"/>
    </w:rPr>
  </w:style>
  <w:style w:type="character" w:styleId="CommentReference">
    <w:name w:val="annotation reference"/>
    <w:basedOn w:val="DefaultParagraphFont"/>
    <w:semiHidden/>
    <w:unhideWhenUsed/>
    <w:rsid w:val="00C43251"/>
    <w:rPr>
      <w:sz w:val="16"/>
      <w:szCs w:val="16"/>
    </w:rPr>
  </w:style>
  <w:style w:type="character" w:styleId="Emphasis">
    <w:name w:val="Emphasis"/>
    <w:basedOn w:val="DefaultParagraphFont"/>
    <w:uiPriority w:val="20"/>
    <w:qFormat/>
    <w:rsid w:val="00C43251"/>
    <w:rPr>
      <w:i/>
      <w:iCs/>
    </w:rPr>
  </w:style>
  <w:style w:type="character" w:customStyle="1" w:styleId="Heading1Char">
    <w:name w:val="Heading 1 Char"/>
    <w:basedOn w:val="DefaultParagraphFont"/>
    <w:link w:val="Heading1"/>
    <w:rsid w:val="00A81F4B"/>
    <w:rPr>
      <w:rFonts w:ascii="Arial" w:hAnsi="Arial"/>
      <w:b/>
      <w:snapToGrid w:val="0"/>
      <w:sz w:val="24"/>
      <w:lang w:eastAsia="en-US"/>
    </w:rPr>
  </w:style>
  <w:style w:type="character" w:customStyle="1" w:styleId="BodyTextChar">
    <w:name w:val="Body Text Char"/>
    <w:basedOn w:val="DefaultParagraphFont"/>
    <w:link w:val="BodyText"/>
    <w:rsid w:val="00A81F4B"/>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trobe.edu.au/public-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school-psychology-and-public-heal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0</TotalTime>
  <Pages>7</Pages>
  <Words>2413</Words>
  <Characters>15113</Characters>
  <Application>Microsoft Office Word</Application>
  <DocSecurity>4</DocSecurity>
  <Lines>125</Lines>
  <Paragraphs>34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POSITION DESCRIPTION</vt:lpstr>
      <vt:lpstr>La Trobe University - http://www.latrobe.edu.au/about 	</vt:lpstr>
      <vt:lpstr>College of Science, Health and Engineering – http://latrobe.edu.au/SHE</vt:lpstr>
      <vt:lpstr/>
      <vt:lpstr>School of Psychology &amp; Public Health - https://www.latrobe.edu.au/school-psychol</vt:lpstr>
      <vt:lpstr/>
      <vt:lpstr>Department of Public Health – http://www.latrobe.edu.au/public-health</vt:lpstr>
      <vt:lpstr>Purpose</vt:lpstr>
      <vt:lpstr>Background</vt:lpstr>
      <vt:lpstr>La Trobe Definition</vt:lpstr>
    </vt:vector>
  </TitlesOfParts>
  <Company>La Trobe University</Company>
  <LinksUpToDate>false</LinksUpToDate>
  <CharactersWithSpaces>17492</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Gordon Selby</dc:creator>
  <cp:keywords/>
  <cp:lastModifiedBy>Deborah Dare</cp:lastModifiedBy>
  <cp:revision>2</cp:revision>
  <cp:lastPrinted>2010-05-17T01:36:00Z</cp:lastPrinted>
  <dcterms:created xsi:type="dcterms:W3CDTF">2019-04-16T05:07:00Z</dcterms:created>
  <dcterms:modified xsi:type="dcterms:W3CDTF">2019-04-16T05:07:00Z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