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3B06" w14:textId="77777777" w:rsidR="0020415A" w:rsidRPr="0020415A" w:rsidRDefault="00142297" w:rsidP="00E42ADC">
      <w:pPr>
        <w:spacing w:line="259" w:lineRule="exact"/>
        <w:rPr>
          <w:rFonts w:ascii="Arial" w:hAnsi="Arial" w:cs="Arial"/>
          <w:sz w:val="20"/>
        </w:rPr>
      </w:pPr>
      <w:bookmarkStart w:id="0" w:name="_GoBack"/>
      <w:bookmarkEnd w:id="0"/>
      <w:r w:rsidRPr="00142297">
        <w:rPr>
          <w:rFonts w:ascii="Arial" w:hAnsi="Arial" w:cs="Arial"/>
          <w:noProof/>
          <w:sz w:val="20"/>
          <w:lang w:val="en-AU" w:eastAsia="en-AU"/>
        </w:rPr>
        <w:drawing>
          <wp:anchor distT="0" distB="0" distL="114300" distR="114300" simplePos="0" relativeHeight="251660288" behindDoc="0" locked="0" layoutInCell="1" allowOverlap="0" wp14:anchorId="542E8DE9" wp14:editId="1906FDF0">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9853504"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64F9A24"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46D9400D" w14:textId="77777777" w:rsidR="00142297" w:rsidRPr="003B0155" w:rsidRDefault="00142297" w:rsidP="00E42ADC">
      <w:pPr>
        <w:spacing w:line="259" w:lineRule="exact"/>
        <w:rPr>
          <w:rFonts w:ascii="Calibri" w:hAnsi="Calibri" w:cs="Arial"/>
          <w:sz w:val="16"/>
          <w:szCs w:val="16"/>
        </w:rPr>
      </w:pPr>
    </w:p>
    <w:p w14:paraId="177B1EEC"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568B1126" w14:textId="77777777" w:rsidTr="00D665B1">
        <w:tc>
          <w:tcPr>
            <w:tcW w:w="9242" w:type="dxa"/>
            <w:shd w:val="clear" w:color="auto" w:fill="CCCCCC"/>
          </w:tcPr>
          <w:p w14:paraId="695E024C"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301DBC17"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5B3E5E65" w14:textId="77777777" w:rsidTr="00D665B1">
        <w:tc>
          <w:tcPr>
            <w:tcW w:w="9242" w:type="dxa"/>
            <w:gridSpan w:val="2"/>
            <w:tcBorders>
              <w:bottom w:val="single" w:sz="4" w:space="0" w:color="auto"/>
            </w:tcBorders>
          </w:tcPr>
          <w:p w14:paraId="7FC59DA9" w14:textId="5AD2F9F1" w:rsidR="00E42ADC" w:rsidRPr="003B0155" w:rsidRDefault="009723A8" w:rsidP="001739FB">
            <w:pPr>
              <w:rPr>
                <w:rFonts w:ascii="Calibri" w:hAnsi="Calibri" w:cs="Arial"/>
                <w:b/>
                <w:color w:val="000000"/>
                <w:sz w:val="28"/>
                <w:szCs w:val="28"/>
                <w:lang w:val="en-AU"/>
              </w:rPr>
            </w:pPr>
            <w:r>
              <w:rPr>
                <w:rFonts w:ascii="Calibri" w:hAnsi="Calibri" w:cs="Arial"/>
                <w:b/>
                <w:color w:val="000000"/>
                <w:sz w:val="32"/>
                <w:szCs w:val="32"/>
                <w:lang w:val="en-AU"/>
              </w:rPr>
              <w:t xml:space="preserve">Lecturer </w:t>
            </w:r>
            <w:r w:rsidR="001739FB">
              <w:rPr>
                <w:rFonts w:ascii="Calibri" w:hAnsi="Calibri" w:cs="Arial"/>
                <w:b/>
                <w:color w:val="000000"/>
                <w:sz w:val="32"/>
                <w:szCs w:val="32"/>
                <w:lang w:val="en-AU"/>
              </w:rPr>
              <w:t>Teaching and Research -</w:t>
            </w:r>
            <w:r w:rsidR="00BD05B2">
              <w:rPr>
                <w:rFonts w:ascii="Calibri" w:hAnsi="Calibri" w:cs="Arial"/>
                <w:b/>
                <w:color w:val="000000"/>
                <w:sz w:val="28"/>
                <w:szCs w:val="28"/>
                <w:lang w:val="en-AU"/>
              </w:rPr>
              <w:t xml:space="preserve"> </w:t>
            </w:r>
            <w:r w:rsidR="001739FB">
              <w:rPr>
                <w:rFonts w:ascii="Calibri" w:hAnsi="Calibri" w:cs="Arial"/>
                <w:b/>
                <w:color w:val="000000"/>
                <w:sz w:val="28"/>
                <w:szCs w:val="28"/>
                <w:lang w:val="en-AU"/>
              </w:rPr>
              <w:t>(</w:t>
            </w:r>
            <w:r w:rsidR="004110F8">
              <w:rPr>
                <w:rFonts w:ascii="Calibri" w:hAnsi="Calibri" w:cs="Arial"/>
                <w:b/>
                <w:color w:val="000000"/>
                <w:sz w:val="28"/>
                <w:szCs w:val="28"/>
                <w:lang w:val="en-AU"/>
              </w:rPr>
              <w:t xml:space="preserve">Ergonomics, Safety and </w:t>
            </w:r>
            <w:r>
              <w:rPr>
                <w:rFonts w:ascii="Calibri" w:hAnsi="Calibri" w:cs="Arial"/>
                <w:b/>
                <w:color w:val="000000"/>
                <w:sz w:val="28"/>
                <w:szCs w:val="28"/>
                <w:lang w:val="en-AU"/>
              </w:rPr>
              <w:t>Health) Public Health</w:t>
            </w:r>
          </w:p>
        </w:tc>
      </w:tr>
      <w:tr w:rsidR="00E42ADC" w:rsidRPr="003B0155" w14:paraId="1245815A" w14:textId="77777777" w:rsidTr="00D665B1">
        <w:tc>
          <w:tcPr>
            <w:tcW w:w="3085" w:type="dxa"/>
            <w:tcBorders>
              <w:top w:val="single" w:sz="4" w:space="0" w:color="auto"/>
              <w:bottom w:val="nil"/>
              <w:right w:val="nil"/>
            </w:tcBorders>
          </w:tcPr>
          <w:p w14:paraId="02B8283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6DEC033F"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5B322183" w14:textId="77777777" w:rsidTr="00D665B1">
        <w:tc>
          <w:tcPr>
            <w:tcW w:w="3085" w:type="dxa"/>
            <w:tcBorders>
              <w:top w:val="nil"/>
              <w:right w:val="nil"/>
            </w:tcBorders>
          </w:tcPr>
          <w:p w14:paraId="0F800EAC"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14:paraId="3EBFA012"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586CA63C" w14:textId="01F07451" w:rsidR="00E42ADC" w:rsidRPr="003B0155" w:rsidRDefault="00E42ADC" w:rsidP="007011D4">
            <w:pPr>
              <w:rPr>
                <w:rFonts w:asciiTheme="minorHAnsi" w:hAnsiTheme="minorHAnsi" w:cs="Arial"/>
                <w:color w:val="000000"/>
                <w:sz w:val="22"/>
                <w:szCs w:val="22"/>
                <w:lang w:val="en-AU"/>
              </w:rPr>
            </w:pPr>
          </w:p>
        </w:tc>
      </w:tr>
      <w:tr w:rsidR="00E42ADC" w:rsidRPr="003B0155" w14:paraId="22BB587B" w14:textId="77777777" w:rsidTr="00D665B1">
        <w:tc>
          <w:tcPr>
            <w:tcW w:w="3085" w:type="dxa"/>
            <w:tcBorders>
              <w:right w:val="nil"/>
            </w:tcBorders>
          </w:tcPr>
          <w:p w14:paraId="2D3C9700"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3B0155">
              <w:rPr>
                <w:rFonts w:asciiTheme="minorHAnsi" w:hAnsiTheme="minorHAnsi" w:cs="Arial"/>
                <w:b/>
                <w:color w:val="000000"/>
                <w:sz w:val="22"/>
                <w:szCs w:val="22"/>
                <w:lang w:val="en-AU"/>
              </w:rPr>
              <w:t>:</w:t>
            </w:r>
          </w:p>
          <w:p w14:paraId="0879B0DF"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3F8314A2" w14:textId="60B29678" w:rsidR="00E42ADC" w:rsidRPr="003B0155" w:rsidRDefault="001739FB"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Department of Public Health</w:t>
            </w:r>
          </w:p>
        </w:tc>
      </w:tr>
      <w:tr w:rsidR="00E42ADC" w:rsidRPr="003B0155" w14:paraId="2F0B990F" w14:textId="77777777" w:rsidTr="00D665B1">
        <w:tc>
          <w:tcPr>
            <w:tcW w:w="3085" w:type="dxa"/>
            <w:tcBorders>
              <w:right w:val="nil"/>
            </w:tcBorders>
          </w:tcPr>
          <w:p w14:paraId="083E210E"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3B0155">
              <w:rPr>
                <w:rFonts w:asciiTheme="minorHAnsi" w:hAnsiTheme="minorHAnsi" w:cs="Arial"/>
                <w:b/>
                <w:color w:val="000000"/>
                <w:sz w:val="22"/>
                <w:szCs w:val="22"/>
                <w:lang w:val="en-AU"/>
              </w:rPr>
              <w:t>:</w:t>
            </w:r>
          </w:p>
          <w:p w14:paraId="5286DCA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1ACC6A02" w14:textId="6BDA994E" w:rsidR="00E42ADC" w:rsidRPr="003B0155" w:rsidRDefault="001739FB"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Psychology and Public Health</w:t>
            </w:r>
          </w:p>
        </w:tc>
      </w:tr>
      <w:tr w:rsidR="00E42ADC" w:rsidRPr="003B0155" w14:paraId="5042DE6F" w14:textId="77777777" w:rsidTr="00D665B1">
        <w:tc>
          <w:tcPr>
            <w:tcW w:w="3085" w:type="dxa"/>
            <w:tcBorders>
              <w:right w:val="nil"/>
            </w:tcBorders>
          </w:tcPr>
          <w:p w14:paraId="6AFB8F1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14:paraId="4FAE545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6DE6F49B" w14:textId="5B719F50" w:rsidR="00E42ADC" w:rsidRPr="003B0155" w:rsidRDefault="001739FB" w:rsidP="007453B5">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(Various)</w:t>
            </w:r>
          </w:p>
        </w:tc>
      </w:tr>
      <w:tr w:rsidR="00E42ADC" w:rsidRPr="003B0155" w14:paraId="684A75AE" w14:textId="77777777" w:rsidTr="00D665B1">
        <w:tc>
          <w:tcPr>
            <w:tcW w:w="3085" w:type="dxa"/>
            <w:tcBorders>
              <w:right w:val="nil"/>
            </w:tcBorders>
          </w:tcPr>
          <w:p w14:paraId="305C398B"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14:paraId="5D184E94"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088B6FBE" w14:textId="246D5752" w:rsidR="002F1561" w:rsidRPr="003B0155" w:rsidRDefault="00C90CA7" w:rsidP="00407499">
            <w:pPr>
              <w:rPr>
                <w:rFonts w:asciiTheme="minorHAnsi" w:hAnsiTheme="minorHAnsi" w:cs="Arial"/>
                <w:color w:val="000000"/>
                <w:sz w:val="22"/>
                <w:szCs w:val="22"/>
                <w:lang w:val="en-AU"/>
              </w:rPr>
            </w:pPr>
            <w:r>
              <w:rPr>
                <w:rFonts w:asciiTheme="minorHAnsi" w:hAnsiTheme="minorHAnsi" w:cs="Arial"/>
                <w:color w:val="000000"/>
                <w:sz w:val="22"/>
                <w:szCs w:val="22"/>
                <w:lang w:val="en-AU"/>
              </w:rPr>
              <w:t>Lecturer</w:t>
            </w:r>
            <w:r w:rsidR="003575BF">
              <w:rPr>
                <w:rFonts w:asciiTheme="minorHAnsi" w:hAnsiTheme="minorHAnsi" w:cs="Arial"/>
                <w:color w:val="000000"/>
                <w:sz w:val="22"/>
                <w:szCs w:val="22"/>
                <w:lang w:val="en-AU"/>
              </w:rPr>
              <w:t xml:space="preserve"> </w:t>
            </w:r>
            <w:r w:rsidR="00CD0793">
              <w:rPr>
                <w:rFonts w:asciiTheme="minorHAnsi" w:hAnsiTheme="minorHAnsi" w:cs="Arial"/>
                <w:color w:val="000000"/>
                <w:sz w:val="22"/>
                <w:szCs w:val="22"/>
                <w:lang w:val="en-AU"/>
              </w:rPr>
              <w:t>(Level B)</w:t>
            </w:r>
          </w:p>
        </w:tc>
      </w:tr>
      <w:tr w:rsidR="00E42ADC" w:rsidRPr="003B0155" w14:paraId="0A24B0F0" w14:textId="77777777" w:rsidTr="004110F8">
        <w:trPr>
          <w:trHeight w:val="766"/>
        </w:trPr>
        <w:tc>
          <w:tcPr>
            <w:tcW w:w="3085" w:type="dxa"/>
            <w:tcBorders>
              <w:right w:val="nil"/>
            </w:tcBorders>
          </w:tcPr>
          <w:p w14:paraId="0B91941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14:paraId="6AEBF8B2"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711E250A" w14:textId="305FC7B9" w:rsidR="004110F8" w:rsidRDefault="009723A8" w:rsidP="004110F8">
            <w:pPr>
              <w:ind w:left="-87"/>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Fixed Term, 12 Months, </w:t>
            </w:r>
            <w:r w:rsidR="004110F8">
              <w:rPr>
                <w:rFonts w:asciiTheme="minorHAnsi" w:hAnsiTheme="minorHAnsi" w:cs="Arial"/>
                <w:color w:val="000000"/>
                <w:sz w:val="22"/>
                <w:szCs w:val="22"/>
                <w:lang w:val="en-AU"/>
              </w:rPr>
              <w:t xml:space="preserve">Part-time (0.6 FTE) </w:t>
            </w:r>
          </w:p>
          <w:p w14:paraId="2C7FE9F1" w14:textId="77777777" w:rsidR="004110F8" w:rsidRDefault="004110F8" w:rsidP="004110F8">
            <w:pPr>
              <w:ind w:left="-87"/>
              <w:rPr>
                <w:rFonts w:asciiTheme="minorHAnsi" w:hAnsiTheme="minorHAnsi" w:cs="Arial"/>
                <w:color w:val="000000"/>
                <w:sz w:val="22"/>
                <w:szCs w:val="22"/>
                <w:lang w:val="en-AU"/>
              </w:rPr>
            </w:pPr>
            <w:r w:rsidRPr="00B11AF4">
              <w:rPr>
                <w:rFonts w:asciiTheme="minorHAnsi" w:hAnsiTheme="minorHAnsi" w:cs="Arial"/>
                <w:sz w:val="22"/>
                <w:szCs w:val="22"/>
                <w:lang w:val="en-AU"/>
              </w:rPr>
              <w:t xml:space="preserve">Fixed term contract type: </w:t>
            </w:r>
            <w:r>
              <w:rPr>
                <w:rFonts w:asciiTheme="minorHAnsi" w:hAnsiTheme="minorHAnsi" w:cs="Arial"/>
                <w:sz w:val="22"/>
                <w:szCs w:val="22"/>
                <w:lang w:val="en-AU"/>
              </w:rPr>
              <w:t>Replacement Employee</w:t>
            </w:r>
            <w:r w:rsidRPr="0043618D">
              <w:rPr>
                <w:rFonts w:asciiTheme="minorHAnsi" w:hAnsiTheme="minorHAnsi" w:cs="Arial"/>
                <w:color w:val="000000"/>
                <w:sz w:val="22"/>
                <w:szCs w:val="22"/>
                <w:lang w:val="en-AU"/>
              </w:rPr>
              <w:t xml:space="preserve"> </w:t>
            </w:r>
          </w:p>
          <w:p w14:paraId="79B0AE89" w14:textId="16F5DCA3" w:rsidR="00E42ADC" w:rsidRPr="003B0155" w:rsidRDefault="00E42ADC" w:rsidP="007011D4">
            <w:pPr>
              <w:rPr>
                <w:rFonts w:asciiTheme="minorHAnsi" w:hAnsiTheme="minorHAnsi" w:cs="Arial"/>
                <w:color w:val="000000"/>
                <w:sz w:val="22"/>
                <w:szCs w:val="22"/>
                <w:lang w:val="en-AU"/>
              </w:rPr>
            </w:pPr>
          </w:p>
        </w:tc>
      </w:tr>
      <w:tr w:rsidR="00E42ADC" w:rsidRPr="003B0155" w14:paraId="426C8D98" w14:textId="77777777" w:rsidTr="00D665B1">
        <w:trPr>
          <w:trHeight w:val="594"/>
        </w:trPr>
        <w:tc>
          <w:tcPr>
            <w:tcW w:w="3085" w:type="dxa"/>
            <w:tcBorders>
              <w:right w:val="nil"/>
            </w:tcBorders>
          </w:tcPr>
          <w:p w14:paraId="3CA4A1B5" w14:textId="77777777" w:rsid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sidR="003B0155">
              <w:rPr>
                <w:rFonts w:asciiTheme="minorHAnsi" w:hAnsiTheme="minorHAnsi" w:cs="Arial"/>
                <w:b/>
                <w:color w:val="000000"/>
                <w:sz w:val="22"/>
                <w:szCs w:val="22"/>
                <w:lang w:val="en-AU"/>
              </w:rPr>
              <w:t>:</w:t>
            </w:r>
            <w:r w:rsidR="00E947B0" w:rsidRPr="003B0155">
              <w:rPr>
                <w:rFonts w:asciiTheme="minorHAnsi" w:hAnsiTheme="minorHAnsi" w:cs="Arial"/>
                <w:b/>
                <w:color w:val="000000"/>
                <w:sz w:val="22"/>
                <w:szCs w:val="22"/>
                <w:lang w:val="en-AU"/>
              </w:rPr>
              <w:t xml:space="preserve"> </w:t>
            </w:r>
          </w:p>
          <w:p w14:paraId="12DC7147" w14:textId="77777777" w:rsidR="00E42ADC" w:rsidRPr="003B0155" w:rsidRDefault="00E947B0"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r w:rsidR="00E42ADC" w:rsidRPr="003B0155">
              <w:rPr>
                <w:rFonts w:asciiTheme="minorHAnsi" w:hAnsiTheme="minorHAnsi" w:cs="Arial"/>
                <w:b/>
                <w:color w:val="000000"/>
                <w:sz w:val="22"/>
                <w:szCs w:val="22"/>
                <w:lang w:val="en-AU"/>
              </w:rPr>
              <w:t>:</w:t>
            </w:r>
          </w:p>
        </w:tc>
        <w:tc>
          <w:tcPr>
            <w:tcW w:w="6157" w:type="dxa"/>
            <w:tcBorders>
              <w:left w:val="nil"/>
            </w:tcBorders>
          </w:tcPr>
          <w:p w14:paraId="40576D79" w14:textId="3E2866AE" w:rsidR="004110F8" w:rsidRPr="00853B66" w:rsidRDefault="0078053F" w:rsidP="004110F8">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Acting </w:t>
            </w:r>
            <w:r w:rsidR="004110F8" w:rsidRPr="00853B66">
              <w:rPr>
                <w:rFonts w:asciiTheme="minorHAnsi" w:hAnsiTheme="minorHAnsi" w:cs="Arial"/>
                <w:color w:val="000000"/>
                <w:sz w:val="22"/>
                <w:szCs w:val="22"/>
                <w:lang w:val="en-AU"/>
              </w:rPr>
              <w:t>Discipline</w:t>
            </w:r>
            <w:r w:rsidR="004110F8">
              <w:rPr>
                <w:rFonts w:asciiTheme="minorHAnsi" w:hAnsiTheme="minorHAnsi" w:cs="Arial"/>
                <w:color w:val="000000"/>
                <w:sz w:val="22"/>
                <w:szCs w:val="22"/>
                <w:lang w:val="en-AU"/>
              </w:rPr>
              <w:t xml:space="preserve"> Lead</w:t>
            </w:r>
            <w:r w:rsidR="004110F8" w:rsidRPr="00853B66">
              <w:rPr>
                <w:rFonts w:asciiTheme="minorHAnsi" w:hAnsiTheme="minorHAnsi" w:cs="Arial"/>
                <w:color w:val="000000"/>
                <w:sz w:val="22"/>
                <w:szCs w:val="22"/>
                <w:lang w:val="en-AU"/>
              </w:rPr>
              <w:t xml:space="preserve">, </w:t>
            </w:r>
            <w:r w:rsidR="004110F8">
              <w:rPr>
                <w:rFonts w:asciiTheme="minorHAnsi" w:hAnsiTheme="minorHAnsi" w:cs="Arial"/>
                <w:color w:val="000000"/>
                <w:sz w:val="22"/>
                <w:szCs w:val="22"/>
                <w:lang w:val="en-AU"/>
              </w:rPr>
              <w:t>Ergonomics, Safety and Health</w:t>
            </w:r>
          </w:p>
          <w:p w14:paraId="66400E2C" w14:textId="4E9551F3" w:rsidR="00A64A18" w:rsidRPr="003B0155" w:rsidRDefault="009723A8" w:rsidP="001739FB">
            <w:pPr>
              <w:rPr>
                <w:rFonts w:asciiTheme="minorHAnsi" w:hAnsiTheme="minorHAnsi" w:cs="Arial"/>
                <w:color w:val="000000"/>
                <w:sz w:val="22"/>
                <w:szCs w:val="22"/>
                <w:lang w:val="en-AU"/>
              </w:rPr>
            </w:pPr>
            <w:r>
              <w:rPr>
                <w:rFonts w:asciiTheme="minorHAnsi" w:hAnsiTheme="minorHAnsi" w:cs="Arial"/>
                <w:color w:val="000000"/>
                <w:sz w:val="22"/>
                <w:szCs w:val="22"/>
                <w:lang w:val="en-AU"/>
              </w:rPr>
              <w:t>500</w:t>
            </w:r>
            <w:r w:rsidR="0078053F">
              <w:rPr>
                <w:rFonts w:asciiTheme="minorHAnsi" w:hAnsiTheme="minorHAnsi" w:cs="Arial"/>
                <w:color w:val="000000"/>
                <w:sz w:val="22"/>
                <w:szCs w:val="22"/>
                <w:lang w:val="en-AU"/>
              </w:rPr>
              <w:t>37978</w:t>
            </w:r>
          </w:p>
        </w:tc>
      </w:tr>
      <w:tr w:rsidR="00E42ADC" w:rsidRPr="003B0155" w14:paraId="2FD5DE60" w14:textId="77777777" w:rsidTr="00D665B1">
        <w:tc>
          <w:tcPr>
            <w:tcW w:w="3085" w:type="dxa"/>
            <w:tcBorders>
              <w:right w:val="nil"/>
            </w:tcBorders>
          </w:tcPr>
          <w:p w14:paraId="5980D15D"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14:paraId="3DECD220"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4145DA56" w14:textId="77777777" w:rsidR="00E42ADC" w:rsidRPr="003B0155" w:rsidRDefault="00786B0F" w:rsidP="007011D4">
            <w:pPr>
              <w:rPr>
                <w:rFonts w:asciiTheme="minorHAnsi" w:hAnsiTheme="minorHAnsi" w:cs="Arial"/>
                <w:color w:val="000000"/>
                <w:sz w:val="22"/>
                <w:szCs w:val="22"/>
                <w:lang w:val="en-AU"/>
              </w:rPr>
            </w:pPr>
            <w:hyperlink r:id="rId8"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14:paraId="3AC0C724" w14:textId="77777777"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14:paraId="10A487BF" w14:textId="77777777" w:rsidR="00E42ADC" w:rsidRPr="003B0155" w:rsidRDefault="00E42ADC" w:rsidP="00E42ADC">
      <w:pPr>
        <w:rPr>
          <w:rFonts w:asciiTheme="minorHAnsi" w:hAnsiTheme="minorHAnsi"/>
          <w:sz w:val="22"/>
          <w:szCs w:val="22"/>
        </w:rPr>
      </w:pPr>
    </w:p>
    <w:p w14:paraId="0A2F20A0" w14:textId="77777777" w:rsidR="009723A8" w:rsidRPr="003B0155" w:rsidRDefault="009723A8" w:rsidP="009723A8">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Pr="003B0155">
          <w:rPr>
            <w:rStyle w:val="Hyperlink"/>
            <w:rFonts w:asciiTheme="minorHAnsi" w:hAnsiTheme="minorHAnsi" w:cs="Arial"/>
            <w:sz w:val="22"/>
            <w:szCs w:val="22"/>
            <w:lang w:val="en-AU"/>
          </w:rPr>
          <w:t>http://www.latrobe.edu.au/about</w:t>
        </w:r>
      </w:hyperlink>
      <w:r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14:paraId="4D034A61" w14:textId="77777777" w:rsidR="009723A8" w:rsidRPr="003B0155" w:rsidRDefault="009723A8" w:rsidP="009723A8">
      <w:pPr>
        <w:rPr>
          <w:rFonts w:asciiTheme="minorHAnsi" w:hAnsiTheme="minorHAnsi" w:cs="Arial"/>
          <w:sz w:val="22"/>
          <w:szCs w:val="22"/>
          <w:lang w:val="en-AU"/>
        </w:rPr>
      </w:pPr>
    </w:p>
    <w:p w14:paraId="1249442E" w14:textId="77777777" w:rsidR="009723A8" w:rsidRDefault="009723A8" w:rsidP="009723A8">
      <w:pPr>
        <w:outlineLvl w:val="0"/>
        <w:rPr>
          <w:rStyle w:val="Hyperlink"/>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0" w:history="1">
        <w:r w:rsidRPr="008B6E96">
          <w:rPr>
            <w:rStyle w:val="Hyperlink"/>
            <w:rFonts w:asciiTheme="minorHAnsi" w:hAnsiTheme="minorHAnsi" w:cs="Arial"/>
            <w:sz w:val="22"/>
            <w:szCs w:val="22"/>
          </w:rPr>
          <w:t>http://latrobe.edu.au/SHE</w:t>
        </w:r>
      </w:hyperlink>
    </w:p>
    <w:p w14:paraId="1FC9637E" w14:textId="77777777" w:rsidR="009723A8" w:rsidRDefault="009723A8" w:rsidP="009723A8">
      <w:pPr>
        <w:outlineLvl w:val="0"/>
        <w:rPr>
          <w:rFonts w:asciiTheme="minorHAnsi" w:hAnsiTheme="minorHAnsi" w:cs="Arial"/>
          <w:sz w:val="22"/>
          <w:szCs w:val="22"/>
        </w:rPr>
      </w:pPr>
    </w:p>
    <w:p w14:paraId="0BFA96E4" w14:textId="77777777" w:rsidR="009723A8" w:rsidRDefault="009723A8" w:rsidP="009723A8">
      <w:pPr>
        <w:outlineLvl w:val="0"/>
        <w:rPr>
          <w:rFonts w:asciiTheme="minorHAnsi" w:hAnsiTheme="minorHAnsi" w:cs="Arial"/>
          <w:sz w:val="22"/>
          <w:szCs w:val="22"/>
        </w:rPr>
      </w:pPr>
      <w:r>
        <w:rPr>
          <w:rFonts w:asciiTheme="minorHAnsi" w:hAnsiTheme="minorHAnsi" w:cs="Arial"/>
          <w:sz w:val="22"/>
          <w:szCs w:val="22"/>
        </w:rPr>
        <w:t xml:space="preserve">School of Psychology &amp; Public Health - </w:t>
      </w:r>
      <w:hyperlink r:id="rId11" w:history="1">
        <w:r w:rsidRPr="00F57926">
          <w:rPr>
            <w:rStyle w:val="Hyperlink"/>
            <w:rFonts w:asciiTheme="minorHAnsi" w:hAnsiTheme="minorHAnsi" w:cs="Arial"/>
            <w:sz w:val="22"/>
            <w:szCs w:val="22"/>
          </w:rPr>
          <w:t>https://www.latrobe.edu.au/school-psychology-and-public-health</w:t>
        </w:r>
      </w:hyperlink>
      <w:r>
        <w:rPr>
          <w:rFonts w:asciiTheme="minorHAnsi" w:hAnsiTheme="minorHAnsi" w:cs="Arial"/>
          <w:sz w:val="22"/>
          <w:szCs w:val="22"/>
        </w:rPr>
        <w:t xml:space="preserve"> </w:t>
      </w:r>
    </w:p>
    <w:p w14:paraId="277B728F" w14:textId="77777777" w:rsidR="009723A8" w:rsidRDefault="009723A8" w:rsidP="009723A8">
      <w:pPr>
        <w:outlineLvl w:val="0"/>
        <w:rPr>
          <w:rFonts w:asciiTheme="minorHAnsi" w:hAnsiTheme="minorHAnsi" w:cs="Arial"/>
          <w:sz w:val="22"/>
          <w:szCs w:val="22"/>
        </w:rPr>
      </w:pPr>
    </w:p>
    <w:p w14:paraId="45E6A799" w14:textId="77777777" w:rsidR="009723A8" w:rsidRDefault="009723A8" w:rsidP="009723A8">
      <w:pPr>
        <w:outlineLvl w:val="0"/>
        <w:rPr>
          <w:rFonts w:asciiTheme="minorHAnsi" w:hAnsiTheme="minorHAnsi" w:cs="Arial"/>
          <w:sz w:val="22"/>
          <w:szCs w:val="22"/>
        </w:rPr>
      </w:pPr>
      <w:r>
        <w:rPr>
          <w:rFonts w:asciiTheme="minorHAnsi" w:hAnsiTheme="minorHAnsi" w:cstheme="minorHAnsi"/>
          <w:sz w:val="22"/>
          <w:szCs w:val="22"/>
        </w:rPr>
        <w:t xml:space="preserve">Department of Public Health </w:t>
      </w:r>
      <w:r w:rsidRPr="003A1CFA">
        <w:rPr>
          <w:rFonts w:asciiTheme="minorHAnsi" w:hAnsiTheme="minorHAnsi" w:cstheme="minorHAnsi"/>
          <w:sz w:val="22"/>
          <w:szCs w:val="22"/>
        </w:rPr>
        <w:t xml:space="preserve">– </w:t>
      </w:r>
      <w:hyperlink r:id="rId12" w:history="1">
        <w:r w:rsidRPr="00F4194F">
          <w:rPr>
            <w:rStyle w:val="Hyperlink"/>
            <w:rFonts w:asciiTheme="minorHAnsi" w:hAnsiTheme="minorHAnsi"/>
            <w:sz w:val="22"/>
            <w:szCs w:val="22"/>
          </w:rPr>
          <w:t>http://www.latrobe.edu.au/public-health</w:t>
        </w:r>
      </w:hyperlink>
    </w:p>
    <w:p w14:paraId="64CE0EDA" w14:textId="77777777" w:rsidR="00E42ADC" w:rsidRPr="003B0155" w:rsidRDefault="00E42ADC" w:rsidP="00E42ADC">
      <w:pPr>
        <w:rPr>
          <w:rFonts w:asciiTheme="minorHAnsi" w:hAnsiTheme="minorHAnsi" w:cs="Arial"/>
          <w:sz w:val="22"/>
          <w:szCs w:val="22"/>
        </w:rPr>
      </w:pPr>
    </w:p>
    <w:p w14:paraId="501CA347" w14:textId="77777777" w:rsidR="00E42ADC" w:rsidRPr="003B0155" w:rsidRDefault="002D15A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3C488EF1" wp14:editId="46A09A9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C86D4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5B0ABB6" w14:textId="77777777" w:rsidR="00E42ADC" w:rsidRPr="003B0155" w:rsidRDefault="00E42ADC" w:rsidP="00E42ADC">
      <w:pPr>
        <w:rPr>
          <w:rFonts w:asciiTheme="minorHAnsi" w:hAnsiTheme="minorHAnsi"/>
          <w:sz w:val="22"/>
          <w:szCs w:val="22"/>
        </w:rPr>
      </w:pPr>
    </w:p>
    <w:p w14:paraId="15B86BEB" w14:textId="77777777"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5F10C127" w14:textId="77777777" w:rsidR="00E42ADC" w:rsidRPr="003B0155" w:rsidRDefault="00E42ADC" w:rsidP="00E42ADC">
      <w:pPr>
        <w:rPr>
          <w:rFonts w:asciiTheme="minorHAnsi" w:hAnsiTheme="minorHAnsi" w:cs="Arial"/>
          <w:b/>
          <w:sz w:val="22"/>
          <w:szCs w:val="22"/>
        </w:rPr>
      </w:pPr>
    </w:p>
    <w:p w14:paraId="63257547" w14:textId="75170A77" w:rsidR="001739FB" w:rsidRPr="009723A8" w:rsidRDefault="001739FB" w:rsidP="001739FB">
      <w:pPr>
        <w:rPr>
          <w:rFonts w:asciiTheme="minorHAnsi" w:hAnsiTheme="minorHAnsi" w:cstheme="minorHAnsi"/>
          <w:sz w:val="22"/>
          <w:szCs w:val="22"/>
        </w:rPr>
      </w:pPr>
      <w:r w:rsidRPr="009723A8">
        <w:rPr>
          <w:rFonts w:asciiTheme="minorHAnsi" w:hAnsiTheme="minorHAnsi" w:cstheme="minorHAnsi"/>
          <w:color w:val="000000"/>
          <w:sz w:val="22"/>
          <w:szCs w:val="22"/>
          <w:lang w:val="en-AU"/>
        </w:rPr>
        <w:t xml:space="preserve">Dr </w:t>
      </w:r>
      <w:r w:rsidR="004110F8" w:rsidRPr="009723A8">
        <w:rPr>
          <w:rFonts w:asciiTheme="minorHAnsi" w:hAnsiTheme="minorHAnsi" w:cstheme="minorHAnsi"/>
          <w:color w:val="000000"/>
          <w:sz w:val="22"/>
          <w:szCs w:val="22"/>
          <w:lang w:val="en-AU"/>
        </w:rPr>
        <w:t>Rwth Stuckey</w:t>
      </w:r>
      <w:r w:rsidRPr="009723A8">
        <w:rPr>
          <w:rFonts w:asciiTheme="minorHAnsi" w:hAnsiTheme="minorHAnsi" w:cstheme="minorHAnsi"/>
          <w:sz w:val="22"/>
          <w:szCs w:val="22"/>
        </w:rPr>
        <w:t xml:space="preserve">| T: +61 3 9479 </w:t>
      </w:r>
      <w:r w:rsidR="004110F8" w:rsidRPr="009723A8">
        <w:rPr>
          <w:rFonts w:asciiTheme="minorHAnsi" w:hAnsiTheme="minorHAnsi" w:cstheme="minorHAnsi"/>
          <w:sz w:val="22"/>
          <w:szCs w:val="22"/>
        </w:rPr>
        <w:t>5751</w:t>
      </w:r>
      <w:r w:rsidRPr="009723A8">
        <w:rPr>
          <w:rFonts w:asciiTheme="minorHAnsi" w:hAnsiTheme="minorHAnsi" w:cstheme="minorHAnsi"/>
          <w:sz w:val="22"/>
          <w:szCs w:val="22"/>
        </w:rPr>
        <w:t xml:space="preserve"> | E: </w:t>
      </w:r>
      <w:hyperlink r:id="rId13" w:history="1">
        <w:r w:rsidR="009723A8" w:rsidRPr="003F52DE">
          <w:rPr>
            <w:rStyle w:val="Hyperlink"/>
            <w:rFonts w:asciiTheme="minorHAnsi" w:hAnsiTheme="minorHAnsi" w:cstheme="minorHAnsi"/>
            <w:sz w:val="22"/>
            <w:szCs w:val="22"/>
          </w:rPr>
          <w:t>r.stuckey@latrobe.edu.au</w:t>
        </w:r>
      </w:hyperlink>
      <w:r w:rsidR="009723A8">
        <w:rPr>
          <w:rFonts w:asciiTheme="minorHAnsi" w:hAnsiTheme="minorHAnsi" w:cstheme="minorHAnsi"/>
          <w:sz w:val="22"/>
          <w:szCs w:val="22"/>
        </w:rPr>
        <w:t xml:space="preserve"> </w:t>
      </w:r>
    </w:p>
    <w:p w14:paraId="3D0741F0" w14:textId="77777777" w:rsidR="00E10820" w:rsidRPr="003B0155" w:rsidRDefault="00E10820" w:rsidP="00C51B53">
      <w:pPr>
        <w:rPr>
          <w:rFonts w:asciiTheme="minorHAnsi" w:hAnsiTheme="minorHAnsi" w:cs="Arial"/>
          <w:sz w:val="22"/>
          <w:szCs w:val="22"/>
        </w:rPr>
      </w:pPr>
    </w:p>
    <w:p w14:paraId="5A795D51" w14:textId="77777777" w:rsidR="00092B73" w:rsidRPr="003B0155" w:rsidRDefault="00092B73" w:rsidP="00834BB6">
      <w:pPr>
        <w:rPr>
          <w:rFonts w:asciiTheme="minorHAnsi" w:hAnsiTheme="minorHAnsi"/>
          <w:sz w:val="22"/>
          <w:szCs w:val="22"/>
        </w:rPr>
      </w:pPr>
    </w:p>
    <w:p w14:paraId="3049DDC1"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7F0617DD" w14:textId="77777777" w:rsidTr="00D665B1">
        <w:tc>
          <w:tcPr>
            <w:tcW w:w="9242" w:type="dxa"/>
            <w:shd w:val="clear" w:color="auto" w:fill="CCCCCC"/>
          </w:tcPr>
          <w:p w14:paraId="1CCCFCAC"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27CE8122" w14:textId="77777777" w:rsidR="000D7DE6" w:rsidRPr="009215C9" w:rsidRDefault="000D7DE6" w:rsidP="000E282C">
      <w:pPr>
        <w:rPr>
          <w:rFonts w:ascii="Calibri" w:hAnsi="Calibri" w:cs="Arial"/>
          <w:i/>
          <w:sz w:val="18"/>
          <w:szCs w:val="18"/>
          <w:lang w:val="en-AU"/>
        </w:rPr>
      </w:pPr>
    </w:p>
    <w:p w14:paraId="44B14F19" w14:textId="600695F7" w:rsidR="00CD0793" w:rsidRPr="006A22BA" w:rsidRDefault="001739FB" w:rsidP="00CD0793">
      <w:pPr>
        <w:rPr>
          <w:rFonts w:asciiTheme="minorHAnsi" w:hAnsiTheme="minorHAnsi"/>
          <w:sz w:val="22"/>
          <w:szCs w:val="22"/>
        </w:rPr>
      </w:pPr>
      <w:r>
        <w:rPr>
          <w:rFonts w:asciiTheme="minorHAnsi" w:hAnsiTheme="minorHAnsi"/>
          <w:b/>
          <w:sz w:val="22"/>
          <w:szCs w:val="22"/>
        </w:rPr>
        <w:t xml:space="preserve">Position </w:t>
      </w:r>
      <w:r w:rsidR="00CD0793" w:rsidRPr="006A22BA">
        <w:rPr>
          <w:rFonts w:asciiTheme="minorHAnsi" w:hAnsiTheme="minorHAnsi"/>
          <w:b/>
          <w:sz w:val="22"/>
          <w:szCs w:val="22"/>
        </w:rPr>
        <w:t>Context</w:t>
      </w:r>
    </w:p>
    <w:p w14:paraId="652F84F7" w14:textId="77777777" w:rsidR="006A7E3C" w:rsidRPr="005F07A3" w:rsidRDefault="006A7E3C" w:rsidP="006A7E3C">
      <w:pPr>
        <w:spacing w:before="120"/>
        <w:jc w:val="both"/>
        <w:rPr>
          <w:rFonts w:asciiTheme="minorHAnsi" w:hAnsiTheme="minorHAnsi"/>
          <w:sz w:val="22"/>
          <w:szCs w:val="22"/>
        </w:rPr>
      </w:pPr>
      <w:r w:rsidRPr="005F07A3">
        <w:rPr>
          <w:rFonts w:asciiTheme="minorHAnsi" w:hAnsiTheme="minorHAnsi"/>
          <w:sz w:val="22"/>
          <w:szCs w:val="22"/>
        </w:rPr>
        <w:t>The College of Science, Health &amp; Engineering comprises 9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6B0CE353" w14:textId="77777777" w:rsidR="006A7E3C" w:rsidRPr="005F07A3" w:rsidRDefault="006A7E3C" w:rsidP="006A7E3C">
      <w:pPr>
        <w:spacing w:before="120"/>
        <w:jc w:val="both"/>
        <w:rPr>
          <w:rFonts w:ascii="Calibri" w:hAnsi="Calibri" w:cs="Calibri"/>
          <w:snapToGrid/>
          <w:sz w:val="22"/>
          <w:szCs w:val="22"/>
          <w:lang w:eastAsia="en-AU"/>
        </w:rPr>
      </w:pPr>
      <w:r w:rsidRPr="005F07A3">
        <w:rPr>
          <w:rFonts w:ascii="Calibri" w:hAnsi="Calibri" w:cs="Calibri"/>
          <w:snapToGrid/>
          <w:sz w:val="22"/>
          <w:szCs w:val="22"/>
          <w:lang w:eastAsia="en-AU"/>
        </w:rPr>
        <w:t xml:space="preserve">One of the larger Schools within the College, the School of Psychology &amp; Public Health undertakes teaching and research across a broad range of disciplines, including: Public Health; Rehabilitation Counselling; </w:t>
      </w:r>
      <w:r>
        <w:rPr>
          <w:rFonts w:ascii="Calibri" w:hAnsi="Calibri" w:cs="Calibri"/>
          <w:snapToGrid/>
          <w:sz w:val="22"/>
          <w:szCs w:val="22"/>
          <w:lang w:eastAsia="en-AU"/>
        </w:rPr>
        <w:t xml:space="preserve">Digital Health and Analytics; </w:t>
      </w:r>
      <w:r w:rsidRPr="005F07A3">
        <w:rPr>
          <w:rFonts w:ascii="Calibri" w:hAnsi="Calibri" w:cs="Calibri"/>
          <w:snapToGrid/>
          <w:sz w:val="22"/>
          <w:szCs w:val="22"/>
          <w:lang w:eastAsia="en-AU"/>
        </w:rPr>
        <w:t>Health Information Management</w:t>
      </w:r>
      <w:r>
        <w:rPr>
          <w:rFonts w:ascii="Calibri" w:hAnsi="Calibri" w:cs="Calibri"/>
          <w:snapToGrid/>
          <w:sz w:val="22"/>
          <w:szCs w:val="22"/>
          <w:lang w:eastAsia="en-AU"/>
        </w:rPr>
        <w:t>;</w:t>
      </w:r>
      <w:r w:rsidRPr="005F07A3">
        <w:rPr>
          <w:rFonts w:ascii="Calibri" w:hAnsi="Calibri" w:cs="Calibri"/>
          <w:snapToGrid/>
          <w:sz w:val="22"/>
          <w:szCs w:val="22"/>
          <w:lang w:eastAsia="en-AU"/>
        </w:rPr>
        <w:t xml:space="preserve"> Ergonomics, Safety and Health; Art Therapy; Psychology; Neuroscience; and Counselling.  The School currently comprises seven academic units: the Department of Public Health, the Department of Psychology &amp; Counselling, the Olga Tennison Autism Research Centre (OTARC), The Bouverie </w:t>
      </w:r>
      <w:r w:rsidRPr="005F07A3">
        <w:rPr>
          <w:rFonts w:asciiTheme="minorHAnsi" w:hAnsiTheme="minorHAnsi" w:cstheme="minorHAnsi"/>
          <w:snapToGrid/>
          <w:sz w:val="22"/>
          <w:szCs w:val="22"/>
          <w:lang w:eastAsia="en-AU"/>
        </w:rPr>
        <w:t xml:space="preserve">Centre, </w:t>
      </w:r>
      <w:bookmarkStart w:id="1" w:name="_Hlk519092577"/>
      <w:r w:rsidRPr="005F07A3">
        <w:rPr>
          <w:rFonts w:asciiTheme="minorHAnsi" w:hAnsiTheme="minorHAnsi" w:cstheme="minorHAnsi"/>
          <w:snapToGrid/>
          <w:sz w:val="22"/>
          <w:szCs w:val="22"/>
          <w:lang w:eastAsia="en-AU"/>
        </w:rPr>
        <w:t>t</w:t>
      </w:r>
      <w:r w:rsidRPr="005F07A3">
        <w:rPr>
          <w:rFonts w:asciiTheme="minorHAnsi" w:hAnsiTheme="minorHAnsi" w:cstheme="minorHAnsi"/>
          <w:sz w:val="22"/>
          <w:szCs w:val="22"/>
          <w:shd w:val="clear" w:color="auto" w:fill="FFFFFF"/>
        </w:rPr>
        <w:t xml:space="preserve">he Centre for Alcohol Policy Research </w:t>
      </w:r>
      <w:r w:rsidRPr="00C43251">
        <w:rPr>
          <w:rFonts w:asciiTheme="minorHAnsi" w:hAnsiTheme="minorHAnsi" w:cstheme="minorHAnsi"/>
          <w:sz w:val="22"/>
          <w:szCs w:val="22"/>
          <w:shd w:val="clear" w:color="auto" w:fill="FFFFFF"/>
        </w:rPr>
        <w:t>(</w:t>
      </w:r>
      <w:r w:rsidRPr="00C43251">
        <w:rPr>
          <w:rStyle w:val="Emphasis"/>
          <w:rFonts w:asciiTheme="minorHAnsi" w:hAnsiTheme="minorHAnsi" w:cstheme="minorHAnsi"/>
          <w:bCs/>
          <w:sz w:val="22"/>
          <w:szCs w:val="22"/>
          <w:shd w:val="clear" w:color="auto" w:fill="FFFFFF"/>
        </w:rPr>
        <w:t>CAPR</w:t>
      </w:r>
      <w:r w:rsidRPr="00C43251">
        <w:rPr>
          <w:rFonts w:asciiTheme="minorHAnsi" w:hAnsiTheme="minorHAnsi" w:cstheme="minorHAnsi"/>
          <w:sz w:val="22"/>
          <w:szCs w:val="22"/>
          <w:shd w:val="clear" w:color="auto" w:fill="FFFFFF"/>
        </w:rPr>
        <w:t>),</w:t>
      </w:r>
      <w:r w:rsidRPr="005F07A3">
        <w:rPr>
          <w:rFonts w:asciiTheme="minorHAnsi" w:hAnsiTheme="minorHAnsi" w:cstheme="minorHAnsi"/>
          <w:sz w:val="22"/>
          <w:szCs w:val="22"/>
          <w:shd w:val="clear" w:color="auto" w:fill="FFFFFF"/>
        </w:rPr>
        <w:t xml:space="preserve"> the Centre for Health Communication and Participation (CHCP) </w:t>
      </w:r>
      <w:bookmarkEnd w:id="1"/>
      <w:r w:rsidRPr="005F07A3">
        <w:rPr>
          <w:rFonts w:asciiTheme="minorHAnsi" w:hAnsiTheme="minorHAnsi" w:cstheme="minorHAnsi"/>
          <w:snapToGrid/>
          <w:sz w:val="22"/>
          <w:szCs w:val="22"/>
          <w:lang w:eastAsia="en-AU"/>
        </w:rPr>
        <w:t>and the Australian Research Centre in Sex, Health and Society (ARCSHS).</w:t>
      </w:r>
    </w:p>
    <w:p w14:paraId="6879E10F" w14:textId="5C20E6DE" w:rsidR="006A7E3C" w:rsidRDefault="006A7E3C" w:rsidP="006A7E3C">
      <w:pPr>
        <w:pStyle w:val="CommentText"/>
        <w:spacing w:before="120"/>
        <w:jc w:val="both"/>
        <w:rPr>
          <w:rFonts w:asciiTheme="minorHAnsi" w:hAnsiTheme="minorHAnsi"/>
          <w:sz w:val="22"/>
          <w:szCs w:val="22"/>
          <w:lang w:val="en"/>
        </w:rPr>
      </w:pPr>
      <w:r w:rsidRPr="005F07A3">
        <w:rPr>
          <w:rFonts w:asciiTheme="minorHAnsi" w:hAnsiTheme="minorHAnsi"/>
          <w:sz w:val="22"/>
          <w:szCs w:val="22"/>
          <w:lang w:val="en"/>
        </w:rPr>
        <w:t xml:space="preserve">The Department of Public Health is </w:t>
      </w:r>
      <w:bookmarkStart w:id="2" w:name="_Hlk519092721"/>
      <w:r w:rsidRPr="005F07A3">
        <w:rPr>
          <w:rFonts w:asciiTheme="minorHAnsi" w:hAnsiTheme="minorHAnsi"/>
          <w:sz w:val="22"/>
          <w:szCs w:val="22"/>
          <w:lang w:val="en"/>
        </w:rPr>
        <w:t xml:space="preserve">a leading authority in many areas of public health including </w:t>
      </w:r>
      <w:bookmarkEnd w:id="2"/>
      <w:r w:rsidRPr="005F07A3">
        <w:rPr>
          <w:rFonts w:asciiTheme="minorHAnsi" w:hAnsiTheme="minorHAnsi"/>
          <w:sz w:val="22"/>
          <w:szCs w:val="22"/>
          <w:lang w:val="en"/>
        </w:rPr>
        <w:t>health policy, health promotion, health administration, health information management and informatics, art therapy, occupational health and safety, palliative care and rehabilitation counselling.</w:t>
      </w:r>
      <w:r w:rsidRPr="005F07A3">
        <w:rPr>
          <w:rStyle w:val="CommentReference"/>
        </w:rPr>
        <w:t xml:space="preserve">  </w:t>
      </w:r>
      <w:r w:rsidRPr="005F07A3">
        <w:rPr>
          <w:rFonts w:asciiTheme="minorHAnsi" w:hAnsiTheme="minorHAnsi"/>
          <w:sz w:val="22"/>
          <w:szCs w:val="22"/>
          <w:lang w:val="en"/>
        </w:rPr>
        <w:t xml:space="preserve">Research areas include international health, populations at risk, chronic illnesses and disability, palliative care, health information management, health policy and management, gender and health, </w:t>
      </w:r>
      <w:r w:rsidRPr="005F07A3">
        <w:rPr>
          <w:rFonts w:asciiTheme="minorHAnsi" w:hAnsiTheme="minorHAnsi"/>
          <w:sz w:val="22"/>
          <w:szCs w:val="22"/>
        </w:rPr>
        <w:t xml:space="preserve">behavior change in sport, exercise and rehabilitation, occupational health, </w:t>
      </w:r>
      <w:r w:rsidRPr="005F07A3">
        <w:rPr>
          <w:rFonts w:asciiTheme="minorHAnsi" w:hAnsiTheme="minorHAnsi"/>
          <w:sz w:val="22"/>
          <w:szCs w:val="22"/>
          <w:lang w:val="en"/>
        </w:rPr>
        <w:t xml:space="preserve">healthy relationships and public health practice.  Members of the Department are key contributors to La Trobe’s Research Focus Areas (five cross-disciplinary research areas that build on its strengths and address some of the most pressing questions affecting the future of human societies and their environments), particularly </w:t>
      </w:r>
      <w:r w:rsidRPr="005F07A3">
        <w:rPr>
          <w:rFonts w:asciiTheme="minorHAnsi" w:hAnsiTheme="minorHAnsi"/>
          <w:i/>
          <w:sz w:val="22"/>
          <w:szCs w:val="22"/>
          <w:lang w:val="en"/>
        </w:rPr>
        <w:t>Building Healthy Communities</w:t>
      </w:r>
      <w:r w:rsidRPr="005F07A3">
        <w:rPr>
          <w:rFonts w:asciiTheme="minorHAnsi" w:hAnsiTheme="minorHAnsi"/>
          <w:sz w:val="22"/>
          <w:szCs w:val="22"/>
          <w:lang w:val="en"/>
        </w:rPr>
        <w:t xml:space="preserve"> and </w:t>
      </w:r>
      <w:r w:rsidRPr="005F07A3">
        <w:rPr>
          <w:rFonts w:asciiTheme="minorHAnsi" w:hAnsiTheme="minorHAnsi"/>
          <w:i/>
          <w:sz w:val="22"/>
          <w:szCs w:val="22"/>
          <w:lang w:val="en"/>
        </w:rPr>
        <w:t>Sport, Exercise and Rehabilitation</w:t>
      </w:r>
      <w:r w:rsidRPr="005F07A3">
        <w:rPr>
          <w:rFonts w:asciiTheme="minorHAnsi" w:hAnsiTheme="minorHAnsi"/>
          <w:sz w:val="22"/>
          <w:szCs w:val="22"/>
          <w:lang w:val="en"/>
        </w:rPr>
        <w:t xml:space="preserve">.  The Department </w:t>
      </w:r>
      <w:r w:rsidRPr="005F07A3">
        <w:rPr>
          <w:rFonts w:asciiTheme="minorHAnsi" w:hAnsiTheme="minorHAnsi" w:cs="Calibri"/>
          <w:snapToGrid/>
          <w:sz w:val="22"/>
          <w:szCs w:val="22"/>
          <w:lang w:eastAsia="en-AU"/>
        </w:rPr>
        <w:t>has a dynamic higher degree program in a range of areas, with</w:t>
      </w:r>
      <w:r w:rsidRPr="005F07A3">
        <w:rPr>
          <w:rFonts w:asciiTheme="minorHAnsi" w:hAnsiTheme="minorHAnsi"/>
          <w:sz w:val="22"/>
          <w:szCs w:val="22"/>
          <w:lang w:val="en"/>
        </w:rPr>
        <w:t xml:space="preserve"> large numbers of </w:t>
      </w:r>
      <w:proofErr w:type="spellStart"/>
      <w:r w:rsidRPr="005F07A3">
        <w:rPr>
          <w:rFonts w:asciiTheme="minorHAnsi" w:hAnsiTheme="minorHAnsi"/>
          <w:sz w:val="22"/>
          <w:szCs w:val="22"/>
          <w:lang w:val="en"/>
        </w:rPr>
        <w:t>Honours</w:t>
      </w:r>
      <w:proofErr w:type="spellEnd"/>
      <w:r w:rsidRPr="005F07A3">
        <w:rPr>
          <w:rFonts w:asciiTheme="minorHAnsi" w:hAnsiTheme="minorHAnsi"/>
          <w:sz w:val="22"/>
          <w:szCs w:val="22"/>
          <w:lang w:val="en"/>
        </w:rPr>
        <w:t xml:space="preserve">, PhD and Doctor of Public Health students from Australia and overseas. </w:t>
      </w:r>
    </w:p>
    <w:p w14:paraId="26BBEAAC" w14:textId="77777777" w:rsidR="006A7E3C" w:rsidRDefault="006A7E3C" w:rsidP="006A7E3C">
      <w:pPr>
        <w:spacing w:before="120"/>
        <w:jc w:val="both"/>
        <w:rPr>
          <w:rFonts w:asciiTheme="minorHAnsi" w:hAnsiTheme="minorHAnsi"/>
          <w:sz w:val="22"/>
          <w:szCs w:val="22"/>
          <w:lang w:val="en"/>
        </w:rPr>
      </w:pPr>
      <w:r w:rsidRPr="005F07A3">
        <w:rPr>
          <w:rFonts w:asciiTheme="minorHAnsi" w:hAnsiTheme="minorHAnsi"/>
          <w:sz w:val="22"/>
          <w:szCs w:val="22"/>
          <w:lang w:val="en"/>
        </w:rPr>
        <w:t xml:space="preserve">The Department offers a range of flexible undergraduate and postgraduate courses by which it aims to improve the health and wellbeing of individuals and communities through excellence in teaching and research. </w:t>
      </w:r>
      <w:bookmarkStart w:id="3" w:name="_Hlk519093418"/>
      <w:r w:rsidRPr="005F07A3">
        <w:rPr>
          <w:rFonts w:asciiTheme="minorHAnsi" w:hAnsiTheme="minorHAnsi"/>
          <w:sz w:val="22"/>
          <w:szCs w:val="22"/>
          <w:lang w:val="en"/>
        </w:rPr>
        <w:t>The courses include</w:t>
      </w:r>
      <w:r>
        <w:rPr>
          <w:rFonts w:asciiTheme="minorHAnsi" w:hAnsiTheme="minorHAnsi"/>
          <w:sz w:val="22"/>
          <w:szCs w:val="22"/>
          <w:lang w:val="en"/>
        </w:rPr>
        <w:t xml:space="preserve"> a Bachelor of Health Sciences </w:t>
      </w:r>
      <w:r w:rsidRPr="005F07A3">
        <w:rPr>
          <w:rFonts w:asciiTheme="minorHAnsi" w:hAnsiTheme="minorHAnsi"/>
          <w:sz w:val="22"/>
          <w:szCs w:val="22"/>
          <w:lang w:val="en"/>
        </w:rPr>
        <w:t>with majors in public health</w:t>
      </w:r>
      <w:r>
        <w:rPr>
          <w:rFonts w:asciiTheme="minorHAnsi" w:hAnsiTheme="minorHAnsi"/>
          <w:sz w:val="22"/>
          <w:szCs w:val="22"/>
          <w:lang w:val="en"/>
        </w:rPr>
        <w:t>;</w:t>
      </w:r>
      <w:r w:rsidRPr="005F07A3">
        <w:rPr>
          <w:rFonts w:asciiTheme="minorHAnsi" w:hAnsiTheme="minorHAnsi"/>
          <w:sz w:val="22"/>
          <w:szCs w:val="22"/>
          <w:lang w:val="en"/>
        </w:rPr>
        <w:t xml:space="preserve"> health promotion</w:t>
      </w:r>
      <w:r>
        <w:rPr>
          <w:rFonts w:asciiTheme="minorHAnsi" w:hAnsiTheme="minorHAnsi"/>
          <w:sz w:val="22"/>
          <w:szCs w:val="22"/>
          <w:lang w:val="en"/>
        </w:rPr>
        <w:t xml:space="preserve">; </w:t>
      </w:r>
      <w:r w:rsidRPr="005F07A3">
        <w:rPr>
          <w:rFonts w:asciiTheme="minorHAnsi" w:hAnsiTheme="minorHAnsi"/>
          <w:sz w:val="22"/>
          <w:szCs w:val="22"/>
          <w:lang w:val="en"/>
        </w:rPr>
        <w:t>rehabilitation counselling</w:t>
      </w:r>
      <w:r>
        <w:rPr>
          <w:rFonts w:asciiTheme="minorHAnsi" w:hAnsiTheme="minorHAnsi"/>
          <w:sz w:val="22"/>
          <w:szCs w:val="22"/>
          <w:lang w:val="en"/>
        </w:rPr>
        <w:t xml:space="preserve">; </w:t>
      </w:r>
      <w:r w:rsidRPr="005F07A3">
        <w:rPr>
          <w:rFonts w:asciiTheme="minorHAnsi" w:hAnsiTheme="minorHAnsi"/>
          <w:sz w:val="22"/>
          <w:szCs w:val="22"/>
          <w:lang w:val="en"/>
        </w:rPr>
        <w:t>sports counselling and athlete welfare</w:t>
      </w:r>
      <w:r>
        <w:rPr>
          <w:rFonts w:asciiTheme="minorHAnsi" w:hAnsiTheme="minorHAnsi"/>
          <w:sz w:val="22"/>
          <w:szCs w:val="22"/>
          <w:lang w:val="en"/>
        </w:rPr>
        <w:t>; and medical classification, the latter being offered as a combined degree with a Bachelor of Health Information Management.  F</w:t>
      </w:r>
      <w:bookmarkEnd w:id="3"/>
      <w:r w:rsidRPr="005F07A3">
        <w:rPr>
          <w:rFonts w:asciiTheme="minorHAnsi" w:hAnsiTheme="minorHAnsi"/>
          <w:sz w:val="22"/>
          <w:szCs w:val="22"/>
          <w:lang w:val="en"/>
        </w:rPr>
        <w:t xml:space="preserve">lagship </w:t>
      </w:r>
      <w:bookmarkStart w:id="4" w:name="_Hlk519093678"/>
      <w:r w:rsidRPr="005F07A3">
        <w:rPr>
          <w:rFonts w:asciiTheme="minorHAnsi" w:hAnsiTheme="minorHAnsi"/>
          <w:sz w:val="22"/>
          <w:szCs w:val="22"/>
          <w:lang w:val="en"/>
        </w:rPr>
        <w:t>postgraduate masters’ degrees</w:t>
      </w:r>
      <w:r>
        <w:rPr>
          <w:rFonts w:asciiTheme="minorHAnsi" w:hAnsiTheme="minorHAnsi"/>
          <w:sz w:val="22"/>
          <w:szCs w:val="22"/>
          <w:lang w:val="en"/>
        </w:rPr>
        <w:t xml:space="preserve"> are offered</w:t>
      </w:r>
      <w:r w:rsidRPr="005F07A3">
        <w:rPr>
          <w:rFonts w:asciiTheme="minorHAnsi" w:hAnsiTheme="minorHAnsi"/>
          <w:sz w:val="22"/>
          <w:szCs w:val="22"/>
          <w:lang w:val="en"/>
        </w:rPr>
        <w:t xml:space="preserve"> in Health Sciences, Public Health, Health Administration, Digital Health</w:t>
      </w:r>
      <w:r w:rsidRPr="00336694">
        <w:rPr>
          <w:rFonts w:asciiTheme="minorHAnsi" w:hAnsiTheme="minorHAnsi"/>
          <w:sz w:val="22"/>
          <w:szCs w:val="22"/>
          <w:lang w:val="en"/>
        </w:rPr>
        <w:t xml:space="preserve"> </w:t>
      </w:r>
      <w:r>
        <w:rPr>
          <w:rFonts w:asciiTheme="minorHAnsi" w:hAnsiTheme="minorHAnsi"/>
          <w:sz w:val="22"/>
          <w:szCs w:val="22"/>
          <w:lang w:val="en"/>
        </w:rPr>
        <w:t>and Analytics</w:t>
      </w:r>
      <w:r w:rsidRPr="005F07A3">
        <w:rPr>
          <w:rFonts w:asciiTheme="minorHAnsi" w:hAnsiTheme="minorHAnsi"/>
          <w:sz w:val="22"/>
          <w:szCs w:val="22"/>
          <w:lang w:val="en"/>
        </w:rPr>
        <w:t xml:space="preserve">, </w:t>
      </w:r>
      <w:r>
        <w:rPr>
          <w:rFonts w:asciiTheme="minorHAnsi" w:hAnsiTheme="minorHAnsi"/>
          <w:sz w:val="22"/>
          <w:szCs w:val="22"/>
          <w:lang w:val="en"/>
        </w:rPr>
        <w:t xml:space="preserve">Health Information Management, </w:t>
      </w:r>
      <w:r w:rsidRPr="005F07A3">
        <w:rPr>
          <w:rFonts w:asciiTheme="minorHAnsi" w:hAnsiTheme="minorHAnsi"/>
          <w:sz w:val="22"/>
          <w:szCs w:val="22"/>
          <w:lang w:val="en"/>
        </w:rPr>
        <w:t>Art Therapy and Ergonomics, Safety and Health</w:t>
      </w:r>
      <w:r>
        <w:rPr>
          <w:rFonts w:asciiTheme="minorHAnsi" w:hAnsiTheme="minorHAnsi"/>
          <w:sz w:val="22"/>
          <w:szCs w:val="22"/>
          <w:lang w:val="en"/>
        </w:rPr>
        <w:t xml:space="preserve"> (ESH)</w:t>
      </w:r>
      <w:r w:rsidRPr="005F07A3">
        <w:rPr>
          <w:rFonts w:asciiTheme="minorHAnsi" w:hAnsiTheme="minorHAnsi"/>
          <w:sz w:val="22"/>
          <w:szCs w:val="22"/>
          <w:lang w:val="en"/>
        </w:rPr>
        <w:t xml:space="preserve">.  </w:t>
      </w:r>
      <w:bookmarkEnd w:id="4"/>
      <w:r w:rsidRPr="005F07A3">
        <w:rPr>
          <w:rFonts w:asciiTheme="minorHAnsi" w:hAnsiTheme="minorHAnsi"/>
          <w:sz w:val="22"/>
          <w:szCs w:val="22"/>
          <w:lang w:val="en"/>
        </w:rPr>
        <w:t xml:space="preserve">The formal programs and short courses are designed for clinicians, managers and health researchers, with relevant external accreditation. </w:t>
      </w:r>
    </w:p>
    <w:p w14:paraId="18764C5B" w14:textId="77777777" w:rsidR="005E4B85" w:rsidRPr="005F07A3" w:rsidRDefault="006A7E3C" w:rsidP="005E4B85">
      <w:pPr>
        <w:spacing w:before="120"/>
        <w:jc w:val="both"/>
        <w:rPr>
          <w:rFonts w:asciiTheme="minorHAnsi" w:hAnsiTheme="minorHAnsi"/>
          <w:color w:val="7030A0"/>
          <w:sz w:val="22"/>
          <w:szCs w:val="22"/>
          <w:lang w:val="en"/>
        </w:rPr>
      </w:pPr>
      <w:bookmarkStart w:id="5" w:name="_Hlk2018623"/>
      <w:r>
        <w:rPr>
          <w:rFonts w:asciiTheme="minorHAnsi" w:hAnsiTheme="minorHAnsi"/>
          <w:sz w:val="22"/>
          <w:szCs w:val="22"/>
          <w:lang w:val="en"/>
        </w:rPr>
        <w:t>The Masters of Ergonomics, Health and Safety (and the nested Graduate Certificate) are offered fully online, with s</w:t>
      </w:r>
      <w:r w:rsidRPr="00CD7F42">
        <w:rPr>
          <w:rFonts w:asciiTheme="minorHAnsi" w:hAnsiTheme="minorHAnsi"/>
          <w:sz w:val="22"/>
          <w:szCs w:val="22"/>
          <w:lang w:val="en"/>
        </w:rPr>
        <w:t xml:space="preserve">tudents </w:t>
      </w:r>
      <w:r>
        <w:rPr>
          <w:rFonts w:asciiTheme="minorHAnsi" w:hAnsiTheme="minorHAnsi"/>
          <w:sz w:val="22"/>
          <w:szCs w:val="22"/>
          <w:lang w:val="en"/>
        </w:rPr>
        <w:t>a</w:t>
      </w:r>
      <w:r w:rsidRPr="00CD7F42">
        <w:rPr>
          <w:rFonts w:asciiTheme="minorHAnsi" w:hAnsiTheme="minorHAnsi"/>
          <w:sz w:val="22"/>
          <w:szCs w:val="22"/>
          <w:lang w:val="en"/>
        </w:rPr>
        <w:t>lso offered opportunities to attend seminars throughout the course</w:t>
      </w:r>
      <w:r>
        <w:rPr>
          <w:rFonts w:asciiTheme="minorHAnsi" w:hAnsiTheme="minorHAnsi"/>
          <w:sz w:val="22"/>
          <w:szCs w:val="22"/>
          <w:lang w:val="en"/>
        </w:rPr>
        <w:t xml:space="preserve">.  The ESH discipline staff also deliver undergraduate subjects within the Bachelor of Health Sciences.  </w:t>
      </w:r>
      <w:r w:rsidR="005E4B85">
        <w:rPr>
          <w:rFonts w:asciiTheme="minorHAnsi" w:hAnsiTheme="minorHAnsi"/>
          <w:sz w:val="22"/>
          <w:szCs w:val="22"/>
          <w:lang w:val="en"/>
        </w:rPr>
        <w:t xml:space="preserve">Short course </w:t>
      </w:r>
      <w:proofErr w:type="gramStart"/>
      <w:r w:rsidR="005E4B85">
        <w:rPr>
          <w:rFonts w:asciiTheme="minorHAnsi" w:hAnsiTheme="minorHAnsi"/>
          <w:sz w:val="22"/>
          <w:szCs w:val="22"/>
          <w:lang w:val="en"/>
        </w:rPr>
        <w:t>are also offered</w:t>
      </w:r>
      <w:proofErr w:type="gramEnd"/>
      <w:r w:rsidR="005E4B85">
        <w:rPr>
          <w:rFonts w:asciiTheme="minorHAnsi" w:hAnsiTheme="minorHAnsi"/>
          <w:sz w:val="22"/>
          <w:szCs w:val="22"/>
          <w:lang w:val="en"/>
        </w:rPr>
        <w:t xml:space="preserve"> on a range of topics at various times.</w:t>
      </w:r>
    </w:p>
    <w:bookmarkEnd w:id="5"/>
    <w:p w14:paraId="1CFB41C4" w14:textId="77777777" w:rsidR="006A7E3C" w:rsidRPr="006F4174" w:rsidRDefault="006A7E3C" w:rsidP="006A7E3C">
      <w:pPr>
        <w:jc w:val="both"/>
        <w:rPr>
          <w:rFonts w:asciiTheme="minorHAnsi" w:hAnsiTheme="minorHAnsi"/>
          <w:sz w:val="22"/>
          <w:szCs w:val="22"/>
          <w:lang w:val="en"/>
        </w:rPr>
      </w:pPr>
    </w:p>
    <w:p w14:paraId="7AB22A67" w14:textId="3492DE4D" w:rsidR="00DA5139" w:rsidRPr="00DA5139" w:rsidRDefault="00DA5139" w:rsidP="00DA5139">
      <w:pPr>
        <w:jc w:val="both"/>
        <w:rPr>
          <w:rFonts w:asciiTheme="minorHAnsi" w:hAnsiTheme="minorHAnsi"/>
          <w:sz w:val="22"/>
          <w:szCs w:val="22"/>
          <w:lang w:val="en"/>
        </w:rPr>
      </w:pPr>
      <w:r w:rsidRPr="00DA5139">
        <w:rPr>
          <w:rFonts w:asciiTheme="minorHAnsi" w:hAnsiTheme="minorHAnsi"/>
          <w:sz w:val="22"/>
          <w:szCs w:val="22"/>
          <w:lang w:val="en"/>
        </w:rPr>
        <w:t>The University has long worked in partnership with health and community services, including community health centres, mental health facilities, private hospitals and clinics, and DHS funded human service facilities.  Recently the University has moved to further strengthen these partnerships with the launch of an Academic and Research Collaborative in Health aka the ARCH (formerly the Academic Research Network). The Collaborative is a partnership of nine leading Victorian healthcare providers and La Trobe University that is made possible through strong partnerships in research, training and teaching that has developed over decades.</w:t>
      </w:r>
    </w:p>
    <w:p w14:paraId="2011A75B" w14:textId="77777777" w:rsidR="00DA5139" w:rsidRPr="00DA5139" w:rsidRDefault="00DA5139" w:rsidP="00DA5139">
      <w:pPr>
        <w:jc w:val="both"/>
        <w:rPr>
          <w:rFonts w:asciiTheme="minorHAnsi" w:hAnsiTheme="minorHAnsi"/>
          <w:sz w:val="22"/>
          <w:szCs w:val="22"/>
          <w:lang w:val="en"/>
        </w:rPr>
      </w:pPr>
    </w:p>
    <w:p w14:paraId="604E244D" w14:textId="77777777" w:rsidR="00DA5139" w:rsidRPr="00DA5139" w:rsidRDefault="00DA5139" w:rsidP="00DA5139">
      <w:pPr>
        <w:jc w:val="both"/>
        <w:rPr>
          <w:rFonts w:asciiTheme="minorHAnsi" w:hAnsiTheme="minorHAnsi"/>
          <w:sz w:val="22"/>
          <w:szCs w:val="22"/>
          <w:lang w:val="en"/>
        </w:rPr>
      </w:pPr>
      <w:r w:rsidRPr="00DA5139">
        <w:rPr>
          <w:rFonts w:asciiTheme="minorHAnsi" w:hAnsiTheme="minorHAnsi"/>
          <w:sz w:val="22"/>
          <w:szCs w:val="22"/>
          <w:lang w:val="en"/>
        </w:rPr>
        <w:t>Under the leadership of the ARCH Chairs, multidisciplinary teams of researchers and healthcare professionals collaborate to conduct world class, innovative research that address areas of significant clinical and public health importance. The teams are uniquely embedded within each of our partners’ organisations which provides greater opportunities to ensure that key research findings are rapidly translated into practice.</w:t>
      </w:r>
    </w:p>
    <w:p w14:paraId="30D37A6F" w14:textId="77777777" w:rsidR="00DA5139" w:rsidRPr="00DA5139" w:rsidRDefault="00DA5139" w:rsidP="00DA5139">
      <w:pPr>
        <w:jc w:val="both"/>
        <w:rPr>
          <w:rFonts w:asciiTheme="minorHAnsi" w:hAnsiTheme="minorHAnsi"/>
          <w:sz w:val="22"/>
          <w:szCs w:val="22"/>
          <w:lang w:val="en"/>
        </w:rPr>
      </w:pPr>
    </w:p>
    <w:p w14:paraId="157C193F" w14:textId="3C0CD3B5" w:rsidR="006A7E3C" w:rsidRPr="006F4174" w:rsidRDefault="00DA5139" w:rsidP="00DA5139">
      <w:pPr>
        <w:jc w:val="both"/>
        <w:rPr>
          <w:rFonts w:asciiTheme="minorHAnsi" w:hAnsiTheme="minorHAnsi"/>
          <w:color w:val="000000"/>
          <w:sz w:val="22"/>
          <w:szCs w:val="22"/>
          <w:lang w:val="en"/>
        </w:rPr>
      </w:pPr>
      <w:r w:rsidRPr="00DA5139">
        <w:rPr>
          <w:rFonts w:asciiTheme="minorHAnsi" w:hAnsiTheme="minorHAnsi"/>
          <w:sz w:val="22"/>
          <w:szCs w:val="22"/>
          <w:lang w:val="en"/>
        </w:rPr>
        <w:t>The ARCH initiative allows us to create pathways that accelerate the translation of high-quality research into practice so that together we can improve the health and wellbeing of all Australians.</w:t>
      </w:r>
      <w:r w:rsidR="006A7E3C" w:rsidRPr="006F4174">
        <w:rPr>
          <w:rFonts w:asciiTheme="minorHAnsi" w:hAnsiTheme="minorHAnsi"/>
          <w:color w:val="000000"/>
          <w:sz w:val="22"/>
          <w:szCs w:val="22"/>
          <w:lang w:val="en"/>
        </w:rPr>
        <w:t xml:space="preserve">  </w:t>
      </w:r>
    </w:p>
    <w:p w14:paraId="652E9E5C" w14:textId="1D0EEAC4" w:rsidR="001739FB" w:rsidRDefault="001739FB">
      <w:pPr>
        <w:widowControl/>
        <w:rPr>
          <w:rFonts w:asciiTheme="minorHAnsi" w:hAnsiTheme="minorHAnsi" w:cs="Arial"/>
          <w:b/>
          <w:snapToGrid/>
          <w:color w:val="000000"/>
          <w:sz w:val="22"/>
          <w:szCs w:val="22"/>
          <w:lang w:val="en-AU" w:eastAsia="en-AU"/>
        </w:rPr>
      </w:pPr>
    </w:p>
    <w:p w14:paraId="0048E898" w14:textId="46311CE7" w:rsidR="0086029B" w:rsidRPr="00CD0793" w:rsidRDefault="00CD0793" w:rsidP="0086029B">
      <w:pPr>
        <w:pStyle w:val="Default"/>
        <w:rPr>
          <w:b/>
          <w:sz w:val="22"/>
          <w:szCs w:val="22"/>
        </w:rPr>
      </w:pPr>
      <w:r w:rsidRPr="00CD0793">
        <w:rPr>
          <w:rFonts w:asciiTheme="minorHAnsi" w:hAnsiTheme="minorHAnsi" w:cs="Arial"/>
          <w:b/>
          <w:sz w:val="22"/>
          <w:szCs w:val="22"/>
        </w:rPr>
        <w:t>Lecturer (Level B)</w:t>
      </w:r>
    </w:p>
    <w:p w14:paraId="5E4E481D" w14:textId="77777777" w:rsidR="009215C9" w:rsidRPr="003B0155" w:rsidRDefault="009215C9" w:rsidP="0086029B">
      <w:pPr>
        <w:pStyle w:val="Default"/>
        <w:rPr>
          <w:b/>
          <w:bCs/>
          <w:sz w:val="22"/>
          <w:szCs w:val="22"/>
        </w:rPr>
      </w:pPr>
    </w:p>
    <w:p w14:paraId="6A26C6F8" w14:textId="5C2E0B00" w:rsidR="0086029B" w:rsidRDefault="0086029B" w:rsidP="00983D7A">
      <w:pPr>
        <w:pStyle w:val="Default"/>
        <w:jc w:val="both"/>
        <w:rPr>
          <w:rFonts w:asciiTheme="minorHAnsi" w:hAnsiTheme="minorHAnsi"/>
          <w:sz w:val="22"/>
          <w:szCs w:val="22"/>
        </w:rPr>
      </w:pPr>
      <w:r w:rsidRPr="003B0155">
        <w:rPr>
          <w:sz w:val="22"/>
          <w:szCs w:val="22"/>
        </w:rPr>
        <w:t xml:space="preserve">A Level </w:t>
      </w:r>
      <w:r w:rsidR="00C90CA7">
        <w:rPr>
          <w:sz w:val="22"/>
          <w:szCs w:val="22"/>
        </w:rPr>
        <w:t>B</w:t>
      </w:r>
      <w:r>
        <w:rPr>
          <w:sz w:val="22"/>
          <w:szCs w:val="22"/>
        </w:rPr>
        <w:t xml:space="preserve"> </w:t>
      </w:r>
      <w:r w:rsidR="001739FB">
        <w:rPr>
          <w:sz w:val="22"/>
          <w:szCs w:val="22"/>
        </w:rPr>
        <w:t xml:space="preserve">Lecturer </w:t>
      </w:r>
      <w:r>
        <w:rPr>
          <w:sz w:val="22"/>
          <w:szCs w:val="22"/>
        </w:rPr>
        <w:t>teaching and research</w:t>
      </w:r>
      <w:r w:rsidRPr="003B0155">
        <w:rPr>
          <w:sz w:val="22"/>
          <w:szCs w:val="22"/>
        </w:rPr>
        <w:t xml:space="preserve"> academic is expected to develop curriculum, teach and undertake research or other scholarly work relevant to the development of their di</w:t>
      </w:r>
      <w:r>
        <w:rPr>
          <w:sz w:val="22"/>
          <w:szCs w:val="22"/>
        </w:rPr>
        <w:t xml:space="preserve">scipline or professional field. An academic at this level will </w:t>
      </w:r>
      <w:r w:rsidRPr="00AB5CBF">
        <w:rPr>
          <w:rFonts w:asciiTheme="minorHAnsi" w:hAnsiTheme="minorHAnsi"/>
          <w:sz w:val="22"/>
          <w:szCs w:val="22"/>
        </w:rPr>
        <w:t xml:space="preserve">make a significant contribution to the discipline at the national level. </w:t>
      </w:r>
      <w:r>
        <w:rPr>
          <w:rFonts w:asciiTheme="minorHAnsi" w:hAnsiTheme="minorHAnsi"/>
          <w:sz w:val="22"/>
          <w:szCs w:val="22"/>
        </w:rPr>
        <w:t xml:space="preserve"> </w:t>
      </w:r>
    </w:p>
    <w:p w14:paraId="6D68D491" w14:textId="77777777" w:rsidR="00953F0E" w:rsidRDefault="00953F0E" w:rsidP="00983D7A">
      <w:pPr>
        <w:pStyle w:val="Default"/>
        <w:jc w:val="both"/>
        <w:rPr>
          <w:rFonts w:asciiTheme="minorHAnsi" w:hAnsiTheme="minorHAnsi"/>
          <w:sz w:val="22"/>
          <w:szCs w:val="22"/>
        </w:rPr>
      </w:pPr>
    </w:p>
    <w:p w14:paraId="2519AC25" w14:textId="12F8F4FE" w:rsidR="00953F0E" w:rsidRPr="009569F8" w:rsidRDefault="00953F0E" w:rsidP="00953F0E">
      <w:pPr>
        <w:pStyle w:val="Default"/>
        <w:jc w:val="both"/>
        <w:rPr>
          <w:rFonts w:asciiTheme="minorHAnsi" w:hAnsiTheme="minorHAnsi"/>
          <w:b/>
          <w:sz w:val="22"/>
          <w:szCs w:val="22"/>
        </w:rPr>
      </w:pPr>
      <w:r>
        <w:rPr>
          <w:rFonts w:asciiTheme="minorHAnsi" w:hAnsiTheme="minorHAnsi"/>
          <w:sz w:val="22"/>
          <w:szCs w:val="22"/>
        </w:rPr>
        <w:t xml:space="preserve">The lecturer will be expected to teach into and coordinate designated subjects in the undergraduate and postgraduate programs in Ergonomics, Safety and Health and to work in co-operation with the course coordinator(s) and discipline lead to deliver an overall outstanding student experience.  </w:t>
      </w:r>
      <w:r w:rsidRPr="002218BB">
        <w:rPr>
          <w:rFonts w:asciiTheme="minorHAnsi" w:hAnsiTheme="minorHAnsi"/>
          <w:sz w:val="22"/>
          <w:szCs w:val="22"/>
        </w:rPr>
        <w:t>Participation in the support and/or delivery of short courses may also form part of the required teaching activities.</w:t>
      </w:r>
    </w:p>
    <w:p w14:paraId="6E54B7D9" w14:textId="77777777" w:rsidR="00953F0E" w:rsidRPr="00AB5CBF" w:rsidRDefault="00953F0E" w:rsidP="00983D7A">
      <w:pPr>
        <w:pStyle w:val="Default"/>
        <w:jc w:val="both"/>
        <w:rPr>
          <w:rFonts w:asciiTheme="minorHAnsi" w:hAnsiTheme="minorHAnsi"/>
          <w:sz w:val="22"/>
          <w:szCs w:val="22"/>
        </w:rPr>
      </w:pPr>
    </w:p>
    <w:p w14:paraId="6CABFE25" w14:textId="77777777" w:rsidR="0086029B" w:rsidRPr="003B0155" w:rsidRDefault="0086029B" w:rsidP="0086029B">
      <w:pPr>
        <w:pStyle w:val="Default"/>
        <w:rPr>
          <w:sz w:val="22"/>
          <w:szCs w:val="22"/>
        </w:rPr>
      </w:pPr>
    </w:p>
    <w:p w14:paraId="7D9960C7" w14:textId="77777777" w:rsidR="009215C9" w:rsidRPr="00DD4712" w:rsidRDefault="009215C9" w:rsidP="009215C9">
      <w:pPr>
        <w:pStyle w:val="Default"/>
        <w:rPr>
          <w:b/>
          <w:bCs/>
          <w:sz w:val="22"/>
          <w:szCs w:val="22"/>
        </w:rPr>
      </w:pPr>
      <w:r w:rsidRPr="00DD4712">
        <w:rPr>
          <w:b/>
          <w:bCs/>
          <w:sz w:val="22"/>
          <w:szCs w:val="22"/>
        </w:rPr>
        <w:t xml:space="preserve">Duties at this level may include: </w:t>
      </w:r>
    </w:p>
    <w:p w14:paraId="2CB36A01" w14:textId="77777777" w:rsidR="00DC7C3E" w:rsidRDefault="00DC7C3E" w:rsidP="00DC7C3E">
      <w:pPr>
        <w:pStyle w:val="Default"/>
        <w:rPr>
          <w:b/>
          <w:bCs/>
          <w:color w:val="C00000"/>
          <w:sz w:val="22"/>
          <w:szCs w:val="22"/>
        </w:rPr>
      </w:pPr>
    </w:p>
    <w:p w14:paraId="28C42C35" w14:textId="77777777" w:rsidR="006A7E3C" w:rsidRPr="00830506" w:rsidRDefault="006A7E3C" w:rsidP="006A7E3C">
      <w:pPr>
        <w:pStyle w:val="Default"/>
        <w:numPr>
          <w:ilvl w:val="0"/>
          <w:numId w:val="23"/>
        </w:numPr>
        <w:spacing w:after="70"/>
        <w:rPr>
          <w:sz w:val="22"/>
          <w:szCs w:val="22"/>
        </w:rPr>
      </w:pPr>
      <w:r w:rsidRPr="00830506">
        <w:rPr>
          <w:sz w:val="22"/>
          <w:szCs w:val="22"/>
        </w:rPr>
        <w:t xml:space="preserve">Develop, coordinate and teach a high quality learning experience that engages students through the conduct of tutorials, practical classes, demonstrations, workshops, student field excursions, </w:t>
      </w:r>
      <w:r>
        <w:rPr>
          <w:sz w:val="22"/>
          <w:szCs w:val="22"/>
        </w:rPr>
        <w:t xml:space="preserve">and/or </w:t>
      </w:r>
      <w:r w:rsidRPr="00830506">
        <w:rPr>
          <w:sz w:val="22"/>
          <w:szCs w:val="22"/>
        </w:rPr>
        <w:t>clinical sessions.</w:t>
      </w:r>
    </w:p>
    <w:p w14:paraId="45024D15" w14:textId="77777777" w:rsidR="00953F0E" w:rsidRPr="00683B74" w:rsidRDefault="00953F0E" w:rsidP="00953F0E">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Demonstrate effectiveness by taking an evidence-based approach to evaluate learning and teaching initiatives.</w:t>
      </w:r>
    </w:p>
    <w:p w14:paraId="2DAD8E2F" w14:textId="77777777" w:rsidR="006A7E3C" w:rsidRPr="00830506" w:rsidRDefault="006A7E3C" w:rsidP="006A7E3C">
      <w:pPr>
        <w:pStyle w:val="Default"/>
        <w:numPr>
          <w:ilvl w:val="0"/>
          <w:numId w:val="23"/>
        </w:numPr>
        <w:spacing w:after="7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14:paraId="76346212" w14:textId="77777777" w:rsidR="006A7E3C" w:rsidRPr="00830506" w:rsidRDefault="006A7E3C" w:rsidP="006A7E3C">
      <w:pPr>
        <w:pStyle w:val="Default"/>
        <w:numPr>
          <w:ilvl w:val="0"/>
          <w:numId w:val="23"/>
        </w:numPr>
        <w:spacing w:after="70"/>
        <w:rPr>
          <w:sz w:val="22"/>
          <w:szCs w:val="22"/>
        </w:rPr>
      </w:pPr>
      <w:r w:rsidRPr="00830506">
        <w:rPr>
          <w:sz w:val="22"/>
          <w:szCs w:val="22"/>
        </w:rPr>
        <w:t>Participate in innovative course level curriculum design, development and review.</w:t>
      </w:r>
    </w:p>
    <w:p w14:paraId="52A34F8D" w14:textId="77777777" w:rsidR="006A7E3C" w:rsidRPr="00830506" w:rsidRDefault="006A7E3C" w:rsidP="006A7E3C">
      <w:pPr>
        <w:pStyle w:val="Default"/>
        <w:numPr>
          <w:ilvl w:val="0"/>
          <w:numId w:val="23"/>
        </w:numPr>
        <w:spacing w:after="68"/>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14:paraId="5E2FB1F5" w14:textId="77777777" w:rsidR="006A7E3C" w:rsidRPr="00830506" w:rsidRDefault="006A7E3C" w:rsidP="006A7E3C">
      <w:pPr>
        <w:pStyle w:val="Default"/>
        <w:numPr>
          <w:ilvl w:val="0"/>
          <w:numId w:val="23"/>
        </w:numPr>
        <w:spacing w:after="68"/>
        <w:rPr>
          <w:sz w:val="22"/>
          <w:szCs w:val="22"/>
        </w:rPr>
      </w:pPr>
      <w:r w:rsidRPr="00830506">
        <w:rPr>
          <w:sz w:val="22"/>
          <w:szCs w:val="22"/>
        </w:rPr>
        <w:t>Contribute to writing up research findings for publication and dissemination.</w:t>
      </w:r>
    </w:p>
    <w:p w14:paraId="66CAE6C2" w14:textId="3C95B951" w:rsidR="006A7E3C" w:rsidRPr="00953F0E" w:rsidRDefault="00953F0E" w:rsidP="00953F0E">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lastRenderedPageBreak/>
        <w:t xml:space="preserve">Co-supervise or, where appropriate supervise Higher Degree by Research, </w:t>
      </w:r>
      <w:proofErr w:type="spellStart"/>
      <w:r w:rsidRPr="00683B74">
        <w:rPr>
          <w:rFonts w:asciiTheme="minorHAnsi" w:hAnsiTheme="minorHAnsi" w:cstheme="minorHAnsi"/>
          <w:sz w:val="22"/>
          <w:szCs w:val="22"/>
        </w:rPr>
        <w:t>honours</w:t>
      </w:r>
      <w:proofErr w:type="spellEnd"/>
      <w:r w:rsidRPr="00683B74">
        <w:rPr>
          <w:rFonts w:asciiTheme="minorHAnsi" w:hAnsiTheme="minorHAnsi" w:cstheme="minorHAnsi"/>
          <w:sz w:val="22"/>
          <w:szCs w:val="22"/>
        </w:rPr>
        <w:t xml:space="preserve"> and postgraduate students. </w:t>
      </w:r>
    </w:p>
    <w:p w14:paraId="110389C1" w14:textId="77777777" w:rsidR="006A7E3C" w:rsidRPr="00830506" w:rsidRDefault="006A7E3C" w:rsidP="006A7E3C">
      <w:pPr>
        <w:pStyle w:val="Default"/>
        <w:numPr>
          <w:ilvl w:val="0"/>
          <w:numId w:val="23"/>
        </w:numPr>
        <w:spacing w:after="68"/>
        <w:rPr>
          <w:sz w:val="22"/>
          <w:szCs w:val="22"/>
        </w:rPr>
      </w:pPr>
      <w:r w:rsidRPr="00830506">
        <w:rPr>
          <w:sz w:val="22"/>
          <w:szCs w:val="22"/>
        </w:rPr>
        <w:t>Contribute to a robust and ambitious research culture.</w:t>
      </w:r>
    </w:p>
    <w:p w14:paraId="4FC86C75" w14:textId="77777777" w:rsidR="006A7E3C" w:rsidRPr="00DD4712" w:rsidRDefault="006A7E3C" w:rsidP="006A7E3C">
      <w:pPr>
        <w:pStyle w:val="Default"/>
        <w:numPr>
          <w:ilvl w:val="0"/>
          <w:numId w:val="23"/>
        </w:numPr>
        <w:spacing w:after="68"/>
        <w:rPr>
          <w:sz w:val="22"/>
          <w:szCs w:val="22"/>
        </w:rPr>
      </w:pPr>
      <w:r w:rsidRPr="00DD4712">
        <w:rPr>
          <w:sz w:val="22"/>
          <w:szCs w:val="22"/>
        </w:rPr>
        <w:t>With mentoring support,</w:t>
      </w:r>
      <w:r>
        <w:rPr>
          <w:sz w:val="22"/>
          <w:szCs w:val="22"/>
        </w:rPr>
        <w:t xml:space="preserve"> </w:t>
      </w:r>
      <w:r w:rsidRPr="00DD4712">
        <w:rPr>
          <w:sz w:val="22"/>
          <w:szCs w:val="22"/>
        </w:rPr>
        <w:t xml:space="preserve">obtain necessary research funding from </w:t>
      </w:r>
      <w:r>
        <w:rPr>
          <w:sz w:val="22"/>
          <w:szCs w:val="22"/>
        </w:rPr>
        <w:t>external funding sources.</w:t>
      </w:r>
      <w:r w:rsidRPr="00DD4712">
        <w:rPr>
          <w:sz w:val="22"/>
          <w:szCs w:val="22"/>
        </w:rPr>
        <w:t xml:space="preserve"> </w:t>
      </w:r>
    </w:p>
    <w:p w14:paraId="56F598F2" w14:textId="77777777" w:rsidR="006A7E3C" w:rsidRPr="00830506" w:rsidRDefault="006A7E3C" w:rsidP="006A7E3C">
      <w:pPr>
        <w:pStyle w:val="Default"/>
        <w:numPr>
          <w:ilvl w:val="0"/>
          <w:numId w:val="23"/>
        </w:numPr>
        <w:spacing w:after="70"/>
        <w:rPr>
          <w:sz w:val="22"/>
          <w:szCs w:val="22"/>
        </w:rPr>
      </w:pPr>
      <w:r w:rsidRPr="00830506">
        <w:rPr>
          <w:sz w:val="22"/>
          <w:szCs w:val="22"/>
        </w:rPr>
        <w:t>Continue to develop professional practice skills/knowledge and expertise.</w:t>
      </w:r>
    </w:p>
    <w:p w14:paraId="26F970F4" w14:textId="77777777" w:rsidR="006A7E3C" w:rsidRPr="00830506" w:rsidRDefault="006A7E3C" w:rsidP="006A7E3C">
      <w:pPr>
        <w:pStyle w:val="Default"/>
        <w:numPr>
          <w:ilvl w:val="0"/>
          <w:numId w:val="23"/>
        </w:numPr>
        <w:spacing w:after="70"/>
        <w:rPr>
          <w:sz w:val="22"/>
          <w:szCs w:val="22"/>
        </w:rPr>
      </w:pPr>
      <w:r w:rsidRPr="00830506">
        <w:rPr>
          <w:sz w:val="22"/>
          <w:szCs w:val="22"/>
        </w:rPr>
        <w:t>Perform allocated administrative functions effectively and efficiently.</w:t>
      </w:r>
    </w:p>
    <w:p w14:paraId="21BF84B9" w14:textId="77777777" w:rsidR="006A7E3C" w:rsidRPr="00830506" w:rsidRDefault="006A7E3C" w:rsidP="006A7E3C">
      <w:pPr>
        <w:pStyle w:val="Default"/>
        <w:numPr>
          <w:ilvl w:val="0"/>
          <w:numId w:val="23"/>
        </w:numPr>
        <w:spacing w:after="70"/>
        <w:rPr>
          <w:sz w:val="22"/>
          <w:szCs w:val="22"/>
        </w:rPr>
      </w:pPr>
      <w:r w:rsidRPr="00830506">
        <w:rPr>
          <w:sz w:val="22"/>
          <w:szCs w:val="22"/>
        </w:rPr>
        <w:t>Contribute to building relationships at local and national level.</w:t>
      </w:r>
    </w:p>
    <w:p w14:paraId="4B5369F9" w14:textId="77777777" w:rsidR="006A7E3C" w:rsidRPr="00830506" w:rsidRDefault="006A7E3C" w:rsidP="006A7E3C">
      <w:pPr>
        <w:pStyle w:val="Default"/>
        <w:numPr>
          <w:ilvl w:val="0"/>
          <w:numId w:val="23"/>
        </w:numPr>
        <w:spacing w:after="70"/>
        <w:rPr>
          <w:sz w:val="22"/>
          <w:szCs w:val="22"/>
        </w:rPr>
      </w:pPr>
      <w:r w:rsidRPr="00830506">
        <w:rPr>
          <w:sz w:val="22"/>
          <w:szCs w:val="22"/>
        </w:rPr>
        <w:t>Undertake other duties commensurate with the classification and scope of the position as required by the Head of Department or Head of School.</w:t>
      </w:r>
      <w:r w:rsidRPr="00830506">
        <w:rPr>
          <w:sz w:val="22"/>
          <w:szCs w:val="22"/>
        </w:rPr>
        <w:tab/>
      </w:r>
    </w:p>
    <w:p w14:paraId="438B6911" w14:textId="77777777" w:rsidR="00953F0E" w:rsidRDefault="00953F0E" w:rsidP="00DC7C3E">
      <w:pPr>
        <w:pStyle w:val="Default"/>
        <w:spacing w:before="240"/>
        <w:rPr>
          <w:b/>
          <w:bCs/>
          <w:color w:val="auto"/>
          <w:sz w:val="22"/>
          <w:szCs w:val="22"/>
        </w:rPr>
      </w:pPr>
    </w:p>
    <w:p w14:paraId="04149205" w14:textId="77777777" w:rsidR="00953F0E" w:rsidRDefault="00953F0E" w:rsidP="00DC7C3E">
      <w:pPr>
        <w:pStyle w:val="Default"/>
        <w:spacing w:before="240"/>
        <w:rPr>
          <w:b/>
          <w:bCs/>
          <w:color w:val="auto"/>
          <w:sz w:val="22"/>
          <w:szCs w:val="22"/>
        </w:rPr>
      </w:pPr>
    </w:p>
    <w:p w14:paraId="599D3088" w14:textId="564A8671" w:rsidR="00DC7C3E" w:rsidRPr="00DC7C3E" w:rsidRDefault="00DC7C3E" w:rsidP="00DC7C3E">
      <w:pPr>
        <w:pStyle w:val="Default"/>
        <w:spacing w:before="240"/>
        <w:rPr>
          <w:b/>
          <w:bCs/>
          <w:color w:val="auto"/>
          <w:sz w:val="22"/>
          <w:szCs w:val="22"/>
        </w:rPr>
      </w:pPr>
      <w:r w:rsidRPr="00DC7C3E">
        <w:rPr>
          <w:b/>
          <w:bCs/>
          <w:color w:val="auto"/>
          <w:sz w:val="22"/>
          <w:szCs w:val="22"/>
        </w:rPr>
        <w:t xml:space="preserve">Key Selection Criteria </w:t>
      </w:r>
    </w:p>
    <w:p w14:paraId="7E5BBC40" w14:textId="77777777" w:rsidR="00DC7C3E" w:rsidRPr="00DC7C3E" w:rsidRDefault="00DC7C3E" w:rsidP="00DC7C3E">
      <w:pPr>
        <w:pStyle w:val="Default"/>
        <w:rPr>
          <w:color w:val="auto"/>
          <w:sz w:val="22"/>
          <w:szCs w:val="22"/>
        </w:rPr>
      </w:pPr>
    </w:p>
    <w:p w14:paraId="2051E434" w14:textId="361AB382" w:rsidR="00DC7C3E" w:rsidRDefault="00DC7C3E" w:rsidP="00DC7C3E">
      <w:pPr>
        <w:pStyle w:val="Default"/>
        <w:rPr>
          <w:b/>
          <w:bCs/>
          <w:color w:val="auto"/>
          <w:sz w:val="22"/>
          <w:szCs w:val="22"/>
        </w:rPr>
      </w:pPr>
      <w:r w:rsidRPr="00DC7C3E">
        <w:rPr>
          <w:b/>
          <w:bCs/>
          <w:color w:val="auto"/>
          <w:sz w:val="22"/>
          <w:szCs w:val="22"/>
        </w:rPr>
        <w:t xml:space="preserve">ESSENTIAL: </w:t>
      </w:r>
    </w:p>
    <w:p w14:paraId="39655998" w14:textId="77777777" w:rsidR="00953F0E" w:rsidRPr="00DC7C3E" w:rsidRDefault="00953F0E" w:rsidP="00DC7C3E">
      <w:pPr>
        <w:pStyle w:val="Default"/>
        <w:rPr>
          <w:b/>
          <w:bCs/>
          <w:color w:val="auto"/>
          <w:sz w:val="22"/>
          <w:szCs w:val="22"/>
        </w:rPr>
      </w:pPr>
    </w:p>
    <w:p w14:paraId="3D59F64F" w14:textId="759497FE" w:rsidR="00953F0E" w:rsidRPr="000E37AA" w:rsidRDefault="00953F0E" w:rsidP="00953F0E">
      <w:pPr>
        <w:pStyle w:val="Default"/>
        <w:numPr>
          <w:ilvl w:val="0"/>
          <w:numId w:val="34"/>
        </w:numPr>
        <w:spacing w:after="70"/>
        <w:jc w:val="both"/>
        <w:rPr>
          <w:sz w:val="22"/>
          <w:szCs w:val="22"/>
        </w:rPr>
      </w:pPr>
      <w:r w:rsidRPr="000E37AA">
        <w:rPr>
          <w:color w:val="auto"/>
          <w:sz w:val="22"/>
          <w:szCs w:val="22"/>
        </w:rPr>
        <w:t>Completion of a PhD or</w:t>
      </w:r>
      <w:r>
        <w:rPr>
          <w:color w:val="auto"/>
          <w:sz w:val="22"/>
          <w:szCs w:val="22"/>
        </w:rPr>
        <w:t xml:space="preserve"> other </w:t>
      </w:r>
      <w:r w:rsidR="00DC55C5">
        <w:rPr>
          <w:color w:val="auto"/>
          <w:sz w:val="22"/>
          <w:szCs w:val="22"/>
        </w:rPr>
        <w:t xml:space="preserve">post graduate </w:t>
      </w:r>
      <w:r>
        <w:rPr>
          <w:color w:val="auto"/>
          <w:sz w:val="22"/>
          <w:szCs w:val="22"/>
        </w:rPr>
        <w:t>specialist</w:t>
      </w:r>
      <w:r w:rsidRPr="000E37AA">
        <w:rPr>
          <w:color w:val="auto"/>
          <w:sz w:val="22"/>
          <w:szCs w:val="22"/>
        </w:rPr>
        <w:t xml:space="preserve"> qualifications</w:t>
      </w:r>
      <w:r>
        <w:rPr>
          <w:color w:val="auto"/>
          <w:sz w:val="22"/>
          <w:szCs w:val="22"/>
        </w:rPr>
        <w:t xml:space="preserve"> in the area of ergonomics and/or occupational health and safety</w:t>
      </w:r>
      <w:r w:rsidRPr="000E37AA">
        <w:rPr>
          <w:color w:val="auto"/>
          <w:sz w:val="22"/>
          <w:szCs w:val="22"/>
        </w:rPr>
        <w:t xml:space="preserve"> </w:t>
      </w:r>
      <w:r>
        <w:rPr>
          <w:color w:val="auto"/>
          <w:sz w:val="22"/>
          <w:szCs w:val="22"/>
        </w:rPr>
        <w:t xml:space="preserve">which are </w:t>
      </w:r>
      <w:r w:rsidRPr="000E37AA">
        <w:rPr>
          <w:color w:val="auto"/>
          <w:sz w:val="22"/>
          <w:szCs w:val="22"/>
        </w:rPr>
        <w:t>recognised by the University/profession as appropriate for the discipline area.</w:t>
      </w:r>
    </w:p>
    <w:p w14:paraId="0EAC5A35" w14:textId="77777777" w:rsidR="00EE03DB" w:rsidRPr="00EE03DB" w:rsidRDefault="00EE03DB" w:rsidP="00EE03DB">
      <w:pPr>
        <w:pStyle w:val="Default"/>
        <w:numPr>
          <w:ilvl w:val="0"/>
          <w:numId w:val="34"/>
        </w:numPr>
        <w:adjustRightInd/>
        <w:spacing w:after="68"/>
        <w:jc w:val="both"/>
        <w:rPr>
          <w:rFonts w:asciiTheme="minorHAnsi" w:hAnsiTheme="minorHAnsi" w:cs="Arial"/>
          <w:sz w:val="22"/>
          <w:szCs w:val="22"/>
        </w:rPr>
      </w:pPr>
      <w:r>
        <w:rPr>
          <w:color w:val="auto"/>
          <w:sz w:val="22"/>
          <w:szCs w:val="22"/>
        </w:rPr>
        <w:t>D</w:t>
      </w:r>
      <w:r w:rsidRPr="00EE03DB">
        <w:rPr>
          <w:color w:val="auto"/>
          <w:sz w:val="22"/>
          <w:szCs w:val="22"/>
        </w:rPr>
        <w:t xml:space="preserve">emonstrated effectiveness in teaching and a </w:t>
      </w:r>
      <w:r w:rsidRPr="00EE03DB">
        <w:rPr>
          <w:rFonts w:asciiTheme="minorHAnsi" w:hAnsiTheme="minorHAnsi"/>
          <w:sz w:val="22"/>
          <w:szCs w:val="22"/>
        </w:rPr>
        <w:t>knowledge of current and new teaching methods and pedagogies.</w:t>
      </w:r>
    </w:p>
    <w:p w14:paraId="6956D8C8" w14:textId="732B41D0" w:rsidR="00DC7C3E" w:rsidRPr="00DC7C3E" w:rsidRDefault="00DC7C3E" w:rsidP="00EE03DB">
      <w:pPr>
        <w:pStyle w:val="Default"/>
        <w:numPr>
          <w:ilvl w:val="0"/>
          <w:numId w:val="34"/>
        </w:numPr>
        <w:adjustRightInd/>
        <w:spacing w:after="68"/>
        <w:jc w:val="both"/>
        <w:rPr>
          <w:color w:val="auto"/>
          <w:sz w:val="22"/>
          <w:szCs w:val="22"/>
        </w:rPr>
      </w:pPr>
      <w:r>
        <w:rPr>
          <w:rFonts w:asciiTheme="minorHAnsi" w:hAnsiTheme="minorHAnsi"/>
          <w:sz w:val="22"/>
          <w:szCs w:val="22"/>
        </w:rPr>
        <w:t xml:space="preserve">Strong </w:t>
      </w:r>
      <w:r w:rsidRPr="00DC7C3E">
        <w:rPr>
          <w:color w:val="auto"/>
          <w:sz w:val="22"/>
          <w:szCs w:val="22"/>
        </w:rPr>
        <w:t>record of research publication, with evidence of quality and impact, relative to opportunity.</w:t>
      </w:r>
    </w:p>
    <w:p w14:paraId="6B5FE3ED" w14:textId="77777777" w:rsidR="00EE03DB" w:rsidRPr="00EE03DB" w:rsidRDefault="00DC7C3E" w:rsidP="00EE03DB">
      <w:pPr>
        <w:pStyle w:val="Default"/>
        <w:numPr>
          <w:ilvl w:val="0"/>
          <w:numId w:val="34"/>
        </w:numPr>
        <w:adjustRightInd/>
        <w:spacing w:after="68"/>
        <w:jc w:val="both"/>
        <w:rPr>
          <w:rFonts w:asciiTheme="minorHAnsi" w:hAnsiTheme="minorHAnsi" w:cs="Arial"/>
          <w:sz w:val="22"/>
          <w:szCs w:val="22"/>
        </w:rPr>
      </w:pPr>
      <w:r w:rsidRPr="00EE03DB">
        <w:rPr>
          <w:color w:val="auto"/>
          <w:sz w:val="22"/>
          <w:szCs w:val="22"/>
        </w:rPr>
        <w:t>Experience in the preparation of research proposals submit</w:t>
      </w:r>
      <w:r w:rsidR="00EE03DB">
        <w:rPr>
          <w:color w:val="auto"/>
          <w:sz w:val="22"/>
          <w:szCs w:val="22"/>
        </w:rPr>
        <w:t>ted to external funding bodies.</w:t>
      </w:r>
    </w:p>
    <w:p w14:paraId="53BC6014" w14:textId="77777777" w:rsidR="00DC7C3E" w:rsidRPr="00DC7C3E" w:rsidRDefault="00DC7C3E" w:rsidP="00EE03DB">
      <w:pPr>
        <w:pStyle w:val="Default"/>
        <w:numPr>
          <w:ilvl w:val="0"/>
          <w:numId w:val="34"/>
        </w:numPr>
        <w:adjustRightInd/>
        <w:spacing w:after="68"/>
        <w:jc w:val="both"/>
        <w:rPr>
          <w:color w:val="auto"/>
          <w:sz w:val="22"/>
          <w:szCs w:val="22"/>
        </w:rPr>
      </w:pPr>
      <w:r w:rsidRPr="00DC7C3E">
        <w:rPr>
          <w:color w:val="auto"/>
          <w:sz w:val="22"/>
          <w:szCs w:val="22"/>
        </w:rPr>
        <w:t>Ability to mentor and supervise undergraduate, honours and postgraduate students.</w:t>
      </w:r>
    </w:p>
    <w:p w14:paraId="7CBEB2BB" w14:textId="0B0A027C" w:rsidR="00DC7C3E" w:rsidRDefault="00DC7C3E" w:rsidP="00EE03DB">
      <w:pPr>
        <w:pStyle w:val="Default"/>
        <w:numPr>
          <w:ilvl w:val="0"/>
          <w:numId w:val="34"/>
        </w:numPr>
        <w:adjustRightInd/>
        <w:spacing w:after="60"/>
        <w:ind w:left="714" w:hanging="357"/>
        <w:jc w:val="both"/>
        <w:rPr>
          <w:color w:val="auto"/>
          <w:sz w:val="22"/>
          <w:szCs w:val="22"/>
        </w:rPr>
      </w:pPr>
      <w:r w:rsidRPr="00DC7C3E">
        <w:rPr>
          <w:color w:val="auto"/>
          <w:sz w:val="22"/>
          <w:szCs w:val="22"/>
        </w:rPr>
        <w:t>Demonstrated ability to work collaboratively and productively with staff, students, and external stakeholders from multi-disciplinary domains.</w:t>
      </w:r>
    </w:p>
    <w:p w14:paraId="1A0E10FD" w14:textId="18CB561C" w:rsidR="00953F0E" w:rsidRPr="00953F0E" w:rsidRDefault="00953F0E" w:rsidP="00953F0E">
      <w:pPr>
        <w:pStyle w:val="ListParagraph"/>
        <w:numPr>
          <w:ilvl w:val="0"/>
          <w:numId w:val="34"/>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Demonstrated high level oral and written communication skills, including the ability to interact effectively, collaboratively and productively with staff and students from a diverse range of backgrounds. </w:t>
      </w:r>
    </w:p>
    <w:p w14:paraId="4676D599" w14:textId="77777777" w:rsidR="006A7E3C" w:rsidRDefault="00DC7C3E" w:rsidP="00C660AC">
      <w:pPr>
        <w:pStyle w:val="Default"/>
        <w:numPr>
          <w:ilvl w:val="0"/>
          <w:numId w:val="34"/>
        </w:numPr>
        <w:adjustRightInd/>
        <w:spacing w:after="60"/>
        <w:ind w:left="714" w:hanging="357"/>
        <w:jc w:val="both"/>
        <w:rPr>
          <w:rFonts w:asciiTheme="minorHAnsi" w:hAnsiTheme="minorHAnsi"/>
          <w:b/>
          <w:bCs/>
          <w:sz w:val="22"/>
          <w:szCs w:val="22"/>
        </w:rPr>
      </w:pPr>
      <w:r w:rsidRPr="006A7E3C">
        <w:rPr>
          <w:color w:val="auto"/>
          <w:sz w:val="22"/>
          <w:szCs w:val="22"/>
        </w:rPr>
        <w:t>Demonstrated ability to work independently.</w:t>
      </w:r>
    </w:p>
    <w:p w14:paraId="0CFB73C8" w14:textId="77777777" w:rsidR="006A7E3C" w:rsidRDefault="006A7E3C" w:rsidP="006A7E3C">
      <w:pPr>
        <w:pStyle w:val="Default"/>
        <w:adjustRightInd/>
        <w:spacing w:after="60"/>
        <w:ind w:left="357"/>
        <w:jc w:val="both"/>
        <w:rPr>
          <w:rFonts w:asciiTheme="minorHAnsi" w:hAnsiTheme="minorHAnsi"/>
          <w:b/>
          <w:bCs/>
          <w:sz w:val="22"/>
          <w:szCs w:val="22"/>
        </w:rPr>
      </w:pPr>
    </w:p>
    <w:p w14:paraId="160FF24D" w14:textId="61FB9E79" w:rsidR="009215C9" w:rsidRPr="006A7E3C" w:rsidRDefault="009215C9" w:rsidP="006A7E3C">
      <w:pPr>
        <w:pStyle w:val="Default"/>
        <w:adjustRightInd/>
        <w:spacing w:after="60"/>
        <w:ind w:left="357"/>
        <w:jc w:val="both"/>
        <w:rPr>
          <w:rFonts w:asciiTheme="minorHAnsi" w:hAnsiTheme="minorHAnsi"/>
          <w:b/>
          <w:bCs/>
          <w:sz w:val="22"/>
          <w:szCs w:val="22"/>
        </w:rPr>
      </w:pPr>
      <w:r w:rsidRPr="006A7E3C">
        <w:rPr>
          <w:rFonts w:asciiTheme="minorHAnsi" w:hAnsiTheme="minorHAnsi"/>
          <w:b/>
          <w:bCs/>
          <w:sz w:val="22"/>
          <w:szCs w:val="22"/>
        </w:rPr>
        <w:t>DESIRABLE:</w:t>
      </w:r>
    </w:p>
    <w:p w14:paraId="7E7FBE95" w14:textId="77777777" w:rsidR="00BD2129" w:rsidRDefault="00BD2129" w:rsidP="00EE03DB">
      <w:pPr>
        <w:pStyle w:val="Default"/>
        <w:numPr>
          <w:ilvl w:val="0"/>
          <w:numId w:val="32"/>
        </w:numPr>
        <w:spacing w:before="120" w:after="68"/>
        <w:ind w:left="714" w:hanging="357"/>
        <w:rPr>
          <w:rFonts w:asciiTheme="minorHAnsi" w:hAnsiTheme="minorHAnsi"/>
          <w:sz w:val="22"/>
          <w:szCs w:val="22"/>
        </w:rPr>
      </w:pPr>
      <w:r>
        <w:rPr>
          <w:rFonts w:asciiTheme="minorHAnsi" w:hAnsiTheme="minorHAnsi"/>
          <w:sz w:val="22"/>
          <w:szCs w:val="22"/>
        </w:rPr>
        <w:t>Expertise in using and developing online teaching technologies</w:t>
      </w:r>
      <w:r w:rsidRPr="00CE7E19">
        <w:rPr>
          <w:rFonts w:asciiTheme="minorHAnsi" w:hAnsiTheme="minorHAnsi"/>
          <w:sz w:val="22"/>
          <w:szCs w:val="22"/>
        </w:rPr>
        <w:t xml:space="preserve"> </w:t>
      </w:r>
    </w:p>
    <w:p w14:paraId="033C753D" w14:textId="05BF4BB9" w:rsidR="00CD0793" w:rsidRPr="00CE7E19" w:rsidRDefault="00CD0793" w:rsidP="00EE03DB">
      <w:pPr>
        <w:pStyle w:val="Default"/>
        <w:numPr>
          <w:ilvl w:val="0"/>
          <w:numId w:val="32"/>
        </w:numPr>
        <w:spacing w:after="68"/>
        <w:rPr>
          <w:rFonts w:asciiTheme="minorHAnsi" w:hAnsiTheme="minorHAnsi"/>
          <w:sz w:val="22"/>
          <w:szCs w:val="22"/>
        </w:rPr>
      </w:pPr>
      <w:r w:rsidRPr="00CE7E19">
        <w:rPr>
          <w:rFonts w:asciiTheme="minorHAnsi" w:hAnsiTheme="minorHAnsi"/>
          <w:sz w:val="22"/>
          <w:szCs w:val="22"/>
        </w:rPr>
        <w:t xml:space="preserve">Graduate Certificate in Higher Education or equivalent </w:t>
      </w:r>
    </w:p>
    <w:p w14:paraId="3EA51A8D" w14:textId="77777777" w:rsidR="001E1E50" w:rsidRDefault="001E1E50" w:rsidP="001E1E50">
      <w:pPr>
        <w:pStyle w:val="Default"/>
        <w:rPr>
          <w:sz w:val="22"/>
          <w:szCs w:val="22"/>
        </w:rPr>
      </w:pPr>
    </w:p>
    <w:p w14:paraId="68B8F40D" w14:textId="6D37CDFA" w:rsidR="001739FB" w:rsidRDefault="00BD2129" w:rsidP="00BD2129">
      <w:pPr>
        <w:widowControl/>
        <w:rPr>
          <w:rFonts w:asciiTheme="minorHAnsi" w:hAnsiTheme="minorHAnsi"/>
          <w:b/>
          <w:bCs/>
          <w:sz w:val="22"/>
          <w:szCs w:val="22"/>
        </w:rPr>
      </w:pPr>
      <w:r>
        <w:rPr>
          <w:rFonts w:asciiTheme="minorHAnsi" w:hAnsiTheme="minorHAnsi"/>
          <w:b/>
          <w:bCs/>
          <w:sz w:val="22"/>
          <w:szCs w:val="22"/>
        </w:rPr>
        <w:t>O</w:t>
      </w:r>
      <w:r w:rsidR="001739FB">
        <w:rPr>
          <w:rFonts w:asciiTheme="minorHAnsi" w:hAnsiTheme="minorHAnsi"/>
          <w:b/>
          <w:bCs/>
          <w:sz w:val="22"/>
          <w:szCs w:val="22"/>
        </w:rPr>
        <w:t>ther relevant information:</w:t>
      </w:r>
    </w:p>
    <w:p w14:paraId="72D321A7" w14:textId="26E76386" w:rsidR="006A7E3C" w:rsidRPr="00823E58" w:rsidRDefault="00BD2129" w:rsidP="006A7E3C">
      <w:pPr>
        <w:pStyle w:val="ListParagraph"/>
        <w:numPr>
          <w:ilvl w:val="0"/>
          <w:numId w:val="38"/>
        </w:numPr>
        <w:spacing w:before="120" w:after="70"/>
        <w:ind w:left="714" w:hanging="357"/>
        <w:contextualSpacing w:val="0"/>
        <w:jc w:val="both"/>
        <w:rPr>
          <w:rFonts w:asciiTheme="minorHAnsi" w:eastAsia="Times New Roman" w:hAnsiTheme="minorHAnsi" w:cs="Calibri"/>
          <w:bCs/>
          <w:color w:val="000000"/>
          <w:sz w:val="22"/>
          <w:szCs w:val="22"/>
          <w:lang w:val="en-AU" w:eastAsia="en-AU"/>
        </w:rPr>
      </w:pPr>
      <w:r w:rsidRPr="006A7E3C">
        <w:rPr>
          <w:rFonts w:asciiTheme="minorHAnsi" w:hAnsiTheme="minorHAnsi"/>
          <w:bCs/>
          <w:sz w:val="22"/>
          <w:szCs w:val="22"/>
        </w:rPr>
        <w:t xml:space="preserve">The Department currently delivers teaching at both </w:t>
      </w:r>
      <w:r w:rsidRPr="006A7E3C">
        <w:rPr>
          <w:rFonts w:asciiTheme="minorHAnsi" w:hAnsiTheme="minorHAnsi"/>
          <w:sz w:val="22"/>
          <w:szCs w:val="22"/>
          <w:lang w:val="en"/>
        </w:rPr>
        <w:t xml:space="preserve">the Melbourne (Bundoora) and Melbourne (CBD) campuses.  </w:t>
      </w:r>
      <w:r w:rsidRPr="006A7E3C">
        <w:rPr>
          <w:rFonts w:asciiTheme="minorHAnsi" w:hAnsiTheme="minorHAnsi"/>
          <w:sz w:val="22"/>
          <w:szCs w:val="22"/>
        </w:rPr>
        <w:t xml:space="preserve">The incumbent will be based at the </w:t>
      </w:r>
      <w:r w:rsidRPr="006A7E3C">
        <w:rPr>
          <w:rFonts w:asciiTheme="minorHAnsi" w:hAnsiTheme="minorHAnsi"/>
          <w:sz w:val="22"/>
          <w:szCs w:val="22"/>
          <w:lang w:val="en"/>
        </w:rPr>
        <w:t xml:space="preserve">Melbourne (Bundoora) </w:t>
      </w:r>
      <w:r w:rsidRPr="006A7E3C">
        <w:rPr>
          <w:rFonts w:asciiTheme="minorHAnsi" w:hAnsiTheme="minorHAnsi"/>
          <w:sz w:val="22"/>
          <w:szCs w:val="22"/>
          <w:lang w:val="en"/>
        </w:rPr>
        <w:lastRenderedPageBreak/>
        <w:t xml:space="preserve">but </w:t>
      </w:r>
      <w:r w:rsidRPr="006A7E3C">
        <w:rPr>
          <w:rFonts w:asciiTheme="minorHAnsi" w:hAnsiTheme="minorHAnsi"/>
          <w:sz w:val="22"/>
          <w:szCs w:val="22"/>
        </w:rPr>
        <w:t xml:space="preserve">may be allocated teaching which </w:t>
      </w:r>
      <w:r w:rsidR="006A7E3C" w:rsidRPr="006A7E3C">
        <w:rPr>
          <w:rFonts w:asciiTheme="minorHAnsi" w:hAnsiTheme="minorHAnsi"/>
          <w:sz w:val="22"/>
          <w:szCs w:val="22"/>
        </w:rPr>
        <w:t>may occasionally</w:t>
      </w:r>
      <w:r w:rsidR="006A7E3C">
        <w:rPr>
          <w:rFonts w:asciiTheme="minorHAnsi" w:hAnsiTheme="minorHAnsi"/>
          <w:sz w:val="22"/>
          <w:szCs w:val="22"/>
        </w:rPr>
        <w:t xml:space="preserve"> require travel</w:t>
      </w:r>
      <w:r w:rsidR="006A7E3C" w:rsidRPr="006A7E3C">
        <w:rPr>
          <w:rFonts w:asciiTheme="minorHAnsi" w:hAnsiTheme="minorHAnsi"/>
          <w:sz w:val="22"/>
          <w:szCs w:val="22"/>
        </w:rPr>
        <w:t xml:space="preserve"> </w:t>
      </w:r>
      <w:r w:rsidR="006A7E3C" w:rsidRPr="00823E58">
        <w:rPr>
          <w:rFonts w:asciiTheme="minorHAnsi" w:eastAsia="Times New Roman" w:hAnsiTheme="minorHAnsi" w:cs="Calibri"/>
          <w:bCs/>
          <w:color w:val="000000"/>
          <w:sz w:val="22"/>
          <w:szCs w:val="22"/>
          <w:lang w:val="en-AU" w:eastAsia="en-AU"/>
        </w:rPr>
        <w:t>to the Melbourne CBD or regional campuses.</w:t>
      </w:r>
      <w:bookmarkStart w:id="6" w:name="_Hlk2018763"/>
    </w:p>
    <w:bookmarkEnd w:id="6"/>
    <w:p w14:paraId="09AC3F30" w14:textId="481C653E" w:rsidR="00953F0E" w:rsidRDefault="006A7E3C" w:rsidP="006F34A1">
      <w:pPr>
        <w:pStyle w:val="ListParagraph"/>
        <w:numPr>
          <w:ilvl w:val="0"/>
          <w:numId w:val="37"/>
        </w:numPr>
        <w:spacing w:before="120" w:after="68"/>
        <w:jc w:val="both"/>
        <w:rPr>
          <w:rFonts w:asciiTheme="minorHAnsi" w:hAnsiTheme="minorHAnsi"/>
          <w:bCs/>
          <w:sz w:val="22"/>
          <w:szCs w:val="22"/>
        </w:rPr>
      </w:pPr>
      <w:r w:rsidRPr="00953F0E">
        <w:rPr>
          <w:rFonts w:asciiTheme="minorHAnsi" w:hAnsiTheme="minorHAnsi"/>
          <w:bCs/>
          <w:sz w:val="22"/>
          <w:szCs w:val="22"/>
        </w:rPr>
        <w:t xml:space="preserve">The incumbent </w:t>
      </w:r>
      <w:r w:rsidR="008337E9">
        <w:rPr>
          <w:rFonts w:asciiTheme="minorHAnsi" w:hAnsiTheme="minorHAnsi"/>
          <w:bCs/>
          <w:sz w:val="22"/>
          <w:szCs w:val="22"/>
        </w:rPr>
        <w:t xml:space="preserve">will </w:t>
      </w:r>
      <w:r w:rsidRPr="00953F0E">
        <w:rPr>
          <w:rFonts w:asciiTheme="minorHAnsi" w:hAnsiTheme="minorHAnsi"/>
          <w:bCs/>
          <w:sz w:val="22"/>
          <w:szCs w:val="22"/>
        </w:rPr>
        <w:t xml:space="preserve">be allocated responsibilities that will require them to </w:t>
      </w:r>
      <w:r w:rsidR="007A1AAD">
        <w:rPr>
          <w:rFonts w:asciiTheme="minorHAnsi" w:hAnsiTheme="minorHAnsi"/>
          <w:bCs/>
          <w:sz w:val="22"/>
          <w:szCs w:val="22"/>
        </w:rPr>
        <w:t xml:space="preserve">deliver </w:t>
      </w:r>
      <w:r w:rsidR="00953F0E">
        <w:rPr>
          <w:rFonts w:asciiTheme="minorHAnsi" w:hAnsiTheme="minorHAnsi"/>
          <w:bCs/>
          <w:sz w:val="22"/>
          <w:szCs w:val="22"/>
        </w:rPr>
        <w:t>online teaching in the evening.</w:t>
      </w:r>
    </w:p>
    <w:p w14:paraId="7614543A" w14:textId="6673F5DE" w:rsidR="001739FB" w:rsidRPr="00953F0E" w:rsidRDefault="001739FB" w:rsidP="006F34A1">
      <w:pPr>
        <w:pStyle w:val="ListParagraph"/>
        <w:numPr>
          <w:ilvl w:val="0"/>
          <w:numId w:val="37"/>
        </w:numPr>
        <w:spacing w:before="120" w:after="68"/>
        <w:jc w:val="both"/>
        <w:rPr>
          <w:rFonts w:asciiTheme="minorHAnsi" w:hAnsiTheme="minorHAnsi"/>
          <w:bCs/>
          <w:sz w:val="22"/>
          <w:szCs w:val="22"/>
        </w:rPr>
      </w:pPr>
      <w:r w:rsidRPr="00953F0E">
        <w:rPr>
          <w:rFonts w:asciiTheme="minorHAnsi" w:hAnsiTheme="minorHAnsi"/>
          <w:bCs/>
          <w:sz w:val="22"/>
          <w:szCs w:val="22"/>
        </w:rPr>
        <w:t>The position description is indicative of the initial expectation of the role and subject to changes to University goals and priorities, activities or focus of the job.</w:t>
      </w:r>
    </w:p>
    <w:p w14:paraId="4258EE40" w14:textId="77777777" w:rsidR="001739FB" w:rsidRDefault="001739FB" w:rsidP="001E1E50">
      <w:pPr>
        <w:pStyle w:val="Default"/>
        <w:rPr>
          <w:sz w:val="22"/>
          <w:szCs w:val="22"/>
        </w:rPr>
      </w:pPr>
    </w:p>
    <w:p w14:paraId="2C75F88A" w14:textId="77777777" w:rsidR="006A7E3C" w:rsidRPr="00633A78" w:rsidRDefault="006A7E3C" w:rsidP="006A7E3C">
      <w:pPr>
        <w:pStyle w:val="Default"/>
        <w:jc w:val="both"/>
        <w:rPr>
          <w:b/>
          <w:bCs/>
          <w:sz w:val="22"/>
          <w:szCs w:val="22"/>
        </w:rPr>
      </w:pPr>
      <w:r w:rsidRPr="00633A78">
        <w:rPr>
          <w:b/>
          <w:bCs/>
          <w:sz w:val="22"/>
          <w:szCs w:val="22"/>
        </w:rPr>
        <w:t>Essential Compliance Requirements</w:t>
      </w:r>
    </w:p>
    <w:p w14:paraId="44CC8380" w14:textId="77777777" w:rsidR="006A7E3C" w:rsidRPr="00633A78" w:rsidRDefault="006A7E3C" w:rsidP="006A7E3C">
      <w:pPr>
        <w:pStyle w:val="Default"/>
        <w:jc w:val="both"/>
        <w:rPr>
          <w:b/>
          <w:bCs/>
          <w:sz w:val="22"/>
          <w:szCs w:val="22"/>
        </w:rPr>
      </w:pPr>
    </w:p>
    <w:p w14:paraId="74DD9645" w14:textId="77777777" w:rsidR="006A7E3C" w:rsidRDefault="006A7E3C" w:rsidP="006A7E3C">
      <w:pPr>
        <w:pStyle w:val="Default"/>
        <w:jc w:val="both"/>
        <w:rPr>
          <w:bCs/>
          <w:sz w:val="22"/>
          <w:szCs w:val="22"/>
        </w:rPr>
      </w:pPr>
      <w:r w:rsidRPr="00633A78">
        <w:rPr>
          <w:bCs/>
          <w:sz w:val="22"/>
          <w:szCs w:val="22"/>
        </w:rPr>
        <w:t>To hold this La Trobe University position the occupant must:</w:t>
      </w:r>
    </w:p>
    <w:p w14:paraId="2C1AD67D" w14:textId="77777777" w:rsidR="006A7E3C" w:rsidRPr="00633A78" w:rsidRDefault="006A7E3C" w:rsidP="006A7E3C">
      <w:pPr>
        <w:pStyle w:val="Default"/>
        <w:numPr>
          <w:ilvl w:val="0"/>
          <w:numId w:val="40"/>
        </w:numPr>
        <w:jc w:val="both"/>
        <w:rPr>
          <w:bCs/>
          <w:sz w:val="22"/>
          <w:szCs w:val="22"/>
        </w:rPr>
      </w:pPr>
      <w:r w:rsidRPr="00633A78">
        <w:rPr>
          <w:bCs/>
          <w:sz w:val="22"/>
          <w:szCs w:val="22"/>
        </w:rPr>
        <w:t xml:space="preserve">hold, or be willing to undertake and pass, a Victorian </w:t>
      </w:r>
      <w:r>
        <w:rPr>
          <w:bCs/>
          <w:sz w:val="22"/>
          <w:szCs w:val="22"/>
        </w:rPr>
        <w:t xml:space="preserve">Working </w:t>
      </w:r>
      <w:r w:rsidRPr="00633A78">
        <w:rPr>
          <w:bCs/>
          <w:sz w:val="22"/>
          <w:szCs w:val="22"/>
        </w:rPr>
        <w:t>With Children Check; AND</w:t>
      </w:r>
    </w:p>
    <w:p w14:paraId="1CA347B6" w14:textId="77777777" w:rsidR="006A7E3C" w:rsidRPr="00633A78" w:rsidRDefault="006A7E3C" w:rsidP="006A7E3C">
      <w:pPr>
        <w:pStyle w:val="Default"/>
        <w:numPr>
          <w:ilvl w:val="0"/>
          <w:numId w:val="40"/>
        </w:numPr>
        <w:jc w:val="both"/>
        <w:rPr>
          <w:bCs/>
          <w:sz w:val="22"/>
          <w:szCs w:val="22"/>
        </w:rPr>
      </w:pPr>
      <w:r w:rsidRPr="00633A78">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56D3FBC6" w14:textId="478672B6" w:rsidR="00015135" w:rsidRDefault="00015135">
      <w:pPr>
        <w:widowControl/>
        <w:rPr>
          <w:rFonts w:ascii="Calibri" w:hAnsi="Calibri" w:cs="Calibri"/>
          <w:b/>
          <w:bCs/>
          <w:snapToGrid/>
          <w:color w:val="000000"/>
          <w:sz w:val="22"/>
          <w:szCs w:val="22"/>
          <w:lang w:val="en-AU" w:eastAsia="en-AU"/>
        </w:rPr>
      </w:pPr>
    </w:p>
    <w:p w14:paraId="6CEB76F6" w14:textId="2E7843F6" w:rsidR="006A7E3C" w:rsidRPr="0059112C" w:rsidRDefault="006A7E3C" w:rsidP="006A7E3C">
      <w:pPr>
        <w:pStyle w:val="Default"/>
        <w:jc w:val="both"/>
        <w:rPr>
          <w:b/>
          <w:bCs/>
          <w:sz w:val="22"/>
          <w:szCs w:val="22"/>
        </w:rPr>
      </w:pPr>
      <w:r w:rsidRPr="0059112C">
        <w:rPr>
          <w:b/>
          <w:bCs/>
          <w:sz w:val="22"/>
          <w:szCs w:val="22"/>
        </w:rPr>
        <w:t>La Trobe Cultural Qualities</w:t>
      </w:r>
    </w:p>
    <w:p w14:paraId="203F9CA0" w14:textId="77777777" w:rsidR="006A7E3C" w:rsidRPr="0059112C" w:rsidRDefault="006A7E3C" w:rsidP="006A7E3C">
      <w:pPr>
        <w:pStyle w:val="Default"/>
        <w:jc w:val="both"/>
        <w:rPr>
          <w:sz w:val="22"/>
          <w:szCs w:val="22"/>
        </w:rPr>
      </w:pPr>
    </w:p>
    <w:p w14:paraId="43687746" w14:textId="77777777" w:rsidR="006A7E3C" w:rsidRDefault="006A7E3C" w:rsidP="006A7E3C">
      <w:pPr>
        <w:pStyle w:val="Default"/>
        <w:jc w:val="both"/>
        <w:rPr>
          <w:sz w:val="22"/>
          <w:szCs w:val="22"/>
        </w:rPr>
      </w:pPr>
      <w:r w:rsidRPr="0059112C">
        <w:rPr>
          <w:sz w:val="22"/>
          <w:szCs w:val="22"/>
        </w:rPr>
        <w:t>Our cultural qualities underpin everything we do. As we work towards realising the strategic goals of the University we strive to work in a way which is aligned to our four cultural qualities:</w:t>
      </w:r>
    </w:p>
    <w:p w14:paraId="19B48768" w14:textId="77777777" w:rsidR="006A7E3C" w:rsidRPr="0059112C" w:rsidRDefault="006A7E3C" w:rsidP="006A7E3C">
      <w:pPr>
        <w:pStyle w:val="Default"/>
        <w:jc w:val="both"/>
        <w:rPr>
          <w:sz w:val="22"/>
          <w:szCs w:val="22"/>
        </w:rPr>
      </w:pPr>
    </w:p>
    <w:p w14:paraId="3DBB657E" w14:textId="77777777" w:rsidR="006A7E3C" w:rsidRPr="0059112C" w:rsidRDefault="006A7E3C" w:rsidP="006A7E3C">
      <w:pPr>
        <w:pStyle w:val="ListParagraph"/>
        <w:numPr>
          <w:ilvl w:val="0"/>
          <w:numId w:val="39"/>
        </w:numPr>
        <w:autoSpaceDE w:val="0"/>
        <w:autoSpaceDN w:val="0"/>
        <w:jc w:val="both"/>
        <w:rPr>
          <w:rFonts w:ascii="Calibri" w:hAnsi="Calibri" w:cs="Calibri"/>
          <w:color w:val="000000"/>
          <w:sz w:val="22"/>
          <w:szCs w:val="22"/>
        </w:rPr>
      </w:pPr>
      <w:r w:rsidRPr="0059112C">
        <w:rPr>
          <w:rFonts w:ascii="Calibri" w:hAnsi="Calibri" w:cs="Calibri"/>
          <w:color w:val="000000"/>
          <w:sz w:val="22"/>
          <w:szCs w:val="22"/>
          <w:lang w:eastAsia="en-AU"/>
        </w:rPr>
        <w:t>We are</w:t>
      </w:r>
      <w:r w:rsidRPr="0059112C">
        <w:rPr>
          <w:rFonts w:ascii="Calibri" w:hAnsi="Calibri" w:cs="Calibri"/>
          <w:i/>
          <w:iCs/>
          <w:color w:val="000000"/>
          <w:sz w:val="22"/>
          <w:szCs w:val="22"/>
          <w:lang w:eastAsia="en-AU"/>
        </w:rPr>
        <w:t xml:space="preserve"> </w:t>
      </w:r>
      <w:r w:rsidRPr="0059112C">
        <w:rPr>
          <w:rFonts w:ascii="Calibri" w:hAnsi="Calibri" w:cs="Calibri"/>
          <w:b/>
          <w:bCs/>
          <w:i/>
          <w:iCs/>
          <w:color w:val="000000"/>
          <w:sz w:val="22"/>
          <w:szCs w:val="22"/>
          <w:lang w:eastAsia="en-AU"/>
        </w:rPr>
        <w:t>Connected</w:t>
      </w:r>
      <w:r w:rsidRPr="0059112C">
        <w:rPr>
          <w:rFonts w:ascii="Calibri" w:hAnsi="Calibri" w:cs="Calibri"/>
          <w:i/>
          <w:iCs/>
          <w:color w:val="000000"/>
          <w:sz w:val="22"/>
          <w:szCs w:val="22"/>
          <w:lang w:eastAsia="en-AU"/>
        </w:rPr>
        <w:t xml:space="preserve">:  </w:t>
      </w:r>
      <w:r w:rsidRPr="0059112C">
        <w:rPr>
          <w:rFonts w:ascii="Calibri" w:hAnsi="Calibri" w:cs="Calibri"/>
          <w:color w:val="000000"/>
          <w:sz w:val="22"/>
          <w:szCs w:val="22"/>
          <w:lang w:eastAsia="en-AU"/>
        </w:rPr>
        <w:t>We connect to the world outside — the students and communities we serve, both locally and globally.</w:t>
      </w:r>
    </w:p>
    <w:p w14:paraId="59315BE7" w14:textId="77777777" w:rsidR="006A7E3C" w:rsidRPr="0059112C" w:rsidRDefault="006A7E3C" w:rsidP="006A7E3C">
      <w:pPr>
        <w:pStyle w:val="ListParagraph"/>
        <w:numPr>
          <w:ilvl w:val="0"/>
          <w:numId w:val="39"/>
        </w:numPr>
        <w:autoSpaceDE w:val="0"/>
        <w:autoSpaceDN w:val="0"/>
        <w:spacing w:after="240"/>
        <w:jc w:val="both"/>
        <w:rPr>
          <w:rFonts w:ascii="Calibri" w:hAnsi="Calibri" w:cs="Calibri"/>
          <w:color w:val="000000"/>
          <w:sz w:val="22"/>
          <w:szCs w:val="22"/>
        </w:rPr>
      </w:pPr>
      <w:r w:rsidRPr="0059112C">
        <w:rPr>
          <w:rFonts w:ascii="Calibri" w:hAnsi="Calibri" w:cs="Calibri"/>
          <w:i/>
          <w:iCs/>
          <w:color w:val="000000"/>
          <w:sz w:val="22"/>
          <w:szCs w:val="22"/>
          <w:lang w:eastAsia="en-AU"/>
        </w:rPr>
        <w:t xml:space="preserve">We are </w:t>
      </w:r>
      <w:r w:rsidRPr="0059112C">
        <w:rPr>
          <w:rFonts w:ascii="Calibri" w:hAnsi="Calibri" w:cs="Calibri"/>
          <w:b/>
          <w:bCs/>
          <w:i/>
          <w:iCs/>
          <w:color w:val="000000"/>
          <w:sz w:val="22"/>
          <w:szCs w:val="22"/>
          <w:lang w:eastAsia="en-AU"/>
        </w:rPr>
        <w:t>Innovative</w:t>
      </w:r>
      <w:r w:rsidRPr="0059112C">
        <w:rPr>
          <w:rFonts w:ascii="Calibri" w:hAnsi="Calibri" w:cs="Calibri"/>
          <w:i/>
          <w:iCs/>
          <w:color w:val="000000"/>
          <w:sz w:val="22"/>
          <w:szCs w:val="22"/>
          <w:lang w:eastAsia="en-AU"/>
        </w:rPr>
        <w:t xml:space="preserve">:  </w:t>
      </w:r>
      <w:r w:rsidRPr="0059112C">
        <w:rPr>
          <w:rFonts w:ascii="Calibri" w:hAnsi="Calibri" w:cs="Calibri"/>
          <w:color w:val="000000"/>
          <w:sz w:val="22"/>
          <w:szCs w:val="22"/>
          <w:lang w:eastAsia="en-AU"/>
        </w:rPr>
        <w:t>We tackle the big issues of our time to transform the lives of our students and society.</w:t>
      </w:r>
      <w:r w:rsidRPr="0059112C">
        <w:rPr>
          <w:rFonts w:ascii="Calibri" w:hAnsi="Calibri" w:cs="Calibri"/>
          <w:i/>
          <w:iCs/>
          <w:color w:val="000000"/>
          <w:sz w:val="22"/>
          <w:szCs w:val="22"/>
          <w:lang w:eastAsia="en-AU"/>
        </w:rPr>
        <w:t xml:space="preserve"> </w:t>
      </w:r>
    </w:p>
    <w:p w14:paraId="559F918C" w14:textId="77777777" w:rsidR="006A7E3C" w:rsidRPr="0059112C" w:rsidRDefault="006A7E3C" w:rsidP="006A7E3C">
      <w:pPr>
        <w:pStyle w:val="ListParagraph"/>
        <w:numPr>
          <w:ilvl w:val="0"/>
          <w:numId w:val="39"/>
        </w:numPr>
        <w:autoSpaceDE w:val="0"/>
        <w:autoSpaceDN w:val="0"/>
        <w:spacing w:after="240"/>
        <w:jc w:val="both"/>
        <w:rPr>
          <w:rFonts w:ascii="Calibri" w:hAnsi="Calibri" w:cs="Calibri"/>
          <w:color w:val="000000"/>
          <w:sz w:val="22"/>
          <w:szCs w:val="22"/>
        </w:rPr>
      </w:pPr>
      <w:r w:rsidRPr="0059112C">
        <w:rPr>
          <w:rFonts w:ascii="Calibri" w:hAnsi="Calibri" w:cs="Calibri"/>
          <w:i/>
          <w:iCs/>
          <w:color w:val="000000"/>
          <w:sz w:val="22"/>
          <w:szCs w:val="22"/>
          <w:lang w:eastAsia="en-AU"/>
        </w:rPr>
        <w:t xml:space="preserve">We are </w:t>
      </w:r>
      <w:r w:rsidRPr="0059112C">
        <w:rPr>
          <w:rFonts w:ascii="Calibri" w:hAnsi="Calibri" w:cs="Calibri"/>
          <w:b/>
          <w:bCs/>
          <w:i/>
          <w:iCs/>
          <w:color w:val="000000"/>
          <w:sz w:val="22"/>
          <w:szCs w:val="22"/>
          <w:lang w:eastAsia="en-AU"/>
        </w:rPr>
        <w:t xml:space="preserve">Accountable:  </w:t>
      </w:r>
      <w:r w:rsidRPr="0059112C">
        <w:rPr>
          <w:rFonts w:ascii="Calibri" w:hAnsi="Calibri" w:cs="Calibri"/>
          <w:color w:val="000000"/>
          <w:sz w:val="22"/>
          <w:szCs w:val="22"/>
          <w:lang w:eastAsia="en-AU"/>
        </w:rPr>
        <w:t>We strive for excellence in everything we do. We hold each other and ourselves to account, and work to the highest standard.</w:t>
      </w:r>
    </w:p>
    <w:p w14:paraId="659F7F86" w14:textId="77777777" w:rsidR="006A7E3C" w:rsidRPr="0059112C" w:rsidRDefault="006A7E3C" w:rsidP="006A7E3C">
      <w:pPr>
        <w:pStyle w:val="ListParagraph"/>
        <w:numPr>
          <w:ilvl w:val="0"/>
          <w:numId w:val="39"/>
        </w:numPr>
        <w:autoSpaceDE w:val="0"/>
        <w:autoSpaceDN w:val="0"/>
        <w:spacing w:after="240"/>
        <w:jc w:val="both"/>
        <w:rPr>
          <w:rFonts w:ascii="Calibri" w:hAnsi="Calibri" w:cs="Calibri"/>
          <w:color w:val="000000"/>
          <w:sz w:val="22"/>
          <w:szCs w:val="22"/>
        </w:rPr>
      </w:pPr>
      <w:r w:rsidRPr="0059112C">
        <w:rPr>
          <w:rFonts w:ascii="Calibri" w:hAnsi="Calibri" w:cs="Calibri"/>
          <w:i/>
          <w:iCs/>
          <w:color w:val="000000"/>
          <w:sz w:val="22"/>
          <w:szCs w:val="22"/>
          <w:lang w:eastAsia="en-AU"/>
        </w:rPr>
        <w:t xml:space="preserve">We </w:t>
      </w:r>
      <w:r w:rsidRPr="0059112C">
        <w:rPr>
          <w:rFonts w:ascii="Calibri" w:hAnsi="Calibri" w:cs="Calibri"/>
          <w:b/>
          <w:bCs/>
          <w:i/>
          <w:iCs/>
          <w:color w:val="000000"/>
          <w:sz w:val="22"/>
          <w:szCs w:val="22"/>
          <w:lang w:eastAsia="en-AU"/>
        </w:rPr>
        <w:t xml:space="preserve">Care:  </w:t>
      </w:r>
      <w:r w:rsidRPr="0059112C">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2EC2573" w14:textId="77777777" w:rsidR="006A7E3C" w:rsidRPr="0059112C" w:rsidRDefault="006A7E3C" w:rsidP="006A7E3C">
      <w:pPr>
        <w:rPr>
          <w:rFonts w:ascii="Calibri" w:hAnsi="Calibri"/>
          <w:sz w:val="16"/>
          <w:szCs w:val="16"/>
          <w:lang w:val="en-AU"/>
        </w:rPr>
      </w:pPr>
    </w:p>
    <w:p w14:paraId="28658A97" w14:textId="77777777" w:rsidR="006A7E3C" w:rsidRPr="0059112C" w:rsidRDefault="006A7E3C" w:rsidP="006A7E3C">
      <w:pPr>
        <w:rPr>
          <w:rFonts w:ascii="Calibri" w:hAnsi="Calibri"/>
          <w:sz w:val="16"/>
          <w:szCs w:val="16"/>
          <w:lang w:val="en-AU"/>
        </w:rPr>
      </w:pPr>
    </w:p>
    <w:p w14:paraId="5A828637" w14:textId="77777777" w:rsidR="006A7E3C" w:rsidRPr="0059112C" w:rsidRDefault="006A7E3C" w:rsidP="006A7E3C">
      <w:pPr>
        <w:pBdr>
          <w:top w:val="single" w:sz="4" w:space="1" w:color="auto"/>
        </w:pBdr>
        <w:spacing w:after="60"/>
        <w:rPr>
          <w:rFonts w:ascii="Calibri" w:hAnsi="Calibri"/>
          <w:sz w:val="20"/>
          <w:lang w:val="en-AU"/>
        </w:rPr>
      </w:pPr>
      <w:r w:rsidRPr="0059112C">
        <w:rPr>
          <w:rFonts w:ascii="Calibri" w:hAnsi="Calibri"/>
          <w:sz w:val="20"/>
          <w:lang w:val="en-AU"/>
        </w:rPr>
        <w:t>For Human Resource Use Only</w:t>
      </w:r>
    </w:p>
    <w:p w14:paraId="5C63D122" w14:textId="77777777" w:rsidR="006A7E3C" w:rsidRDefault="006A7E3C" w:rsidP="006A7E3C">
      <w:pPr>
        <w:spacing w:after="60"/>
        <w:rPr>
          <w:rFonts w:ascii="Calibri" w:hAnsi="Calibri"/>
          <w:sz w:val="20"/>
          <w:lang w:val="en-AU"/>
        </w:rPr>
      </w:pPr>
      <w:r w:rsidRPr="0059112C">
        <w:rPr>
          <w:rFonts w:ascii="Calibri" w:hAnsi="Calibri"/>
          <w:sz w:val="20"/>
          <w:lang w:val="en-AU"/>
        </w:rPr>
        <w:t>Initials:</w:t>
      </w:r>
      <w:r w:rsidRPr="0059112C">
        <w:rPr>
          <w:rFonts w:ascii="Calibri" w:hAnsi="Calibri"/>
          <w:sz w:val="20"/>
          <w:lang w:val="en-AU"/>
        </w:rPr>
        <w:tab/>
      </w:r>
      <w:r w:rsidRPr="0059112C">
        <w:rPr>
          <w:rFonts w:ascii="Calibri" w:hAnsi="Calibri"/>
          <w:sz w:val="20"/>
          <w:lang w:val="en-AU"/>
        </w:rPr>
        <w:tab/>
        <w:t>Date:</w:t>
      </w:r>
    </w:p>
    <w:p w14:paraId="7C5AE76E" w14:textId="77777777" w:rsidR="006A7E3C" w:rsidRDefault="006A7E3C" w:rsidP="006A7E3C">
      <w:pPr>
        <w:spacing w:line="259" w:lineRule="exact"/>
        <w:rPr>
          <w:sz w:val="20"/>
        </w:rPr>
      </w:pPr>
    </w:p>
    <w:p w14:paraId="2B5E1A95" w14:textId="3407DB54" w:rsidR="00265D6D" w:rsidRPr="001E1E50" w:rsidRDefault="00265D6D" w:rsidP="006A7E3C">
      <w:pPr>
        <w:pStyle w:val="Default"/>
        <w:rPr>
          <w:rFonts w:asciiTheme="minorHAnsi" w:hAnsiTheme="minorHAnsi"/>
          <w:sz w:val="20"/>
        </w:rPr>
      </w:pPr>
    </w:p>
    <w:sectPr w:rsidR="00265D6D" w:rsidRPr="001E1E50" w:rsidSect="00BD2129">
      <w:headerReference w:type="even" r:id="rId14"/>
      <w:headerReference w:type="default" r:id="rId15"/>
      <w:headerReference w:type="first" r:id="rId16"/>
      <w:endnotePr>
        <w:numFmt w:val="decimal"/>
      </w:endnotePr>
      <w:pgSz w:w="11906" w:h="16838"/>
      <w:pgMar w:top="284" w:right="1440" w:bottom="993"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6CB23" w14:textId="77777777" w:rsidR="005D111B" w:rsidRDefault="005D111B">
      <w:r>
        <w:separator/>
      </w:r>
    </w:p>
  </w:endnote>
  <w:endnote w:type="continuationSeparator" w:id="0">
    <w:p w14:paraId="569F1DAF" w14:textId="77777777" w:rsidR="005D111B" w:rsidRDefault="005D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A4B85" w14:textId="77777777" w:rsidR="005D111B" w:rsidRDefault="005D111B">
      <w:r>
        <w:separator/>
      </w:r>
    </w:p>
  </w:footnote>
  <w:footnote w:type="continuationSeparator" w:id="0">
    <w:p w14:paraId="326613B4" w14:textId="77777777" w:rsidR="005D111B" w:rsidRDefault="005D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BC11" w14:textId="77777777" w:rsidR="00AA480C" w:rsidRDefault="00786B0F">
    <w:pPr>
      <w:pStyle w:val="Header"/>
    </w:pPr>
    <w:r>
      <w:rPr>
        <w:noProof/>
      </w:rPr>
      <w:pict w14:anchorId="10F07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FA4D"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69BE" w14:textId="77777777" w:rsidR="00AA480C" w:rsidRDefault="00786B0F">
    <w:pPr>
      <w:pStyle w:val="Header"/>
    </w:pPr>
    <w:r>
      <w:rPr>
        <w:noProof/>
      </w:rPr>
      <w:pict w14:anchorId="74279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45C07"/>
    <w:multiLevelType w:val="hybridMultilevel"/>
    <w:tmpl w:val="A50EA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7"/>
  </w:num>
  <w:num w:numId="4">
    <w:abstractNumId w:val="15"/>
  </w:num>
  <w:num w:numId="5">
    <w:abstractNumId w:val="23"/>
  </w:num>
  <w:num w:numId="6">
    <w:abstractNumId w:val="25"/>
  </w:num>
  <w:num w:numId="7">
    <w:abstractNumId w:val="10"/>
  </w:num>
  <w:num w:numId="8">
    <w:abstractNumId w:val="2"/>
  </w:num>
  <w:num w:numId="9">
    <w:abstractNumId w:val="26"/>
  </w:num>
  <w:num w:numId="10">
    <w:abstractNumId w:val="28"/>
  </w:num>
  <w:num w:numId="11">
    <w:abstractNumId w:val="14"/>
  </w:num>
  <w:num w:numId="12">
    <w:abstractNumId w:val="8"/>
  </w:num>
  <w:num w:numId="13">
    <w:abstractNumId w:val="33"/>
  </w:num>
  <w:num w:numId="14">
    <w:abstractNumId w:val="31"/>
  </w:num>
  <w:num w:numId="15">
    <w:abstractNumId w:val="19"/>
  </w:num>
  <w:num w:numId="16">
    <w:abstractNumId w:val="18"/>
  </w:num>
  <w:num w:numId="17">
    <w:abstractNumId w:val="32"/>
  </w:num>
  <w:num w:numId="18">
    <w:abstractNumId w:val="35"/>
  </w:num>
  <w:num w:numId="19">
    <w:abstractNumId w:val="3"/>
  </w:num>
  <w:num w:numId="20">
    <w:abstractNumId w:val="11"/>
  </w:num>
  <w:num w:numId="21">
    <w:abstractNumId w:val="29"/>
  </w:num>
  <w:num w:numId="22">
    <w:abstractNumId w:val="9"/>
  </w:num>
  <w:num w:numId="23">
    <w:abstractNumId w:val="0"/>
  </w:num>
  <w:num w:numId="24">
    <w:abstractNumId w:val="16"/>
  </w:num>
  <w:num w:numId="25">
    <w:abstractNumId w:val="7"/>
  </w:num>
  <w:num w:numId="26">
    <w:abstractNumId w:val="13"/>
  </w:num>
  <w:num w:numId="27">
    <w:abstractNumId w:val="12"/>
  </w:num>
  <w:num w:numId="28">
    <w:abstractNumId w:val="17"/>
  </w:num>
  <w:num w:numId="29">
    <w:abstractNumId w:val="6"/>
  </w:num>
  <w:num w:numId="30">
    <w:abstractNumId w:val="22"/>
  </w:num>
  <w:num w:numId="31">
    <w:abstractNumId w:val="24"/>
  </w:num>
  <w:num w:numId="32">
    <w:abstractNumId w:val="30"/>
  </w:num>
  <w:num w:numId="33">
    <w:abstractNumId w:val="13"/>
  </w:num>
  <w:num w:numId="34">
    <w:abstractNumId w:val="16"/>
  </w:num>
  <w:num w:numId="35">
    <w:abstractNumId w:val="12"/>
  </w:num>
  <w:num w:numId="36">
    <w:abstractNumId w:val="20"/>
  </w:num>
  <w:num w:numId="37">
    <w:abstractNumId w:val="37"/>
  </w:num>
  <w:num w:numId="38">
    <w:abstractNumId w:val="21"/>
  </w:num>
  <w:num w:numId="39">
    <w:abstractNumId w:val="1"/>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71F5"/>
    <w:rsid w:val="00015135"/>
    <w:rsid w:val="0001605B"/>
    <w:rsid w:val="00022CBA"/>
    <w:rsid w:val="00024409"/>
    <w:rsid w:val="00024FA3"/>
    <w:rsid w:val="00026046"/>
    <w:rsid w:val="00042EA6"/>
    <w:rsid w:val="0004599F"/>
    <w:rsid w:val="000525D9"/>
    <w:rsid w:val="00054C61"/>
    <w:rsid w:val="0005761F"/>
    <w:rsid w:val="00061F2F"/>
    <w:rsid w:val="00070A22"/>
    <w:rsid w:val="00075BE2"/>
    <w:rsid w:val="000846E2"/>
    <w:rsid w:val="0009025D"/>
    <w:rsid w:val="00092B73"/>
    <w:rsid w:val="000963C3"/>
    <w:rsid w:val="000A332A"/>
    <w:rsid w:val="000B063C"/>
    <w:rsid w:val="000D6A8C"/>
    <w:rsid w:val="000D7DE6"/>
    <w:rsid w:val="000E1206"/>
    <w:rsid w:val="000E1FBA"/>
    <w:rsid w:val="000E282C"/>
    <w:rsid w:val="00102234"/>
    <w:rsid w:val="00105A71"/>
    <w:rsid w:val="0011381E"/>
    <w:rsid w:val="001216BC"/>
    <w:rsid w:val="00121803"/>
    <w:rsid w:val="001375C6"/>
    <w:rsid w:val="00137E95"/>
    <w:rsid w:val="00142297"/>
    <w:rsid w:val="00166A9D"/>
    <w:rsid w:val="001739FB"/>
    <w:rsid w:val="00176370"/>
    <w:rsid w:val="001908D2"/>
    <w:rsid w:val="001A0451"/>
    <w:rsid w:val="001A15D3"/>
    <w:rsid w:val="001B303F"/>
    <w:rsid w:val="001B38E4"/>
    <w:rsid w:val="001E1E50"/>
    <w:rsid w:val="001E20FB"/>
    <w:rsid w:val="001E73C0"/>
    <w:rsid w:val="001F3D1D"/>
    <w:rsid w:val="001F6C45"/>
    <w:rsid w:val="001F7CC1"/>
    <w:rsid w:val="00203087"/>
    <w:rsid w:val="0020415A"/>
    <w:rsid w:val="00205D13"/>
    <w:rsid w:val="002106A2"/>
    <w:rsid w:val="00220596"/>
    <w:rsid w:val="00224DD3"/>
    <w:rsid w:val="0023363A"/>
    <w:rsid w:val="002476A9"/>
    <w:rsid w:val="00253EFE"/>
    <w:rsid w:val="00256FDB"/>
    <w:rsid w:val="00265D6D"/>
    <w:rsid w:val="00270013"/>
    <w:rsid w:val="002744A2"/>
    <w:rsid w:val="002769BA"/>
    <w:rsid w:val="00276FAF"/>
    <w:rsid w:val="00285CA1"/>
    <w:rsid w:val="002934F4"/>
    <w:rsid w:val="002A1F3A"/>
    <w:rsid w:val="002B6353"/>
    <w:rsid w:val="002C3B27"/>
    <w:rsid w:val="002D15AC"/>
    <w:rsid w:val="002E5029"/>
    <w:rsid w:val="002F1561"/>
    <w:rsid w:val="0030412C"/>
    <w:rsid w:val="003109F5"/>
    <w:rsid w:val="00317DF2"/>
    <w:rsid w:val="00340895"/>
    <w:rsid w:val="00341F6D"/>
    <w:rsid w:val="00345A34"/>
    <w:rsid w:val="0034773D"/>
    <w:rsid w:val="00347D7E"/>
    <w:rsid w:val="003575BF"/>
    <w:rsid w:val="00360E42"/>
    <w:rsid w:val="00361F4F"/>
    <w:rsid w:val="003641BA"/>
    <w:rsid w:val="003B0155"/>
    <w:rsid w:val="003B0BDC"/>
    <w:rsid w:val="003B55DC"/>
    <w:rsid w:val="003B6B5E"/>
    <w:rsid w:val="003D41DF"/>
    <w:rsid w:val="003E0C6F"/>
    <w:rsid w:val="003E545A"/>
    <w:rsid w:val="003E691B"/>
    <w:rsid w:val="003F1778"/>
    <w:rsid w:val="003F7038"/>
    <w:rsid w:val="003F7F26"/>
    <w:rsid w:val="0040435D"/>
    <w:rsid w:val="00407499"/>
    <w:rsid w:val="004110F8"/>
    <w:rsid w:val="0041194F"/>
    <w:rsid w:val="00412293"/>
    <w:rsid w:val="00413873"/>
    <w:rsid w:val="00415BE3"/>
    <w:rsid w:val="00422D57"/>
    <w:rsid w:val="00431135"/>
    <w:rsid w:val="00437F2C"/>
    <w:rsid w:val="00442DD4"/>
    <w:rsid w:val="004521AB"/>
    <w:rsid w:val="004639E3"/>
    <w:rsid w:val="004728DB"/>
    <w:rsid w:val="00482BFB"/>
    <w:rsid w:val="00484B2B"/>
    <w:rsid w:val="00485FBD"/>
    <w:rsid w:val="004901BE"/>
    <w:rsid w:val="00492597"/>
    <w:rsid w:val="00492C71"/>
    <w:rsid w:val="004A6946"/>
    <w:rsid w:val="004C3676"/>
    <w:rsid w:val="004C5B77"/>
    <w:rsid w:val="004D243F"/>
    <w:rsid w:val="004E0A42"/>
    <w:rsid w:val="004F12B6"/>
    <w:rsid w:val="005034AC"/>
    <w:rsid w:val="005113CB"/>
    <w:rsid w:val="005160C4"/>
    <w:rsid w:val="00522086"/>
    <w:rsid w:val="00524467"/>
    <w:rsid w:val="005274EB"/>
    <w:rsid w:val="005350D7"/>
    <w:rsid w:val="00545851"/>
    <w:rsid w:val="00550B62"/>
    <w:rsid w:val="00560D9F"/>
    <w:rsid w:val="00573FB5"/>
    <w:rsid w:val="005855AA"/>
    <w:rsid w:val="00587393"/>
    <w:rsid w:val="005931B3"/>
    <w:rsid w:val="005D111B"/>
    <w:rsid w:val="005E16D3"/>
    <w:rsid w:val="005E44A7"/>
    <w:rsid w:val="005E4B85"/>
    <w:rsid w:val="005F3321"/>
    <w:rsid w:val="005F5CF0"/>
    <w:rsid w:val="00611589"/>
    <w:rsid w:val="006374AB"/>
    <w:rsid w:val="00644663"/>
    <w:rsid w:val="00660C71"/>
    <w:rsid w:val="0066279C"/>
    <w:rsid w:val="006629E6"/>
    <w:rsid w:val="0067090E"/>
    <w:rsid w:val="00677A7D"/>
    <w:rsid w:val="006811C9"/>
    <w:rsid w:val="00684D0B"/>
    <w:rsid w:val="006864C7"/>
    <w:rsid w:val="006910E5"/>
    <w:rsid w:val="006A7E3C"/>
    <w:rsid w:val="006B7417"/>
    <w:rsid w:val="006C3AEF"/>
    <w:rsid w:val="006C45D9"/>
    <w:rsid w:val="006D31A5"/>
    <w:rsid w:val="006D6D72"/>
    <w:rsid w:val="006F0613"/>
    <w:rsid w:val="006F702F"/>
    <w:rsid w:val="007011D4"/>
    <w:rsid w:val="00725112"/>
    <w:rsid w:val="00725B2D"/>
    <w:rsid w:val="00731C13"/>
    <w:rsid w:val="00736054"/>
    <w:rsid w:val="00737958"/>
    <w:rsid w:val="00740906"/>
    <w:rsid w:val="00743CDE"/>
    <w:rsid w:val="007453B5"/>
    <w:rsid w:val="00750400"/>
    <w:rsid w:val="00750871"/>
    <w:rsid w:val="007517D1"/>
    <w:rsid w:val="007541EA"/>
    <w:rsid w:val="00761F9F"/>
    <w:rsid w:val="007643D9"/>
    <w:rsid w:val="00764834"/>
    <w:rsid w:val="00765F33"/>
    <w:rsid w:val="007701DC"/>
    <w:rsid w:val="00777517"/>
    <w:rsid w:val="0078053F"/>
    <w:rsid w:val="00786B0F"/>
    <w:rsid w:val="00787F73"/>
    <w:rsid w:val="00795503"/>
    <w:rsid w:val="007A000F"/>
    <w:rsid w:val="007A1AAD"/>
    <w:rsid w:val="007A58EF"/>
    <w:rsid w:val="007B0F5C"/>
    <w:rsid w:val="007B75FB"/>
    <w:rsid w:val="007C44D9"/>
    <w:rsid w:val="007C6192"/>
    <w:rsid w:val="007D1DE7"/>
    <w:rsid w:val="007E4E5D"/>
    <w:rsid w:val="007F512E"/>
    <w:rsid w:val="007F6575"/>
    <w:rsid w:val="00804CA7"/>
    <w:rsid w:val="00823B6A"/>
    <w:rsid w:val="00824AE9"/>
    <w:rsid w:val="008337E9"/>
    <w:rsid w:val="00834BB6"/>
    <w:rsid w:val="00837C0D"/>
    <w:rsid w:val="00837DC8"/>
    <w:rsid w:val="00842B6E"/>
    <w:rsid w:val="008458BD"/>
    <w:rsid w:val="0086029B"/>
    <w:rsid w:val="00875223"/>
    <w:rsid w:val="00884F4D"/>
    <w:rsid w:val="008863C4"/>
    <w:rsid w:val="008A248A"/>
    <w:rsid w:val="008A4B2E"/>
    <w:rsid w:val="008A5260"/>
    <w:rsid w:val="008B0034"/>
    <w:rsid w:val="008B1944"/>
    <w:rsid w:val="008C0614"/>
    <w:rsid w:val="008C2216"/>
    <w:rsid w:val="008C2C73"/>
    <w:rsid w:val="008C371B"/>
    <w:rsid w:val="008D1AF6"/>
    <w:rsid w:val="008D7276"/>
    <w:rsid w:val="008F1A53"/>
    <w:rsid w:val="008F76F5"/>
    <w:rsid w:val="009002DF"/>
    <w:rsid w:val="009003CD"/>
    <w:rsid w:val="00902E5B"/>
    <w:rsid w:val="0091323E"/>
    <w:rsid w:val="0091410B"/>
    <w:rsid w:val="00915AC0"/>
    <w:rsid w:val="00915CFC"/>
    <w:rsid w:val="00920A96"/>
    <w:rsid w:val="009215C9"/>
    <w:rsid w:val="00924773"/>
    <w:rsid w:val="009253AE"/>
    <w:rsid w:val="00932CDD"/>
    <w:rsid w:val="009344DA"/>
    <w:rsid w:val="00953F0E"/>
    <w:rsid w:val="00954EE6"/>
    <w:rsid w:val="009554D9"/>
    <w:rsid w:val="00966DE0"/>
    <w:rsid w:val="00970F02"/>
    <w:rsid w:val="009723A8"/>
    <w:rsid w:val="0098228A"/>
    <w:rsid w:val="0098359C"/>
    <w:rsid w:val="00983D7A"/>
    <w:rsid w:val="00990932"/>
    <w:rsid w:val="009A14DC"/>
    <w:rsid w:val="009A15BA"/>
    <w:rsid w:val="009A1ED7"/>
    <w:rsid w:val="009A498E"/>
    <w:rsid w:val="009B2F16"/>
    <w:rsid w:val="009D5B18"/>
    <w:rsid w:val="009E0A63"/>
    <w:rsid w:val="009F212E"/>
    <w:rsid w:val="009F7B57"/>
    <w:rsid w:val="00A02E8F"/>
    <w:rsid w:val="00A0487B"/>
    <w:rsid w:val="00A1133C"/>
    <w:rsid w:val="00A13BB7"/>
    <w:rsid w:val="00A2623F"/>
    <w:rsid w:val="00A345AF"/>
    <w:rsid w:val="00A52E42"/>
    <w:rsid w:val="00A55BC3"/>
    <w:rsid w:val="00A60F34"/>
    <w:rsid w:val="00A64A18"/>
    <w:rsid w:val="00A664B0"/>
    <w:rsid w:val="00A67E1E"/>
    <w:rsid w:val="00A702CA"/>
    <w:rsid w:val="00A7760A"/>
    <w:rsid w:val="00A77FDD"/>
    <w:rsid w:val="00A82194"/>
    <w:rsid w:val="00A8586B"/>
    <w:rsid w:val="00A861C0"/>
    <w:rsid w:val="00A91018"/>
    <w:rsid w:val="00AA134A"/>
    <w:rsid w:val="00AA480C"/>
    <w:rsid w:val="00AA5846"/>
    <w:rsid w:val="00AB02EB"/>
    <w:rsid w:val="00AC23EB"/>
    <w:rsid w:val="00AE25D2"/>
    <w:rsid w:val="00B037AE"/>
    <w:rsid w:val="00B105FB"/>
    <w:rsid w:val="00B20918"/>
    <w:rsid w:val="00B20CFC"/>
    <w:rsid w:val="00B220E8"/>
    <w:rsid w:val="00B23EE7"/>
    <w:rsid w:val="00B36F35"/>
    <w:rsid w:val="00B4034C"/>
    <w:rsid w:val="00B4513A"/>
    <w:rsid w:val="00B47792"/>
    <w:rsid w:val="00B55F39"/>
    <w:rsid w:val="00B66483"/>
    <w:rsid w:val="00B76A0D"/>
    <w:rsid w:val="00B8544B"/>
    <w:rsid w:val="00B91764"/>
    <w:rsid w:val="00B97A05"/>
    <w:rsid w:val="00BA19EF"/>
    <w:rsid w:val="00BA3C29"/>
    <w:rsid w:val="00BB5F6A"/>
    <w:rsid w:val="00BD05B2"/>
    <w:rsid w:val="00BD2129"/>
    <w:rsid w:val="00BE08F6"/>
    <w:rsid w:val="00BE1D29"/>
    <w:rsid w:val="00BE28B1"/>
    <w:rsid w:val="00BE51B5"/>
    <w:rsid w:val="00BE5C22"/>
    <w:rsid w:val="00BF5B32"/>
    <w:rsid w:val="00C02C2A"/>
    <w:rsid w:val="00C03F22"/>
    <w:rsid w:val="00C04F87"/>
    <w:rsid w:val="00C312F2"/>
    <w:rsid w:val="00C34C4B"/>
    <w:rsid w:val="00C363A6"/>
    <w:rsid w:val="00C42DA8"/>
    <w:rsid w:val="00C51B53"/>
    <w:rsid w:val="00C56ECF"/>
    <w:rsid w:val="00C60E89"/>
    <w:rsid w:val="00C61BBE"/>
    <w:rsid w:val="00C71833"/>
    <w:rsid w:val="00C77564"/>
    <w:rsid w:val="00C80C36"/>
    <w:rsid w:val="00C81BA8"/>
    <w:rsid w:val="00C90CA7"/>
    <w:rsid w:val="00C91164"/>
    <w:rsid w:val="00CA55AB"/>
    <w:rsid w:val="00CA7AEA"/>
    <w:rsid w:val="00CB4775"/>
    <w:rsid w:val="00CD0793"/>
    <w:rsid w:val="00CE360A"/>
    <w:rsid w:val="00CF0177"/>
    <w:rsid w:val="00D11AEC"/>
    <w:rsid w:val="00D1324E"/>
    <w:rsid w:val="00D15678"/>
    <w:rsid w:val="00D23711"/>
    <w:rsid w:val="00D4393B"/>
    <w:rsid w:val="00D50F46"/>
    <w:rsid w:val="00D665B1"/>
    <w:rsid w:val="00D714EB"/>
    <w:rsid w:val="00D731B7"/>
    <w:rsid w:val="00D8679E"/>
    <w:rsid w:val="00D96063"/>
    <w:rsid w:val="00DA349C"/>
    <w:rsid w:val="00DA42B8"/>
    <w:rsid w:val="00DA5139"/>
    <w:rsid w:val="00DA5A5B"/>
    <w:rsid w:val="00DB0011"/>
    <w:rsid w:val="00DC3574"/>
    <w:rsid w:val="00DC55C5"/>
    <w:rsid w:val="00DC7C3E"/>
    <w:rsid w:val="00DD7C55"/>
    <w:rsid w:val="00DE2133"/>
    <w:rsid w:val="00DE2921"/>
    <w:rsid w:val="00DE7D17"/>
    <w:rsid w:val="00DF0C4C"/>
    <w:rsid w:val="00DF3048"/>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5470"/>
    <w:rsid w:val="00E87AC5"/>
    <w:rsid w:val="00E92EA2"/>
    <w:rsid w:val="00E947B0"/>
    <w:rsid w:val="00E96D00"/>
    <w:rsid w:val="00E97E0E"/>
    <w:rsid w:val="00EA338B"/>
    <w:rsid w:val="00EA7384"/>
    <w:rsid w:val="00EB02FC"/>
    <w:rsid w:val="00EC62C4"/>
    <w:rsid w:val="00EE03DB"/>
    <w:rsid w:val="00EE4242"/>
    <w:rsid w:val="00EF653B"/>
    <w:rsid w:val="00F01798"/>
    <w:rsid w:val="00F02683"/>
    <w:rsid w:val="00F11BE5"/>
    <w:rsid w:val="00F21F64"/>
    <w:rsid w:val="00F23858"/>
    <w:rsid w:val="00F2775A"/>
    <w:rsid w:val="00F32813"/>
    <w:rsid w:val="00F37068"/>
    <w:rsid w:val="00F46467"/>
    <w:rsid w:val="00F5098F"/>
    <w:rsid w:val="00F50D81"/>
    <w:rsid w:val="00F56355"/>
    <w:rsid w:val="00F56ABC"/>
    <w:rsid w:val="00F61B21"/>
    <w:rsid w:val="00F632AC"/>
    <w:rsid w:val="00F63A6D"/>
    <w:rsid w:val="00F71882"/>
    <w:rsid w:val="00F73E72"/>
    <w:rsid w:val="00F81ED2"/>
    <w:rsid w:val="00F85BEB"/>
    <w:rsid w:val="00F96597"/>
    <w:rsid w:val="00FC396C"/>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CA8EC4B"/>
  <w15:docId w15:val="{436456B9-04BD-48FC-BBC9-6DFB42FB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paragraph" w:styleId="CommentText">
    <w:name w:val="annotation text"/>
    <w:basedOn w:val="Normal"/>
    <w:link w:val="CommentTextChar"/>
    <w:unhideWhenUsed/>
    <w:rsid w:val="001739FB"/>
    <w:rPr>
      <w:sz w:val="20"/>
    </w:rPr>
  </w:style>
  <w:style w:type="character" w:customStyle="1" w:styleId="CommentTextChar">
    <w:name w:val="Comment Text Char"/>
    <w:basedOn w:val="DefaultParagraphFont"/>
    <w:link w:val="CommentText"/>
    <w:rsid w:val="001739FB"/>
    <w:rPr>
      <w:rFonts w:ascii="Univers" w:hAnsi="Univers"/>
      <w:snapToGrid w:val="0"/>
      <w:lang w:val="en-US" w:eastAsia="en-US"/>
    </w:rPr>
  </w:style>
  <w:style w:type="character" w:styleId="Emphasis">
    <w:name w:val="Emphasis"/>
    <w:basedOn w:val="DefaultParagraphFont"/>
    <w:uiPriority w:val="20"/>
    <w:qFormat/>
    <w:rsid w:val="006A7E3C"/>
    <w:rPr>
      <w:i/>
      <w:iCs/>
    </w:rPr>
  </w:style>
  <w:style w:type="character" w:styleId="CommentReference">
    <w:name w:val="annotation reference"/>
    <w:basedOn w:val="DefaultParagraphFont"/>
    <w:semiHidden/>
    <w:unhideWhenUsed/>
    <w:rsid w:val="006A7E3C"/>
    <w:rPr>
      <w:sz w:val="16"/>
      <w:szCs w:val="16"/>
    </w:rPr>
  </w:style>
  <w:style w:type="character" w:customStyle="1" w:styleId="UnresolvedMention1">
    <w:name w:val="Unresolved Mention1"/>
    <w:basedOn w:val="DefaultParagraphFont"/>
    <w:uiPriority w:val="99"/>
    <w:semiHidden/>
    <w:unhideWhenUsed/>
    <w:rsid w:val="00972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063866043">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57945819">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58599350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yperlink" Target="mailto:r.stuckey@latrobe.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trobe.edu.au/public-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robe.edu.au/school-psychology-and-public-healt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10104</Characters>
  <Application>Microsoft Office Word</Application>
  <DocSecurity>4</DocSecurity>
  <Lines>84</Lines>
  <Paragraphs>23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POSITION DESCRIPTION</vt:lpstr>
      <vt:lpstr>La Trobe University - http://www.latrobe.edu.au/about 	</vt:lpstr>
      <vt:lpstr>College of Science, Health and Engineering – http://latrobe.edu.au/SHE</vt:lpstr>
      <vt:lpstr/>
      <vt:lpstr>School of Psychology &amp; Public Health - https://www.latrobe.edu.au/school-psychol</vt:lpstr>
      <vt:lpstr/>
      <vt:lpstr>Department of Public Health – http://www.latrobe.edu.au/public-health</vt:lpstr>
      <vt:lpstr>For enquiries only contact:</vt:lpstr>
    </vt:vector>
  </TitlesOfParts>
  <Company>La Trobe University</Company>
  <LinksUpToDate>false</LinksUpToDate>
  <CharactersWithSpaces>11636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Hossam Abo El-Naga</dc:creator>
  <cp:lastModifiedBy>Deborah Dare</cp:lastModifiedBy>
  <cp:revision>2</cp:revision>
  <cp:lastPrinted>2010-05-17T01:36:00Z</cp:lastPrinted>
  <dcterms:created xsi:type="dcterms:W3CDTF">2019-04-16T05:08:00Z</dcterms:created>
  <dcterms:modified xsi:type="dcterms:W3CDTF">2019-04-16T05:08:00Z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