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05BB015C" w14:textId="77777777" w:rsidTr="00852BF6">
        <w:trPr>
          <w:trHeight w:val="275"/>
        </w:trPr>
        <w:tc>
          <w:tcPr>
            <w:tcW w:w="10457" w:type="dxa"/>
            <w:shd w:val="clear" w:color="auto" w:fill="F04E58"/>
          </w:tcPr>
          <w:p w14:paraId="55FDD401"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722FD579"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5D4E3E19" wp14:editId="1DB1248B">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2">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301D85DC" w14:textId="77777777" w:rsidR="005C6160" w:rsidRDefault="005C6160" w:rsidP="003606E4">
      <w:pPr>
        <w:rPr>
          <w:rFonts w:ascii="Arial" w:hAnsi="Arial" w:cs="Arial"/>
          <w:b/>
          <w:bCs/>
        </w:rPr>
        <w:sectPr w:rsidR="005C6160" w:rsidSect="00B45AD9">
          <w:headerReference w:type="default" r:id="rId13"/>
          <w:footerReference w:type="default" r:id="rId14"/>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410584BE" w14:textId="77777777" w:rsidTr="00EE04F0">
        <w:trPr>
          <w:trHeight w:val="425"/>
        </w:trPr>
        <w:tc>
          <w:tcPr>
            <w:tcW w:w="2544" w:type="dxa"/>
            <w:vAlign w:val="center"/>
          </w:tcPr>
          <w:p w14:paraId="77A508FC"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11569101" w14:textId="2B4B69B9" w:rsidR="003606E4" w:rsidRPr="009E3B18" w:rsidRDefault="007856F8" w:rsidP="003606E4">
            <w:pPr>
              <w:rPr>
                <w:rFonts w:ascii="Segoe UI" w:eastAsia="Times New Roman" w:hAnsi="Segoe UI" w:cs="Segoe UI"/>
                <w:b/>
                <w:bCs/>
                <w:sz w:val="21"/>
                <w:szCs w:val="21"/>
                <w:lang w:eastAsia="en-AU"/>
              </w:rPr>
            </w:pPr>
            <w:r>
              <w:rPr>
                <w:rFonts w:ascii="Segoe UI" w:eastAsia="Times New Roman" w:hAnsi="Segoe UI" w:cs="Segoe UI"/>
                <w:b/>
                <w:bCs/>
                <w:sz w:val="21"/>
                <w:szCs w:val="21"/>
                <w:lang w:eastAsia="en-AU"/>
              </w:rPr>
              <w:t>Senior Manager</w:t>
            </w:r>
            <w:r w:rsidR="007E794E">
              <w:rPr>
                <w:rFonts w:ascii="Segoe UI" w:eastAsia="Times New Roman" w:hAnsi="Segoe UI" w:cs="Segoe UI"/>
                <w:b/>
                <w:bCs/>
                <w:sz w:val="21"/>
                <w:szCs w:val="21"/>
                <w:lang w:eastAsia="en-AU"/>
              </w:rPr>
              <w:t xml:space="preserve"> Risk</w:t>
            </w:r>
            <w:r w:rsidR="009841FB">
              <w:rPr>
                <w:rFonts w:ascii="Segoe UI" w:eastAsia="Times New Roman" w:hAnsi="Segoe UI" w:cs="Segoe UI"/>
                <w:b/>
                <w:bCs/>
                <w:sz w:val="21"/>
                <w:szCs w:val="21"/>
                <w:lang w:eastAsia="en-AU"/>
              </w:rPr>
              <w:t xml:space="preserve"> Frameworks</w:t>
            </w:r>
          </w:p>
        </w:tc>
      </w:tr>
      <w:tr w:rsidR="003606E4" w:rsidRPr="00734230" w14:paraId="477D101F" w14:textId="77777777" w:rsidTr="00EE04F0">
        <w:trPr>
          <w:trHeight w:val="425"/>
        </w:trPr>
        <w:tc>
          <w:tcPr>
            <w:tcW w:w="2544" w:type="dxa"/>
            <w:vAlign w:val="center"/>
          </w:tcPr>
          <w:p w14:paraId="0BC23B67"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356D91BF" w14:textId="73A472A1" w:rsidR="003606E4" w:rsidRPr="00734230" w:rsidRDefault="00FF2813" w:rsidP="003606E4">
            <w:pPr>
              <w:rPr>
                <w:rFonts w:ascii="Arial" w:hAnsi="Arial" w:cs="Arial"/>
              </w:rPr>
            </w:pPr>
            <w:r>
              <w:rPr>
                <w:rFonts w:ascii="Arial" w:hAnsi="Arial" w:cs="Arial"/>
              </w:rPr>
              <w:t xml:space="preserve">Group </w:t>
            </w:r>
            <w:r w:rsidR="00DD04B7">
              <w:rPr>
                <w:rFonts w:ascii="Arial" w:hAnsi="Arial" w:cs="Arial"/>
              </w:rPr>
              <w:t>Risk</w:t>
            </w:r>
          </w:p>
        </w:tc>
      </w:tr>
      <w:tr w:rsidR="003606E4" w:rsidRPr="00734230" w14:paraId="6E59DEEA" w14:textId="77777777" w:rsidTr="00EE04F0">
        <w:trPr>
          <w:trHeight w:val="425"/>
        </w:trPr>
        <w:tc>
          <w:tcPr>
            <w:tcW w:w="2544" w:type="dxa"/>
            <w:vAlign w:val="center"/>
          </w:tcPr>
          <w:p w14:paraId="23E056E5"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70725CAA" w14:textId="4F0F2DDF" w:rsidR="003606E4" w:rsidRPr="00734230" w:rsidRDefault="00DD04B7" w:rsidP="003606E4">
            <w:pPr>
              <w:rPr>
                <w:rFonts w:ascii="Arial" w:hAnsi="Arial" w:cs="Arial"/>
              </w:rPr>
            </w:pPr>
            <w:r>
              <w:rPr>
                <w:rFonts w:ascii="Arial" w:hAnsi="Arial" w:cs="Arial"/>
              </w:rPr>
              <w:t>Operational Risk</w:t>
            </w:r>
            <w:r w:rsidR="008A5157">
              <w:rPr>
                <w:rFonts w:ascii="Arial" w:hAnsi="Arial" w:cs="Arial"/>
              </w:rPr>
              <w:t xml:space="preserve"> </w:t>
            </w:r>
          </w:p>
        </w:tc>
      </w:tr>
      <w:tr w:rsidR="003606E4" w:rsidRPr="00734230" w14:paraId="039CC01C" w14:textId="77777777" w:rsidTr="00EE04F0">
        <w:trPr>
          <w:trHeight w:val="425"/>
        </w:trPr>
        <w:tc>
          <w:tcPr>
            <w:tcW w:w="2544" w:type="dxa"/>
            <w:vAlign w:val="center"/>
          </w:tcPr>
          <w:p w14:paraId="08C9AC46"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3BE2B73F" w14:textId="7BDC6040" w:rsidR="003606E4" w:rsidRPr="00734230" w:rsidRDefault="00171E27" w:rsidP="003606E4">
            <w:pPr>
              <w:rPr>
                <w:rFonts w:ascii="Arial" w:hAnsi="Arial" w:cs="Arial"/>
              </w:rPr>
            </w:pPr>
            <w:r>
              <w:rPr>
                <w:rFonts w:ascii="Arial" w:hAnsi="Arial" w:cs="Arial"/>
              </w:rPr>
              <w:t>1</w:t>
            </w:r>
          </w:p>
        </w:tc>
      </w:tr>
    </w:tbl>
    <w:p w14:paraId="2F82ABF1" w14:textId="77777777" w:rsidR="003606E4" w:rsidRPr="00734230" w:rsidRDefault="003606E4" w:rsidP="00E5307F">
      <w:pPr>
        <w:spacing w:after="0"/>
        <w:rPr>
          <w:rFonts w:ascii="Arial" w:hAnsi="Arial" w:cs="Arial"/>
          <w:sz w:val="10"/>
          <w:szCs w:val="10"/>
        </w:rPr>
      </w:pPr>
    </w:p>
    <w:p w14:paraId="430B181D"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3A0078E0" w14:textId="77777777" w:rsidTr="00734230">
        <w:trPr>
          <w:trHeight w:val="272"/>
        </w:trPr>
        <w:tc>
          <w:tcPr>
            <w:tcW w:w="10456" w:type="dxa"/>
            <w:shd w:val="clear" w:color="auto" w:fill="50003A"/>
          </w:tcPr>
          <w:p w14:paraId="1BA8E907"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2F6D64FF" w14:textId="77777777" w:rsidTr="00F728B1">
        <w:trPr>
          <w:trHeight w:val="905"/>
        </w:trPr>
        <w:tc>
          <w:tcPr>
            <w:tcW w:w="10456" w:type="dxa"/>
          </w:tcPr>
          <w:p w14:paraId="3F2A0038"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49572BD3" w14:textId="77777777" w:rsidR="00992E1C" w:rsidRPr="00734230" w:rsidRDefault="00992E1C" w:rsidP="00F728B1">
            <w:pPr>
              <w:spacing w:line="259" w:lineRule="auto"/>
              <w:jc w:val="both"/>
              <w:rPr>
                <w:rFonts w:ascii="Arial" w:hAnsi="Arial" w:cs="Arial"/>
                <w:sz w:val="10"/>
                <w:szCs w:val="10"/>
              </w:rPr>
            </w:pPr>
          </w:p>
          <w:p w14:paraId="3039226F"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1AEABB91" w14:textId="77777777" w:rsidR="00992E1C" w:rsidRPr="00734230" w:rsidRDefault="00992E1C" w:rsidP="00F728B1">
            <w:pPr>
              <w:jc w:val="both"/>
              <w:rPr>
                <w:rFonts w:ascii="Arial" w:hAnsi="Arial" w:cs="Arial"/>
                <w:sz w:val="10"/>
                <w:szCs w:val="10"/>
              </w:rPr>
            </w:pPr>
          </w:p>
          <w:p w14:paraId="3A2A68D7"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0804DEAB" w14:textId="77777777" w:rsidR="00992E1C" w:rsidRPr="00734230" w:rsidRDefault="00992E1C" w:rsidP="00F728B1">
            <w:pPr>
              <w:jc w:val="both"/>
              <w:rPr>
                <w:rFonts w:ascii="Arial" w:hAnsi="Arial" w:cs="Arial"/>
                <w:sz w:val="10"/>
                <w:szCs w:val="10"/>
              </w:rPr>
            </w:pPr>
          </w:p>
          <w:p w14:paraId="3DDF0270" w14:textId="77777777" w:rsidR="00992E1C"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12C84A1B" w14:textId="77777777" w:rsidR="00992E1C" w:rsidRPr="00734230" w:rsidRDefault="00992E1C" w:rsidP="00E5307F">
      <w:pPr>
        <w:spacing w:after="0"/>
        <w:rPr>
          <w:rFonts w:ascii="Arial" w:hAnsi="Arial" w:cs="Arial"/>
          <w:sz w:val="10"/>
          <w:szCs w:val="10"/>
        </w:rPr>
      </w:pPr>
    </w:p>
    <w:p w14:paraId="28CF9B84"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42363A9C" w14:textId="77777777" w:rsidTr="00852BF6">
        <w:trPr>
          <w:trHeight w:val="275"/>
        </w:trPr>
        <w:tc>
          <w:tcPr>
            <w:tcW w:w="10457" w:type="dxa"/>
            <w:shd w:val="clear" w:color="auto" w:fill="F04E58"/>
          </w:tcPr>
          <w:p w14:paraId="3F8DE926"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35734A6A" w14:textId="77777777" w:rsidR="003606E4" w:rsidRPr="00734230" w:rsidRDefault="003606E4" w:rsidP="00E5307F">
      <w:pPr>
        <w:spacing w:after="0"/>
        <w:rPr>
          <w:rFonts w:ascii="Arial" w:hAnsi="Arial" w:cs="Arial"/>
          <w:sz w:val="10"/>
          <w:szCs w:val="10"/>
        </w:rPr>
      </w:pPr>
    </w:p>
    <w:p w14:paraId="22FA92E3"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4CD44C7B" w14:textId="77777777" w:rsidTr="00734230">
        <w:trPr>
          <w:trHeight w:val="237"/>
        </w:trPr>
        <w:tc>
          <w:tcPr>
            <w:tcW w:w="10456" w:type="dxa"/>
            <w:shd w:val="clear" w:color="auto" w:fill="50003A"/>
          </w:tcPr>
          <w:p w14:paraId="01E1C1CB"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5E24C3E7" w14:textId="77777777" w:rsidTr="003606E4">
        <w:trPr>
          <w:trHeight w:val="2835"/>
        </w:trPr>
        <w:tc>
          <w:tcPr>
            <w:tcW w:w="10456" w:type="dxa"/>
          </w:tcPr>
          <w:p w14:paraId="4F7D4D68" w14:textId="77777777" w:rsidR="009E3B18" w:rsidRPr="002E4D55" w:rsidRDefault="009E3B18" w:rsidP="009E3B18">
            <w:pPr>
              <w:pStyle w:val="BodyText"/>
              <w:tabs>
                <w:tab w:val="left" w:pos="-567"/>
              </w:tabs>
              <w:spacing w:before="120"/>
              <w:rPr>
                <w:rFonts w:eastAsiaTheme="minorHAnsi" w:cs="Arial"/>
                <w:spacing w:val="0"/>
                <w:sz w:val="22"/>
                <w:szCs w:val="22"/>
              </w:rPr>
            </w:pPr>
            <w:r w:rsidRPr="002E4D55">
              <w:rPr>
                <w:rFonts w:eastAsiaTheme="minorHAnsi" w:cs="Arial"/>
                <w:spacing w:val="0"/>
                <w:sz w:val="22"/>
                <w:szCs w:val="22"/>
              </w:rPr>
              <w:t xml:space="preserve">Group Risk is the second line of defence in the Bank’s risk management approach and includes the independent oversight functions of: Group Operational Risk (GOR), Credit Risk Management, Risk Governance and Middle Office. </w:t>
            </w:r>
          </w:p>
          <w:p w14:paraId="150F6194" w14:textId="77777777" w:rsidR="009E3B18" w:rsidRPr="00E035D0" w:rsidRDefault="009E3B18" w:rsidP="009E3B18">
            <w:pPr>
              <w:spacing w:before="120" w:after="120"/>
              <w:rPr>
                <w:rFonts w:ascii="Arial" w:hAnsi="Arial" w:cs="Arial"/>
              </w:rPr>
            </w:pPr>
            <w:r>
              <w:rPr>
                <w:rFonts w:ascii="Arial" w:hAnsi="Arial" w:cs="Arial"/>
              </w:rPr>
              <w:t>The Head of Group Operational Risk</w:t>
            </w:r>
            <w:r w:rsidRPr="00E035D0">
              <w:rPr>
                <w:rFonts w:ascii="Arial" w:hAnsi="Arial" w:cs="Arial"/>
              </w:rPr>
              <w:t xml:space="preserve"> report</w:t>
            </w:r>
            <w:r>
              <w:rPr>
                <w:rFonts w:ascii="Arial" w:hAnsi="Arial" w:cs="Arial"/>
              </w:rPr>
              <w:t>s directly to the Chief Risk Officer (CRO) and</w:t>
            </w:r>
            <w:r w:rsidRPr="00E035D0">
              <w:rPr>
                <w:rFonts w:ascii="Arial" w:hAnsi="Arial" w:cs="Arial"/>
              </w:rPr>
              <w:t xml:space="preserve"> to the Executive and Board through the Board Risk Committee. </w:t>
            </w:r>
          </w:p>
          <w:p w14:paraId="0A1F3998" w14:textId="77777777" w:rsidR="009E3B18" w:rsidRPr="00E035D0" w:rsidRDefault="009E3B18" w:rsidP="009E3B18">
            <w:pPr>
              <w:spacing w:before="120" w:after="120"/>
              <w:rPr>
                <w:rFonts w:ascii="Arial" w:hAnsi="Arial" w:cs="Arial"/>
              </w:rPr>
            </w:pPr>
            <w:r w:rsidRPr="00E035D0">
              <w:rPr>
                <w:rFonts w:ascii="Arial" w:hAnsi="Arial" w:cs="Arial"/>
              </w:rPr>
              <w:t xml:space="preserve">GOR </w:t>
            </w:r>
            <w:r>
              <w:rPr>
                <w:rFonts w:ascii="Arial" w:hAnsi="Arial" w:cs="Arial"/>
              </w:rPr>
              <w:t>is</w:t>
            </w:r>
            <w:r w:rsidRPr="00E035D0">
              <w:rPr>
                <w:rFonts w:ascii="Arial" w:hAnsi="Arial" w:cs="Arial"/>
              </w:rPr>
              <w:t xml:space="preserve"> an independent </w:t>
            </w:r>
            <w:r>
              <w:rPr>
                <w:rFonts w:ascii="Arial" w:hAnsi="Arial" w:cs="Arial"/>
              </w:rPr>
              <w:t xml:space="preserve">second line of defence risk </w:t>
            </w:r>
            <w:r w:rsidRPr="00E035D0">
              <w:rPr>
                <w:rFonts w:ascii="Arial" w:hAnsi="Arial" w:cs="Arial"/>
              </w:rPr>
              <w:t xml:space="preserve">function </w:t>
            </w:r>
            <w:r>
              <w:rPr>
                <w:rFonts w:ascii="Arial" w:hAnsi="Arial" w:cs="Arial"/>
              </w:rPr>
              <w:t>and</w:t>
            </w:r>
            <w:r w:rsidRPr="00E035D0">
              <w:rPr>
                <w:rFonts w:ascii="Arial" w:hAnsi="Arial" w:cs="Arial"/>
              </w:rPr>
              <w:t xml:space="preserve"> centre of expertise</w:t>
            </w:r>
            <w:r>
              <w:rPr>
                <w:rFonts w:ascii="Arial" w:hAnsi="Arial" w:cs="Arial"/>
              </w:rPr>
              <w:t xml:space="preserve"> that </w:t>
            </w:r>
            <w:r w:rsidRPr="00E035D0">
              <w:rPr>
                <w:rFonts w:ascii="Arial" w:hAnsi="Arial" w:cs="Arial"/>
              </w:rPr>
              <w:t>provid</w:t>
            </w:r>
            <w:r>
              <w:rPr>
                <w:rFonts w:ascii="Arial" w:hAnsi="Arial" w:cs="Arial"/>
              </w:rPr>
              <w:t>es opinions,</w:t>
            </w:r>
            <w:r w:rsidRPr="00E035D0">
              <w:rPr>
                <w:rFonts w:ascii="Arial" w:hAnsi="Arial" w:cs="Arial"/>
              </w:rPr>
              <w:t xml:space="preserve"> advice, oversight and challenge </w:t>
            </w:r>
            <w:r>
              <w:rPr>
                <w:rFonts w:ascii="Arial" w:hAnsi="Arial" w:cs="Arial"/>
              </w:rPr>
              <w:t>on</w:t>
            </w:r>
            <w:r w:rsidRPr="00E035D0">
              <w:rPr>
                <w:rFonts w:ascii="Arial" w:hAnsi="Arial" w:cs="Arial"/>
              </w:rPr>
              <w:t xml:space="preserve"> </w:t>
            </w:r>
            <w:r>
              <w:rPr>
                <w:rFonts w:ascii="Arial" w:hAnsi="Arial" w:cs="Arial"/>
              </w:rPr>
              <w:t>o</w:t>
            </w:r>
            <w:r w:rsidRPr="00E035D0">
              <w:rPr>
                <w:rFonts w:ascii="Arial" w:hAnsi="Arial" w:cs="Arial"/>
              </w:rPr>
              <w:t xml:space="preserve">perational </w:t>
            </w:r>
            <w:r>
              <w:rPr>
                <w:rFonts w:ascii="Arial" w:hAnsi="Arial" w:cs="Arial"/>
              </w:rPr>
              <w:t>r</w:t>
            </w:r>
            <w:r w:rsidRPr="00E035D0">
              <w:rPr>
                <w:rFonts w:ascii="Arial" w:hAnsi="Arial" w:cs="Arial"/>
              </w:rPr>
              <w:t xml:space="preserve">isk </w:t>
            </w:r>
            <w:r>
              <w:rPr>
                <w:rFonts w:ascii="Arial" w:hAnsi="Arial" w:cs="Arial"/>
              </w:rPr>
              <w:t xml:space="preserve">/ non-financial risk matters </w:t>
            </w:r>
            <w:r w:rsidRPr="00E035D0">
              <w:rPr>
                <w:rFonts w:ascii="Arial" w:hAnsi="Arial" w:cs="Arial"/>
              </w:rPr>
              <w:t xml:space="preserve">in an advanced accredited bank. GOR </w:t>
            </w:r>
            <w:r>
              <w:rPr>
                <w:rFonts w:ascii="Arial" w:hAnsi="Arial" w:cs="Arial"/>
              </w:rPr>
              <w:t>assists</w:t>
            </w:r>
            <w:r w:rsidRPr="00E035D0">
              <w:rPr>
                <w:rFonts w:ascii="Arial" w:hAnsi="Arial" w:cs="Arial"/>
              </w:rPr>
              <w:t xml:space="preserve"> the Bank and its Board to make informed risk / reward decisions in line with the Bank’s Risk Appetite</w:t>
            </w:r>
            <w:r>
              <w:rPr>
                <w:rFonts w:ascii="Arial" w:hAnsi="Arial" w:cs="Arial"/>
              </w:rPr>
              <w:t xml:space="preserve"> and </w:t>
            </w:r>
            <w:r w:rsidRPr="00E035D0">
              <w:rPr>
                <w:rFonts w:ascii="Arial" w:hAnsi="Arial" w:cs="Arial"/>
              </w:rPr>
              <w:t xml:space="preserve">objectives </w:t>
            </w:r>
            <w:r>
              <w:rPr>
                <w:rFonts w:ascii="Arial" w:hAnsi="Arial" w:cs="Arial"/>
              </w:rPr>
              <w:t>through its monitoring of key material risks and:</w:t>
            </w:r>
          </w:p>
          <w:p w14:paraId="6AF132FD" w14:textId="77777777" w:rsidR="009E3B18" w:rsidRPr="00100EB3" w:rsidRDefault="009E3B18" w:rsidP="009E3B18">
            <w:pPr>
              <w:pStyle w:val="ListParagraph"/>
              <w:numPr>
                <w:ilvl w:val="0"/>
                <w:numId w:val="26"/>
              </w:numPr>
              <w:spacing w:before="120" w:after="120"/>
              <w:rPr>
                <w:rFonts w:ascii="Arial" w:hAnsi="Arial" w:cs="Arial"/>
              </w:rPr>
            </w:pPr>
            <w:r w:rsidRPr="00100EB3">
              <w:rPr>
                <w:rFonts w:ascii="Arial" w:hAnsi="Arial" w:cs="Arial"/>
              </w:rPr>
              <w:t xml:space="preserve">Providing </w:t>
            </w:r>
            <w:r>
              <w:rPr>
                <w:rFonts w:ascii="Arial" w:hAnsi="Arial" w:cs="Arial"/>
              </w:rPr>
              <w:t xml:space="preserve">opinions, </w:t>
            </w:r>
            <w:r w:rsidRPr="00100EB3">
              <w:rPr>
                <w:rFonts w:ascii="Arial" w:hAnsi="Arial" w:cs="Arial"/>
              </w:rPr>
              <w:t>insights, advice, oversight and challenge in relation to operational risk</w:t>
            </w:r>
            <w:r>
              <w:rPr>
                <w:rFonts w:ascii="Arial" w:hAnsi="Arial" w:cs="Arial"/>
              </w:rPr>
              <w:t xml:space="preserve"> / non-financial risk</w:t>
            </w:r>
            <w:r w:rsidRPr="00100EB3">
              <w:rPr>
                <w:rFonts w:ascii="Arial" w:hAnsi="Arial" w:cs="Arial"/>
              </w:rPr>
              <w:t xml:space="preserve"> while continuing to create efficiencies</w:t>
            </w:r>
          </w:p>
          <w:p w14:paraId="423E0BA5" w14:textId="77777777" w:rsidR="009E3B18" w:rsidRPr="00100EB3" w:rsidRDefault="009E3B18" w:rsidP="009E3B18">
            <w:pPr>
              <w:pStyle w:val="ListParagraph"/>
              <w:numPr>
                <w:ilvl w:val="0"/>
                <w:numId w:val="26"/>
              </w:numPr>
              <w:spacing w:before="120" w:after="120"/>
              <w:rPr>
                <w:rFonts w:ascii="Arial" w:hAnsi="Arial" w:cs="Arial"/>
              </w:rPr>
            </w:pPr>
            <w:r w:rsidRPr="00100EB3">
              <w:rPr>
                <w:rFonts w:ascii="Arial" w:hAnsi="Arial" w:cs="Arial"/>
              </w:rPr>
              <w:t>Continuously improving the framework</w:t>
            </w:r>
            <w:r>
              <w:rPr>
                <w:rFonts w:ascii="Arial" w:hAnsi="Arial" w:cs="Arial"/>
              </w:rPr>
              <w:t>s, policies, processes</w:t>
            </w:r>
            <w:r w:rsidRPr="00100EB3">
              <w:rPr>
                <w:rFonts w:ascii="Arial" w:hAnsi="Arial" w:cs="Arial"/>
              </w:rPr>
              <w:t>, systems and tools for operational risk management</w:t>
            </w:r>
          </w:p>
          <w:p w14:paraId="61519CF8" w14:textId="77777777" w:rsidR="009E3B18" w:rsidRPr="00703D00" w:rsidRDefault="009E3B18" w:rsidP="009E3B18">
            <w:pPr>
              <w:pStyle w:val="ListParagraph"/>
              <w:numPr>
                <w:ilvl w:val="0"/>
                <w:numId w:val="26"/>
              </w:numPr>
              <w:spacing w:before="120" w:after="120"/>
              <w:rPr>
                <w:rFonts w:ascii="Arial" w:hAnsi="Arial" w:cs="Arial"/>
              </w:rPr>
            </w:pPr>
            <w:r w:rsidRPr="00100EB3">
              <w:rPr>
                <w:rFonts w:ascii="Arial" w:hAnsi="Arial" w:cs="Arial"/>
              </w:rPr>
              <w:t xml:space="preserve">Facilitating and /or supporting the Bank’s operational risk monitoring, reporting and regulatory change requirements  </w:t>
            </w:r>
          </w:p>
          <w:p w14:paraId="12FFC2BE" w14:textId="77777777" w:rsidR="009E3B18" w:rsidRDefault="009E3B18" w:rsidP="009E3B18">
            <w:pPr>
              <w:pStyle w:val="ListParagraph"/>
              <w:numPr>
                <w:ilvl w:val="0"/>
                <w:numId w:val="26"/>
              </w:numPr>
              <w:spacing w:before="120" w:after="120"/>
              <w:rPr>
                <w:rFonts w:ascii="Arial" w:hAnsi="Arial" w:cs="Arial"/>
              </w:rPr>
            </w:pPr>
            <w:r w:rsidRPr="00100EB3">
              <w:rPr>
                <w:rFonts w:ascii="Arial" w:hAnsi="Arial" w:cs="Arial"/>
              </w:rPr>
              <w:t xml:space="preserve">Facilitating and / or supporting operational risk processes where a Bank-wide </w:t>
            </w:r>
            <w:r>
              <w:rPr>
                <w:rFonts w:ascii="Arial" w:hAnsi="Arial" w:cs="Arial"/>
              </w:rPr>
              <w:t xml:space="preserve">risk </w:t>
            </w:r>
            <w:r w:rsidRPr="00100EB3">
              <w:rPr>
                <w:rFonts w:ascii="Arial" w:hAnsi="Arial" w:cs="Arial"/>
              </w:rPr>
              <w:t xml:space="preserve">view </w:t>
            </w:r>
            <w:r>
              <w:rPr>
                <w:rFonts w:ascii="Arial" w:hAnsi="Arial" w:cs="Arial"/>
              </w:rPr>
              <w:t xml:space="preserve">or risk approach </w:t>
            </w:r>
            <w:r w:rsidRPr="00100EB3">
              <w:rPr>
                <w:rFonts w:ascii="Arial" w:hAnsi="Arial" w:cs="Arial"/>
              </w:rPr>
              <w:t>is required.</w:t>
            </w:r>
          </w:p>
          <w:p w14:paraId="7F7FA286" w14:textId="3E9AA68C" w:rsidR="00C23C79" w:rsidRDefault="00C23C79" w:rsidP="00862167">
            <w:pPr>
              <w:rPr>
                <w:rFonts w:ascii="Arial" w:hAnsi="Arial" w:cs="Arial"/>
              </w:rPr>
            </w:pPr>
            <w:r>
              <w:rPr>
                <w:rFonts w:ascii="Arial" w:hAnsi="Arial" w:cs="Arial"/>
              </w:rPr>
              <w:t>Team:</w:t>
            </w:r>
          </w:p>
          <w:p w14:paraId="7AF5980E" w14:textId="04E61C54" w:rsidR="00792283" w:rsidRPr="00A8260F" w:rsidRDefault="00792283" w:rsidP="00862167">
            <w:pPr>
              <w:rPr>
                <w:rFonts w:ascii="Arial" w:hAnsi="Arial" w:cs="Arial"/>
              </w:rPr>
            </w:pPr>
            <w:r>
              <w:rPr>
                <w:rFonts w:ascii="Arial" w:hAnsi="Arial" w:cs="Arial"/>
              </w:rPr>
              <w:t>T</w:t>
            </w:r>
            <w:r w:rsidR="00C23C79">
              <w:rPr>
                <w:rFonts w:ascii="Arial" w:hAnsi="Arial" w:cs="Arial"/>
              </w:rPr>
              <w:t>he Operational Risk</w:t>
            </w:r>
            <w:r w:rsidR="009E3B18">
              <w:rPr>
                <w:rFonts w:ascii="Arial" w:hAnsi="Arial" w:cs="Arial"/>
              </w:rPr>
              <w:t xml:space="preserve"> </w:t>
            </w:r>
            <w:r w:rsidR="009E3B18" w:rsidRPr="009E3B18">
              <w:rPr>
                <w:rFonts w:ascii="Segoe UI" w:eastAsia="Times New Roman" w:hAnsi="Segoe UI" w:cs="Segoe UI"/>
                <w:b/>
                <w:bCs/>
                <w:sz w:val="21"/>
                <w:szCs w:val="21"/>
                <w:lang w:eastAsia="en-AU"/>
              </w:rPr>
              <w:t>Governance, Advisory and Analytics</w:t>
            </w:r>
            <w:r w:rsidR="00C23C79">
              <w:rPr>
                <w:rFonts w:ascii="Arial" w:hAnsi="Arial" w:cs="Arial"/>
              </w:rPr>
              <w:t xml:space="preserve"> team within GOR incorpora</w:t>
            </w:r>
            <w:r>
              <w:rPr>
                <w:rFonts w:ascii="Arial" w:hAnsi="Arial" w:cs="Arial"/>
              </w:rPr>
              <w:t>tes</w:t>
            </w:r>
            <w:r w:rsidR="00C23C79">
              <w:rPr>
                <w:rFonts w:ascii="Arial" w:hAnsi="Arial" w:cs="Arial"/>
              </w:rPr>
              <w:t xml:space="preserve"> the </w:t>
            </w:r>
            <w:r w:rsidR="009E3B18">
              <w:rPr>
                <w:rFonts w:ascii="Arial" w:hAnsi="Arial" w:cs="Arial"/>
              </w:rPr>
              <w:t xml:space="preserve">2LoD advisory </w:t>
            </w:r>
            <w:r w:rsidR="009E3B18" w:rsidRPr="00A8260F">
              <w:rPr>
                <w:rFonts w:ascii="Arial" w:hAnsi="Arial" w:cs="Arial"/>
              </w:rPr>
              <w:t>and oversight function, Framework management and systems</w:t>
            </w:r>
            <w:r w:rsidRPr="00A8260F">
              <w:rPr>
                <w:rFonts w:ascii="Arial" w:hAnsi="Arial" w:cs="Arial"/>
              </w:rPr>
              <w:t xml:space="preserve"> and the</w:t>
            </w:r>
            <w:r w:rsidR="009E3B18" w:rsidRPr="00A8260F">
              <w:rPr>
                <w:rFonts w:ascii="Arial" w:hAnsi="Arial" w:cs="Arial"/>
              </w:rPr>
              <w:t xml:space="preserve"> data and analytics functions</w:t>
            </w:r>
            <w:r w:rsidRPr="00A8260F">
              <w:rPr>
                <w:rFonts w:ascii="Arial" w:hAnsi="Arial" w:cs="Arial"/>
              </w:rPr>
              <w:t xml:space="preserve">. </w:t>
            </w:r>
          </w:p>
          <w:p w14:paraId="0AD979AB" w14:textId="7AAADF33" w:rsidR="00792283" w:rsidRPr="00A8260F" w:rsidRDefault="00792283" w:rsidP="00862167">
            <w:pPr>
              <w:rPr>
                <w:rFonts w:ascii="Arial" w:hAnsi="Arial" w:cs="Arial"/>
              </w:rPr>
            </w:pPr>
            <w:r w:rsidRPr="00A8260F">
              <w:rPr>
                <w:rFonts w:ascii="Arial" w:hAnsi="Arial" w:cs="Arial"/>
              </w:rPr>
              <w:t xml:space="preserve">The team is responsible for the development and maintenance of our Operational Risk policies and frameworks, oversight of the business in their application of our policies and frameworks and the escalation and reporting of positive </w:t>
            </w:r>
            <w:r w:rsidR="0056089E" w:rsidRPr="00A8260F">
              <w:rPr>
                <w:rFonts w:ascii="Arial" w:hAnsi="Arial" w:cs="Arial"/>
              </w:rPr>
              <w:t>and</w:t>
            </w:r>
            <w:r w:rsidRPr="00A8260F">
              <w:rPr>
                <w:rFonts w:ascii="Arial" w:hAnsi="Arial" w:cs="Arial"/>
              </w:rPr>
              <w:t xml:space="preserve"> negative assurance to our executive and board.</w:t>
            </w:r>
          </w:p>
          <w:p w14:paraId="0786EC52" w14:textId="006353D3" w:rsidR="00862167" w:rsidRPr="00734230" w:rsidRDefault="00862167" w:rsidP="00792283">
            <w:pPr>
              <w:rPr>
                <w:rFonts w:ascii="Arial" w:hAnsi="Arial" w:cs="Arial"/>
              </w:rPr>
            </w:pPr>
          </w:p>
        </w:tc>
      </w:tr>
    </w:tbl>
    <w:p w14:paraId="437C6503" w14:textId="77777777" w:rsidR="003606E4" w:rsidRPr="00734230" w:rsidRDefault="003606E4" w:rsidP="00E5307F">
      <w:pPr>
        <w:spacing w:after="0"/>
        <w:rPr>
          <w:rFonts w:ascii="Arial" w:hAnsi="Arial" w:cs="Arial"/>
          <w:sz w:val="10"/>
          <w:szCs w:val="10"/>
        </w:rPr>
      </w:pPr>
    </w:p>
    <w:p w14:paraId="313A4995" w14:textId="77777777" w:rsidR="005C6160" w:rsidRDefault="005C6160" w:rsidP="00196B80">
      <w:pPr>
        <w:rPr>
          <w:rFonts w:ascii="Arial" w:hAnsi="Arial" w:cs="Arial"/>
          <w:b/>
          <w:bCs/>
          <w:color w:val="FFFFFF" w:themeColor="background1"/>
        </w:rPr>
      </w:pPr>
    </w:p>
    <w:p w14:paraId="52E5A192" w14:textId="77777777" w:rsidR="00EC6348" w:rsidRDefault="00EC6348" w:rsidP="00196B80">
      <w:pPr>
        <w:rPr>
          <w:rFonts w:ascii="Arial" w:hAnsi="Arial" w:cs="Arial"/>
          <w:b/>
          <w:bCs/>
          <w:color w:val="FFFFFF" w:themeColor="background1"/>
        </w:rPr>
      </w:pPr>
    </w:p>
    <w:p w14:paraId="5C0C1ED9" w14:textId="77777777" w:rsidR="00EC6348" w:rsidRDefault="00EC6348" w:rsidP="00196B80">
      <w:pPr>
        <w:rPr>
          <w:rFonts w:ascii="Arial" w:hAnsi="Arial" w:cs="Arial"/>
          <w:b/>
          <w:bCs/>
          <w:color w:val="FFFFFF" w:themeColor="background1"/>
        </w:rPr>
      </w:pPr>
    </w:p>
    <w:p w14:paraId="525E93B6" w14:textId="77777777" w:rsidR="00EC6348" w:rsidRDefault="00EC6348" w:rsidP="00196B80">
      <w:pPr>
        <w:rPr>
          <w:rFonts w:ascii="Arial" w:hAnsi="Arial" w:cs="Arial"/>
          <w:b/>
          <w:bCs/>
          <w:color w:val="FFFFFF" w:themeColor="background1"/>
        </w:rPr>
      </w:pPr>
    </w:p>
    <w:p w14:paraId="163BF3BE" w14:textId="580852D5" w:rsidR="00EC6348" w:rsidRDefault="00EC6348" w:rsidP="00196B80">
      <w:pPr>
        <w:rPr>
          <w:rFonts w:ascii="Arial" w:hAnsi="Arial" w:cs="Arial"/>
          <w:b/>
          <w:bCs/>
          <w:color w:val="FFFFFF" w:themeColor="background1"/>
        </w:rPr>
        <w:sectPr w:rsidR="00EC6348"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10485"/>
      </w:tblGrid>
      <w:tr w:rsidR="00CC02CB" w:rsidRPr="00734230" w14:paraId="1A91619D" w14:textId="77777777" w:rsidTr="00DD04B7">
        <w:trPr>
          <w:trHeight w:val="272"/>
        </w:trPr>
        <w:tc>
          <w:tcPr>
            <w:tcW w:w="10485" w:type="dxa"/>
            <w:shd w:val="clear" w:color="auto" w:fill="50003A"/>
          </w:tcPr>
          <w:p w14:paraId="150276B9" w14:textId="77777777" w:rsidR="00CC02CB" w:rsidRPr="00734230" w:rsidRDefault="004F315F" w:rsidP="00196B80">
            <w:pPr>
              <w:rPr>
                <w:rFonts w:ascii="Arial" w:hAnsi="Arial" w:cs="Arial"/>
                <w:b/>
                <w:bCs/>
              </w:rPr>
            </w:pPr>
            <w:r w:rsidRPr="00734230">
              <w:rPr>
                <w:rFonts w:ascii="Arial" w:hAnsi="Arial" w:cs="Arial"/>
                <w:b/>
                <w:bCs/>
                <w:color w:val="FFFFFF" w:themeColor="background1"/>
              </w:rPr>
              <w:lastRenderedPageBreak/>
              <w:t>The purpose of your role</w:t>
            </w:r>
          </w:p>
        </w:tc>
      </w:tr>
      <w:tr w:rsidR="00BA33DC" w:rsidRPr="00734230" w14:paraId="69C6F5D1" w14:textId="77777777" w:rsidTr="00DD04B7">
        <w:trPr>
          <w:trHeight w:val="2835"/>
        </w:trPr>
        <w:tc>
          <w:tcPr>
            <w:tcW w:w="10485" w:type="dxa"/>
          </w:tcPr>
          <w:p w14:paraId="5781744B" w14:textId="77777777" w:rsidR="004E37D8" w:rsidRPr="004E37D8" w:rsidRDefault="004E37D8" w:rsidP="004E37D8">
            <w:pPr>
              <w:spacing w:before="60"/>
              <w:ind w:left="32" w:right="174"/>
              <w:rPr>
                <w:rFonts w:ascii="Arial" w:hAnsi="Arial" w:cs="Arial"/>
                <w:iCs/>
              </w:rPr>
            </w:pPr>
            <w:r w:rsidRPr="004E37D8">
              <w:rPr>
                <w:rFonts w:ascii="Arial" w:hAnsi="Arial" w:cs="Arial"/>
                <w:iCs/>
              </w:rPr>
              <w:t>As part of the Governance, Advisory and Analytics team in Group Operational Risk. This position is a senior specialist risk role that will assist with the delivery of the Group Operational Risk framework development and continuous improvements as part of the overall strategy. Key areas this role will focus on will be:</w:t>
            </w:r>
          </w:p>
          <w:p w14:paraId="1C573A30" w14:textId="261F8729" w:rsidR="004E37D8" w:rsidRPr="007E794E" w:rsidRDefault="004E37D8" w:rsidP="007E794E">
            <w:pPr>
              <w:pStyle w:val="ListParagraph"/>
              <w:numPr>
                <w:ilvl w:val="0"/>
                <w:numId w:val="33"/>
              </w:numPr>
              <w:spacing w:before="60"/>
              <w:ind w:left="734" w:right="174"/>
              <w:rPr>
                <w:rFonts w:ascii="Arial" w:hAnsi="Arial" w:cs="Arial"/>
                <w:iCs/>
              </w:rPr>
            </w:pPr>
            <w:r w:rsidRPr="007E794E">
              <w:rPr>
                <w:rFonts w:ascii="Arial" w:hAnsi="Arial" w:cs="Arial"/>
                <w:iCs/>
              </w:rPr>
              <w:t>The delivery of continuous improvement and developments in the Operational Risk Management Framework and associated supporting document suite (</w:t>
            </w:r>
            <w:r w:rsidR="000033D3" w:rsidRPr="007E794E">
              <w:rPr>
                <w:rFonts w:ascii="Arial" w:hAnsi="Arial" w:cs="Arial"/>
                <w:iCs/>
              </w:rPr>
              <w:t>i.e.,</w:t>
            </w:r>
            <w:r w:rsidRPr="007E794E">
              <w:rPr>
                <w:rFonts w:ascii="Arial" w:hAnsi="Arial" w:cs="Arial"/>
                <w:iCs/>
              </w:rPr>
              <w:t xml:space="preserve"> policies, standards, tools and templates) </w:t>
            </w:r>
          </w:p>
          <w:p w14:paraId="59600E37" w14:textId="631FC0AB" w:rsidR="004E37D8" w:rsidRPr="007E794E" w:rsidRDefault="004E37D8" w:rsidP="007E794E">
            <w:pPr>
              <w:pStyle w:val="ListParagraph"/>
              <w:numPr>
                <w:ilvl w:val="0"/>
                <w:numId w:val="33"/>
              </w:numPr>
              <w:spacing w:before="60"/>
              <w:ind w:left="734" w:right="174"/>
              <w:rPr>
                <w:rFonts w:ascii="Arial" w:hAnsi="Arial" w:cs="Arial"/>
                <w:iCs/>
              </w:rPr>
            </w:pPr>
            <w:r w:rsidRPr="007E794E">
              <w:rPr>
                <w:rFonts w:ascii="Arial" w:hAnsi="Arial" w:cs="Arial"/>
                <w:iCs/>
              </w:rPr>
              <w:t>Actively driving enhancements to the Governance Risk and Compliance system and Tools to reflect the framework developments.</w:t>
            </w:r>
          </w:p>
          <w:p w14:paraId="550E3875" w14:textId="31F7F3E7" w:rsidR="004E37D8" w:rsidRPr="007E794E" w:rsidRDefault="004E37D8" w:rsidP="007E794E">
            <w:pPr>
              <w:pStyle w:val="ListParagraph"/>
              <w:numPr>
                <w:ilvl w:val="0"/>
                <w:numId w:val="33"/>
              </w:numPr>
              <w:spacing w:before="60"/>
              <w:ind w:left="734" w:right="174"/>
              <w:rPr>
                <w:rFonts w:ascii="Arial" w:hAnsi="Arial" w:cs="Arial"/>
                <w:iCs/>
              </w:rPr>
            </w:pPr>
            <w:r w:rsidRPr="007E794E">
              <w:rPr>
                <w:rFonts w:ascii="Arial" w:hAnsi="Arial" w:cs="Arial"/>
                <w:iCs/>
              </w:rPr>
              <w:t>Perform specific projects as required</w:t>
            </w:r>
          </w:p>
          <w:p w14:paraId="1D98D099" w14:textId="49EC9EAC" w:rsidR="004E37D8" w:rsidRPr="007E794E" w:rsidRDefault="004E37D8" w:rsidP="007E794E">
            <w:pPr>
              <w:pStyle w:val="ListParagraph"/>
              <w:numPr>
                <w:ilvl w:val="0"/>
                <w:numId w:val="33"/>
              </w:numPr>
              <w:spacing w:before="60"/>
              <w:ind w:left="734" w:right="174"/>
              <w:rPr>
                <w:rFonts w:ascii="Arial" w:hAnsi="Arial" w:cs="Arial"/>
                <w:iCs/>
              </w:rPr>
            </w:pPr>
            <w:r w:rsidRPr="007E794E">
              <w:rPr>
                <w:rFonts w:ascii="Arial" w:hAnsi="Arial" w:cs="Arial"/>
                <w:iCs/>
              </w:rPr>
              <w:t>Providing insights and advice in relation to operational risk and Operational Risk Management Framework execution while continuing to create efficiencies.</w:t>
            </w:r>
          </w:p>
          <w:p w14:paraId="0A874D3C" w14:textId="753A1FF3" w:rsidR="004E37D8" w:rsidRPr="007E794E" w:rsidRDefault="004E37D8" w:rsidP="007E794E">
            <w:pPr>
              <w:pStyle w:val="ListParagraph"/>
              <w:numPr>
                <w:ilvl w:val="0"/>
                <w:numId w:val="33"/>
              </w:numPr>
              <w:spacing w:before="60"/>
              <w:ind w:left="734" w:right="174"/>
              <w:rPr>
                <w:rFonts w:ascii="Arial" w:hAnsi="Arial" w:cs="Arial"/>
                <w:iCs/>
              </w:rPr>
            </w:pPr>
            <w:r w:rsidRPr="007E794E">
              <w:rPr>
                <w:rFonts w:ascii="Arial" w:hAnsi="Arial" w:cs="Arial"/>
                <w:iCs/>
              </w:rPr>
              <w:t xml:space="preserve">Assist with the running of business-as-usual function including: </w:t>
            </w:r>
          </w:p>
          <w:p w14:paraId="03AAAD80" w14:textId="2BFE0C45" w:rsidR="004E37D8" w:rsidRPr="004E37D8" w:rsidRDefault="004E37D8" w:rsidP="004E37D8">
            <w:pPr>
              <w:pStyle w:val="ListParagraph"/>
              <w:numPr>
                <w:ilvl w:val="0"/>
                <w:numId w:val="30"/>
              </w:numPr>
              <w:tabs>
                <w:tab w:val="left" w:pos="1024"/>
              </w:tabs>
              <w:spacing w:before="60"/>
              <w:ind w:left="1024" w:right="174"/>
              <w:rPr>
                <w:rFonts w:ascii="Arial" w:hAnsi="Arial" w:cs="Arial"/>
                <w:iCs/>
              </w:rPr>
            </w:pPr>
            <w:r w:rsidRPr="004E37D8">
              <w:rPr>
                <w:rFonts w:ascii="Arial" w:hAnsi="Arial" w:cs="Arial"/>
                <w:iCs/>
              </w:rPr>
              <w:t xml:space="preserve">centralised oversight activities </w:t>
            </w:r>
          </w:p>
          <w:p w14:paraId="45CEAB8A" w14:textId="0731BCFF" w:rsidR="004E37D8" w:rsidRPr="004E37D8" w:rsidRDefault="004E37D8" w:rsidP="004E37D8">
            <w:pPr>
              <w:pStyle w:val="ListParagraph"/>
              <w:numPr>
                <w:ilvl w:val="0"/>
                <w:numId w:val="30"/>
              </w:numPr>
              <w:tabs>
                <w:tab w:val="left" w:pos="1024"/>
              </w:tabs>
              <w:spacing w:before="60"/>
              <w:ind w:left="1024" w:right="174"/>
              <w:rPr>
                <w:rFonts w:ascii="Arial" w:hAnsi="Arial" w:cs="Arial"/>
                <w:iCs/>
              </w:rPr>
            </w:pPr>
            <w:r w:rsidRPr="004E37D8">
              <w:rPr>
                <w:rFonts w:ascii="Arial" w:hAnsi="Arial" w:cs="Arial"/>
                <w:iCs/>
              </w:rPr>
              <w:t xml:space="preserve">support to the 2LoD reviews of 1LoD and oversight programme. </w:t>
            </w:r>
          </w:p>
          <w:p w14:paraId="2497B523" w14:textId="3935A2EC" w:rsidR="004E37D8" w:rsidRPr="004E37D8" w:rsidRDefault="004E37D8" w:rsidP="004E37D8">
            <w:pPr>
              <w:pStyle w:val="ListParagraph"/>
              <w:numPr>
                <w:ilvl w:val="0"/>
                <w:numId w:val="30"/>
              </w:numPr>
              <w:tabs>
                <w:tab w:val="left" w:pos="1024"/>
              </w:tabs>
              <w:spacing w:before="60"/>
              <w:ind w:left="1024" w:right="174"/>
              <w:rPr>
                <w:rFonts w:ascii="Arial" w:hAnsi="Arial" w:cs="Arial"/>
                <w:iCs/>
              </w:rPr>
            </w:pPr>
            <w:r w:rsidRPr="004E37D8">
              <w:rPr>
                <w:rFonts w:ascii="Arial" w:hAnsi="Arial" w:cs="Arial"/>
                <w:iCs/>
              </w:rPr>
              <w:t>facilitating and /or supporting the Bank’s operational risk monitoring, reporting and regulatory change requirements.</w:t>
            </w:r>
          </w:p>
          <w:p w14:paraId="565A85AC" w14:textId="0EEA4E7A" w:rsidR="00862167" w:rsidRPr="003375B7" w:rsidRDefault="004E37D8" w:rsidP="007E794E">
            <w:pPr>
              <w:pStyle w:val="ListParagraph"/>
              <w:numPr>
                <w:ilvl w:val="0"/>
                <w:numId w:val="33"/>
              </w:numPr>
              <w:spacing w:before="60"/>
              <w:ind w:left="734" w:right="174"/>
              <w:rPr>
                <w:rFonts w:ascii="Arial" w:hAnsi="Arial" w:cs="Arial"/>
                <w:iCs/>
              </w:rPr>
            </w:pPr>
            <w:r w:rsidRPr="004E37D8">
              <w:rPr>
                <w:rFonts w:ascii="Arial" w:hAnsi="Arial" w:cs="Arial"/>
                <w:iCs/>
              </w:rPr>
              <w:t>Facilitating and / or supporting operational risk processes where a Bank-wide view is required.</w:t>
            </w:r>
          </w:p>
        </w:tc>
      </w:tr>
    </w:tbl>
    <w:p w14:paraId="10D14711" w14:textId="28B85522" w:rsidR="00BA33DC" w:rsidRDefault="00BA33DC" w:rsidP="00E5307F">
      <w:pPr>
        <w:spacing w:after="0"/>
        <w:rPr>
          <w:rFonts w:ascii="Arial" w:hAnsi="Arial" w:cs="Arial"/>
          <w:sz w:val="10"/>
          <w:szCs w:val="10"/>
        </w:rPr>
      </w:pPr>
    </w:p>
    <w:p w14:paraId="3B92BBF2" w14:textId="77777777" w:rsidR="00C0785B" w:rsidRPr="00734230" w:rsidRDefault="00C0785B" w:rsidP="00E5307F">
      <w:pPr>
        <w:spacing w:after="0"/>
        <w:rPr>
          <w:rFonts w:ascii="Arial" w:hAnsi="Arial" w:cs="Arial"/>
          <w:sz w:val="10"/>
          <w:szCs w:val="10"/>
        </w:rPr>
      </w:pPr>
    </w:p>
    <w:p w14:paraId="47A01F7B"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306A329A" w14:textId="77777777" w:rsidTr="00734230">
        <w:trPr>
          <w:trHeight w:val="272"/>
        </w:trPr>
        <w:tc>
          <w:tcPr>
            <w:tcW w:w="10456" w:type="dxa"/>
            <w:shd w:val="clear" w:color="auto" w:fill="50003A"/>
          </w:tcPr>
          <w:p w14:paraId="64E49663"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0150129F" w14:textId="77777777" w:rsidTr="00DE5C28">
        <w:trPr>
          <w:trHeight w:val="1984"/>
        </w:trPr>
        <w:tc>
          <w:tcPr>
            <w:tcW w:w="10456" w:type="dxa"/>
          </w:tcPr>
          <w:p w14:paraId="53C7F78A" w14:textId="72B787CD" w:rsidR="008A5157" w:rsidRDefault="00A94586" w:rsidP="00DD31E3">
            <w:pPr>
              <w:pStyle w:val="ListParagraph"/>
              <w:numPr>
                <w:ilvl w:val="0"/>
                <w:numId w:val="6"/>
              </w:numPr>
              <w:rPr>
                <w:rFonts w:ascii="Arial" w:hAnsi="Arial" w:cs="Arial"/>
              </w:rPr>
            </w:pPr>
            <w:r>
              <w:rPr>
                <w:rFonts w:ascii="Arial" w:hAnsi="Arial" w:cs="Arial"/>
              </w:rPr>
              <w:t>Management Committees and sub-committees (Operational Risk Committee and Operational Risk Policy Committee)</w:t>
            </w:r>
          </w:p>
          <w:p w14:paraId="0FC410AC" w14:textId="009151F2" w:rsidR="006C4FB3" w:rsidRPr="006C4FB3" w:rsidRDefault="006C4FB3" w:rsidP="006C4FB3">
            <w:pPr>
              <w:pStyle w:val="ListParagraph"/>
              <w:numPr>
                <w:ilvl w:val="0"/>
                <w:numId w:val="6"/>
              </w:numPr>
              <w:rPr>
                <w:rFonts w:ascii="Arial" w:hAnsi="Arial" w:cs="Arial"/>
              </w:rPr>
            </w:pPr>
            <w:r>
              <w:rPr>
                <w:rFonts w:ascii="Arial" w:hAnsi="Arial" w:cs="Arial"/>
              </w:rPr>
              <w:t>Division Risk Committees</w:t>
            </w:r>
          </w:p>
          <w:p w14:paraId="2A50D81E" w14:textId="62016763" w:rsidR="008A5157" w:rsidRDefault="008A5157" w:rsidP="00DD31E3">
            <w:pPr>
              <w:pStyle w:val="ListParagraph"/>
              <w:numPr>
                <w:ilvl w:val="0"/>
                <w:numId w:val="6"/>
              </w:numPr>
              <w:rPr>
                <w:rFonts w:ascii="Arial" w:hAnsi="Arial" w:cs="Arial"/>
              </w:rPr>
            </w:pPr>
            <w:r>
              <w:rPr>
                <w:rFonts w:ascii="Arial" w:hAnsi="Arial" w:cs="Arial"/>
              </w:rPr>
              <w:t>Senior Management of the Group</w:t>
            </w:r>
            <w:r w:rsidR="006C4FB3">
              <w:rPr>
                <w:rFonts w:ascii="Arial" w:hAnsi="Arial" w:cs="Arial"/>
              </w:rPr>
              <w:t xml:space="preserve"> including Business Unit Heads and Division Executives</w:t>
            </w:r>
          </w:p>
          <w:p w14:paraId="6AE81CD3" w14:textId="69FA12F3" w:rsidR="006C4FB3" w:rsidRDefault="006C4FB3" w:rsidP="00DD31E3">
            <w:pPr>
              <w:pStyle w:val="ListParagraph"/>
              <w:numPr>
                <w:ilvl w:val="0"/>
                <w:numId w:val="6"/>
              </w:numPr>
              <w:rPr>
                <w:rFonts w:ascii="Arial" w:hAnsi="Arial" w:cs="Arial"/>
              </w:rPr>
            </w:pPr>
            <w:r>
              <w:rPr>
                <w:rFonts w:ascii="Arial" w:hAnsi="Arial" w:cs="Arial"/>
              </w:rPr>
              <w:t>Line 1 Risk</w:t>
            </w:r>
          </w:p>
          <w:p w14:paraId="49FF991D" w14:textId="7A7FBD41" w:rsidR="00E85983" w:rsidRDefault="008A5157" w:rsidP="00DD31E3">
            <w:pPr>
              <w:pStyle w:val="ListParagraph"/>
              <w:numPr>
                <w:ilvl w:val="0"/>
                <w:numId w:val="6"/>
              </w:numPr>
              <w:rPr>
                <w:rFonts w:ascii="Arial" w:hAnsi="Arial" w:cs="Arial"/>
              </w:rPr>
            </w:pPr>
            <w:r>
              <w:rPr>
                <w:rFonts w:ascii="Arial" w:hAnsi="Arial" w:cs="Arial"/>
              </w:rPr>
              <w:t>Group Risk</w:t>
            </w:r>
          </w:p>
          <w:p w14:paraId="7B341A5D" w14:textId="244C262C" w:rsidR="008A5157" w:rsidRDefault="008A5157" w:rsidP="00DD31E3">
            <w:pPr>
              <w:pStyle w:val="ListParagraph"/>
              <w:numPr>
                <w:ilvl w:val="0"/>
                <w:numId w:val="6"/>
              </w:numPr>
              <w:rPr>
                <w:rFonts w:ascii="Arial" w:hAnsi="Arial" w:cs="Arial"/>
              </w:rPr>
            </w:pPr>
            <w:r>
              <w:rPr>
                <w:rFonts w:ascii="Arial" w:hAnsi="Arial" w:cs="Arial"/>
              </w:rPr>
              <w:t xml:space="preserve">Group Assurance </w:t>
            </w:r>
          </w:p>
          <w:p w14:paraId="14534E1B" w14:textId="2958B41F" w:rsidR="008A5157" w:rsidRDefault="008A5157" w:rsidP="00DD31E3">
            <w:pPr>
              <w:pStyle w:val="ListParagraph"/>
              <w:numPr>
                <w:ilvl w:val="0"/>
                <w:numId w:val="6"/>
              </w:numPr>
              <w:rPr>
                <w:rFonts w:ascii="Arial" w:hAnsi="Arial" w:cs="Arial"/>
              </w:rPr>
            </w:pPr>
            <w:r>
              <w:rPr>
                <w:rFonts w:ascii="Arial" w:hAnsi="Arial" w:cs="Arial"/>
              </w:rPr>
              <w:t>Group Legal</w:t>
            </w:r>
          </w:p>
          <w:p w14:paraId="507878D3" w14:textId="01F92C80" w:rsidR="008A5157" w:rsidRDefault="008A5157" w:rsidP="00DD31E3">
            <w:pPr>
              <w:pStyle w:val="ListParagraph"/>
              <w:numPr>
                <w:ilvl w:val="0"/>
                <w:numId w:val="6"/>
              </w:numPr>
              <w:rPr>
                <w:rFonts w:ascii="Arial" w:hAnsi="Arial" w:cs="Arial"/>
              </w:rPr>
            </w:pPr>
            <w:r>
              <w:rPr>
                <w:rFonts w:ascii="Arial" w:hAnsi="Arial" w:cs="Arial"/>
              </w:rPr>
              <w:t>Risk and Compliance resources across the Group</w:t>
            </w:r>
          </w:p>
          <w:p w14:paraId="4F2CE35F" w14:textId="03D85B65" w:rsidR="00862167" w:rsidRDefault="00862167" w:rsidP="00DD31E3">
            <w:pPr>
              <w:pStyle w:val="ListParagraph"/>
              <w:numPr>
                <w:ilvl w:val="0"/>
                <w:numId w:val="6"/>
              </w:numPr>
              <w:rPr>
                <w:rFonts w:ascii="Arial" w:hAnsi="Arial" w:cs="Arial"/>
              </w:rPr>
            </w:pPr>
            <w:r>
              <w:rPr>
                <w:rFonts w:ascii="Arial" w:hAnsi="Arial" w:cs="Arial"/>
              </w:rPr>
              <w:t xml:space="preserve">Risk Management Australia (RMA) interbank </w:t>
            </w:r>
            <w:r w:rsidR="00A94586">
              <w:rPr>
                <w:rFonts w:ascii="Arial" w:hAnsi="Arial" w:cs="Arial"/>
              </w:rPr>
              <w:t xml:space="preserve">forum </w:t>
            </w:r>
            <w:r>
              <w:rPr>
                <w:rFonts w:ascii="Arial" w:hAnsi="Arial" w:cs="Arial"/>
              </w:rPr>
              <w:t>operational risk group</w:t>
            </w:r>
          </w:p>
          <w:p w14:paraId="1E36D582" w14:textId="04B7AB24" w:rsidR="00792283" w:rsidRDefault="00792283" w:rsidP="00DD31E3">
            <w:pPr>
              <w:pStyle w:val="ListParagraph"/>
              <w:numPr>
                <w:ilvl w:val="0"/>
                <w:numId w:val="6"/>
              </w:numPr>
              <w:rPr>
                <w:rFonts w:ascii="Arial" w:hAnsi="Arial" w:cs="Arial"/>
              </w:rPr>
            </w:pPr>
            <w:r>
              <w:rPr>
                <w:rFonts w:ascii="Arial" w:hAnsi="Arial" w:cs="Arial"/>
              </w:rPr>
              <w:t>The Data Office</w:t>
            </w:r>
          </w:p>
          <w:p w14:paraId="4225D43B" w14:textId="6074F756" w:rsidR="00792283" w:rsidRDefault="00792283" w:rsidP="00DD31E3">
            <w:pPr>
              <w:pStyle w:val="ListParagraph"/>
              <w:numPr>
                <w:ilvl w:val="0"/>
                <w:numId w:val="6"/>
              </w:numPr>
              <w:rPr>
                <w:rFonts w:ascii="Arial" w:hAnsi="Arial" w:cs="Arial"/>
              </w:rPr>
            </w:pPr>
            <w:r>
              <w:rPr>
                <w:rFonts w:ascii="Arial" w:hAnsi="Arial" w:cs="Arial"/>
              </w:rPr>
              <w:t xml:space="preserve">Subsidiary and wholly owned entities as necessary </w:t>
            </w:r>
            <w:r w:rsidR="000033D3">
              <w:rPr>
                <w:rFonts w:ascii="Arial" w:hAnsi="Arial" w:cs="Arial"/>
              </w:rPr>
              <w:t>e.g.,</w:t>
            </w:r>
            <w:r>
              <w:rPr>
                <w:rFonts w:ascii="Arial" w:hAnsi="Arial" w:cs="Arial"/>
              </w:rPr>
              <w:t xml:space="preserve"> Sandhurst, Ferocia</w:t>
            </w:r>
          </w:p>
          <w:p w14:paraId="7524013A" w14:textId="78810593" w:rsidR="00DD31E3" w:rsidRPr="00EC6348" w:rsidRDefault="00DD31E3" w:rsidP="00EC6348">
            <w:pPr>
              <w:rPr>
                <w:rFonts w:ascii="Arial" w:hAnsi="Arial" w:cs="Arial"/>
              </w:rPr>
            </w:pPr>
          </w:p>
        </w:tc>
      </w:tr>
    </w:tbl>
    <w:p w14:paraId="77E71DAC" w14:textId="77777777" w:rsidR="00A32B31" w:rsidRPr="00734230" w:rsidRDefault="00A32B31" w:rsidP="00E5307F">
      <w:pPr>
        <w:spacing w:after="0"/>
        <w:rPr>
          <w:rFonts w:ascii="Arial" w:hAnsi="Arial" w:cs="Arial"/>
          <w:sz w:val="10"/>
          <w:szCs w:val="10"/>
        </w:rPr>
      </w:pPr>
    </w:p>
    <w:p w14:paraId="786A4D5D" w14:textId="77777777" w:rsidR="00A32B31" w:rsidRPr="00734230" w:rsidRDefault="00A32B31">
      <w:pPr>
        <w:rPr>
          <w:rFonts w:ascii="Arial" w:hAnsi="Arial" w:cs="Arial"/>
          <w:sz w:val="10"/>
          <w:szCs w:val="10"/>
        </w:rPr>
      </w:pPr>
      <w:r w:rsidRPr="00734230">
        <w:rPr>
          <w:rFonts w:ascii="Arial" w:hAnsi="Arial" w:cs="Arial"/>
          <w:sz w:val="10"/>
          <w:szCs w:val="10"/>
        </w:rPr>
        <w:br w:type="page"/>
      </w:r>
    </w:p>
    <w:p w14:paraId="2126D429"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1CB326CA" w14:textId="77777777" w:rsidTr="00852BF6">
        <w:trPr>
          <w:trHeight w:val="275"/>
        </w:trPr>
        <w:tc>
          <w:tcPr>
            <w:tcW w:w="10457" w:type="dxa"/>
            <w:shd w:val="clear" w:color="auto" w:fill="F04E58"/>
          </w:tcPr>
          <w:p w14:paraId="69A5E79B" w14:textId="77777777" w:rsidR="00A32B31" w:rsidRPr="00734230" w:rsidRDefault="00A32B31" w:rsidP="00F728B1">
            <w:pPr>
              <w:rPr>
                <w:rFonts w:ascii="Arial" w:hAnsi="Arial" w:cs="Arial"/>
                <w:b/>
                <w:bCs/>
              </w:rPr>
            </w:pPr>
          </w:p>
        </w:tc>
      </w:tr>
    </w:tbl>
    <w:p w14:paraId="1FE3C211"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2FD3ABB5" wp14:editId="4CA05ACC">
            <wp:simplePos x="0" y="0"/>
            <wp:positionH relativeFrom="margin">
              <wp:align>left</wp:align>
            </wp:positionH>
            <wp:positionV relativeFrom="page">
              <wp:posOffset>46990</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7F98BFD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1838"/>
        <w:gridCol w:w="8647"/>
      </w:tblGrid>
      <w:tr w:rsidR="00992E1C" w:rsidRPr="0074063D" w14:paraId="4D3BF0FF" w14:textId="77777777" w:rsidTr="00734230">
        <w:tc>
          <w:tcPr>
            <w:tcW w:w="10485" w:type="dxa"/>
            <w:gridSpan w:val="2"/>
            <w:shd w:val="clear" w:color="auto" w:fill="50003A"/>
          </w:tcPr>
          <w:p w14:paraId="2205A29C" w14:textId="77777777" w:rsidR="00992E1C" w:rsidRPr="0074063D" w:rsidRDefault="00992E1C" w:rsidP="00F728B1">
            <w:pPr>
              <w:rPr>
                <w:rFonts w:ascii="Arial" w:hAnsi="Arial" w:cs="Arial"/>
                <w:b/>
                <w:bCs/>
              </w:rPr>
            </w:pPr>
            <w:r w:rsidRPr="0074063D">
              <w:rPr>
                <w:rFonts w:ascii="Arial" w:hAnsi="Arial" w:cs="Arial"/>
                <w:b/>
                <w:bCs/>
                <w:color w:val="FFFFFF" w:themeColor="background1"/>
              </w:rPr>
              <w:t>What you’re accountable for</w:t>
            </w:r>
          </w:p>
        </w:tc>
      </w:tr>
      <w:tr w:rsidR="00640B7F" w:rsidRPr="0074063D" w14:paraId="01EF77FD" w14:textId="77777777" w:rsidTr="00EC6348">
        <w:trPr>
          <w:trHeight w:val="819"/>
        </w:trPr>
        <w:tc>
          <w:tcPr>
            <w:tcW w:w="1838" w:type="dxa"/>
          </w:tcPr>
          <w:p w14:paraId="41016831" w14:textId="77777777" w:rsidR="00640B7F" w:rsidRPr="003375B7" w:rsidRDefault="00640B7F" w:rsidP="00EC6348">
            <w:pPr>
              <w:rPr>
                <w:rFonts w:ascii="Arial" w:hAnsi="Arial" w:cs="Arial"/>
                <w:b/>
                <w:bCs/>
              </w:rPr>
            </w:pPr>
            <w:r w:rsidRPr="003375B7">
              <w:rPr>
                <w:rFonts w:ascii="Arial" w:hAnsi="Arial" w:cs="Arial"/>
                <w:b/>
                <w:bCs/>
              </w:rPr>
              <w:t>Operational Risk Management Framework / Policies / Tools</w:t>
            </w:r>
          </w:p>
          <w:p w14:paraId="6E06E8C7" w14:textId="77777777" w:rsidR="00640B7F" w:rsidRPr="003375B7" w:rsidRDefault="00640B7F" w:rsidP="00EC6348">
            <w:pPr>
              <w:rPr>
                <w:rFonts w:ascii="Arial" w:hAnsi="Arial" w:cs="Arial"/>
                <w:b/>
                <w:bCs/>
              </w:rPr>
            </w:pPr>
          </w:p>
          <w:p w14:paraId="57109EE6" w14:textId="77777777" w:rsidR="006668E3" w:rsidRPr="003375B7" w:rsidRDefault="006668E3" w:rsidP="00EC6348">
            <w:pPr>
              <w:rPr>
                <w:rFonts w:ascii="Arial" w:hAnsi="Arial" w:cs="Arial"/>
                <w:b/>
                <w:bCs/>
              </w:rPr>
            </w:pPr>
            <w:r w:rsidRPr="003375B7">
              <w:rPr>
                <w:rFonts w:ascii="Arial" w:hAnsi="Arial" w:cs="Arial"/>
                <w:b/>
                <w:bCs/>
              </w:rPr>
              <w:t>Priority Weighting</w:t>
            </w:r>
          </w:p>
          <w:p w14:paraId="044F425B" w14:textId="4DD1699F" w:rsidR="00640B7F" w:rsidRPr="003375B7" w:rsidRDefault="00982D2A" w:rsidP="00EC6348">
            <w:pPr>
              <w:rPr>
                <w:rFonts w:ascii="Arial" w:hAnsi="Arial" w:cs="Arial"/>
                <w:b/>
                <w:bCs/>
              </w:rPr>
            </w:pPr>
            <w:r w:rsidRPr="003375B7">
              <w:rPr>
                <w:rFonts w:ascii="Arial" w:hAnsi="Arial" w:cs="Arial"/>
                <w:b/>
                <w:bCs/>
              </w:rPr>
              <w:t>6</w:t>
            </w:r>
            <w:r w:rsidR="00A45935" w:rsidRPr="003375B7">
              <w:rPr>
                <w:rFonts w:ascii="Arial" w:hAnsi="Arial" w:cs="Arial"/>
                <w:b/>
                <w:bCs/>
              </w:rPr>
              <w:t>0%</w:t>
            </w:r>
          </w:p>
        </w:tc>
        <w:tc>
          <w:tcPr>
            <w:tcW w:w="8647" w:type="dxa"/>
          </w:tcPr>
          <w:p w14:paraId="1A1D175A" w14:textId="4495C9B2" w:rsidR="00640B7F" w:rsidRPr="003375B7" w:rsidRDefault="006668E3" w:rsidP="00EC6348">
            <w:pPr>
              <w:pStyle w:val="BodyText"/>
              <w:numPr>
                <w:ilvl w:val="0"/>
                <w:numId w:val="7"/>
              </w:numPr>
              <w:spacing w:after="0"/>
              <w:ind w:right="57"/>
              <w:jc w:val="left"/>
              <w:rPr>
                <w:rFonts w:cs="Arial"/>
                <w:sz w:val="22"/>
                <w:szCs w:val="22"/>
              </w:rPr>
            </w:pPr>
            <w:r w:rsidRPr="003375B7">
              <w:rPr>
                <w:rFonts w:cs="Arial"/>
                <w:sz w:val="22"/>
                <w:szCs w:val="22"/>
              </w:rPr>
              <w:t>Lead</w:t>
            </w:r>
            <w:r w:rsidR="00640B7F" w:rsidRPr="003375B7">
              <w:rPr>
                <w:rFonts w:cs="Arial"/>
                <w:sz w:val="22"/>
                <w:szCs w:val="22"/>
              </w:rPr>
              <w:t xml:space="preserve"> the implementation of the Operational Risk Management Framework for the Group.</w:t>
            </w:r>
          </w:p>
          <w:p w14:paraId="69159150" w14:textId="78BFE8A0" w:rsidR="00640B7F" w:rsidRPr="003375B7" w:rsidRDefault="006668E3" w:rsidP="00EC6348">
            <w:pPr>
              <w:pStyle w:val="BodyText"/>
              <w:numPr>
                <w:ilvl w:val="0"/>
                <w:numId w:val="7"/>
              </w:numPr>
              <w:spacing w:after="0"/>
              <w:ind w:right="57"/>
              <w:jc w:val="left"/>
              <w:rPr>
                <w:rFonts w:cs="Arial"/>
                <w:sz w:val="22"/>
                <w:szCs w:val="22"/>
              </w:rPr>
            </w:pPr>
            <w:r w:rsidRPr="003375B7">
              <w:rPr>
                <w:rFonts w:cs="Arial"/>
                <w:sz w:val="22"/>
                <w:szCs w:val="22"/>
              </w:rPr>
              <w:t>Lead and act</w:t>
            </w:r>
            <w:r w:rsidR="00640B7F" w:rsidRPr="003375B7">
              <w:rPr>
                <w:rFonts w:cs="Arial"/>
                <w:sz w:val="22"/>
                <w:szCs w:val="22"/>
              </w:rPr>
              <w:t xml:space="preserve"> as an SME </w:t>
            </w:r>
            <w:r w:rsidRPr="003375B7">
              <w:rPr>
                <w:rFonts w:cs="Arial"/>
                <w:sz w:val="22"/>
                <w:szCs w:val="22"/>
              </w:rPr>
              <w:t xml:space="preserve">to </w:t>
            </w:r>
            <w:r w:rsidR="00640B7F" w:rsidRPr="003375B7">
              <w:rPr>
                <w:rFonts w:cs="Arial"/>
                <w:sz w:val="22"/>
                <w:szCs w:val="22"/>
              </w:rPr>
              <w:t xml:space="preserve">the continuous improvement and development of Framework, Policies, Standards, System, Risk Appetite and Tools </w:t>
            </w:r>
            <w:r w:rsidRPr="003375B7">
              <w:rPr>
                <w:rFonts w:cs="Arial"/>
                <w:sz w:val="22"/>
                <w:szCs w:val="22"/>
              </w:rPr>
              <w:t xml:space="preserve">(including Risk Declaration and other Attestations) </w:t>
            </w:r>
            <w:r w:rsidR="00640B7F" w:rsidRPr="003375B7">
              <w:rPr>
                <w:rFonts w:cs="Arial"/>
                <w:sz w:val="22"/>
                <w:szCs w:val="22"/>
              </w:rPr>
              <w:t>as required.</w:t>
            </w:r>
          </w:p>
          <w:p w14:paraId="29E3A1E7" w14:textId="471E4DF2" w:rsidR="00640B7F" w:rsidRPr="003375B7" w:rsidRDefault="006668E3" w:rsidP="00EC6348">
            <w:pPr>
              <w:pStyle w:val="BodyText"/>
              <w:numPr>
                <w:ilvl w:val="0"/>
                <w:numId w:val="7"/>
              </w:numPr>
              <w:spacing w:after="0"/>
              <w:ind w:right="57"/>
              <w:jc w:val="left"/>
              <w:rPr>
                <w:rFonts w:cs="Arial"/>
                <w:sz w:val="22"/>
                <w:szCs w:val="22"/>
              </w:rPr>
            </w:pPr>
            <w:r w:rsidRPr="003375B7">
              <w:rPr>
                <w:rFonts w:cs="Arial"/>
                <w:sz w:val="22"/>
                <w:szCs w:val="22"/>
              </w:rPr>
              <w:t xml:space="preserve">Lead and act as an SME </w:t>
            </w:r>
            <w:r w:rsidR="00640B7F" w:rsidRPr="003375B7">
              <w:rPr>
                <w:rFonts w:cs="Arial"/>
                <w:sz w:val="22"/>
                <w:szCs w:val="22"/>
              </w:rPr>
              <w:t>to driving the development of standardised risks</w:t>
            </w:r>
            <w:r w:rsidRPr="003375B7">
              <w:rPr>
                <w:rFonts w:cs="Arial"/>
                <w:sz w:val="22"/>
                <w:szCs w:val="22"/>
              </w:rPr>
              <w:t xml:space="preserve"> and control libraries</w:t>
            </w:r>
            <w:r w:rsidR="00640B7F" w:rsidRPr="003375B7">
              <w:rPr>
                <w:rFonts w:cs="Arial"/>
                <w:sz w:val="22"/>
                <w:szCs w:val="22"/>
              </w:rPr>
              <w:t xml:space="preserve"> across BEN and implement supporting enhancements to policies and frameworks.</w:t>
            </w:r>
          </w:p>
          <w:p w14:paraId="6FB15AA6" w14:textId="43D5A588" w:rsidR="006668E3" w:rsidRPr="003375B7" w:rsidRDefault="006668E3" w:rsidP="00EC6348">
            <w:pPr>
              <w:pStyle w:val="BodyText"/>
              <w:numPr>
                <w:ilvl w:val="0"/>
                <w:numId w:val="7"/>
              </w:numPr>
              <w:spacing w:after="0"/>
              <w:ind w:right="57"/>
              <w:jc w:val="left"/>
              <w:rPr>
                <w:rFonts w:cs="Arial"/>
                <w:sz w:val="22"/>
                <w:szCs w:val="22"/>
              </w:rPr>
            </w:pPr>
            <w:r w:rsidRPr="003375B7">
              <w:rPr>
                <w:rFonts w:cs="Arial"/>
                <w:sz w:val="22"/>
                <w:szCs w:val="22"/>
              </w:rPr>
              <w:t xml:space="preserve">Assist with regulatory enquiries as appropriate and assist with project management of regulatory or </w:t>
            </w:r>
            <w:r w:rsidR="00957CD0" w:rsidRPr="003375B7">
              <w:rPr>
                <w:rFonts w:cs="Arial"/>
                <w:sz w:val="22"/>
                <w:szCs w:val="22"/>
              </w:rPr>
              <w:t xml:space="preserve">other </w:t>
            </w:r>
            <w:r w:rsidRPr="003375B7">
              <w:rPr>
                <w:rFonts w:cs="Arial"/>
                <w:sz w:val="22"/>
                <w:szCs w:val="22"/>
              </w:rPr>
              <w:t>related oversight reviews</w:t>
            </w:r>
            <w:r w:rsidR="00957CD0" w:rsidRPr="003375B7">
              <w:rPr>
                <w:rFonts w:cs="Arial"/>
                <w:sz w:val="22"/>
                <w:szCs w:val="22"/>
              </w:rPr>
              <w:t xml:space="preserve"> (</w:t>
            </w:r>
            <w:proofErr w:type="gramStart"/>
            <w:r w:rsidR="00957CD0" w:rsidRPr="003375B7">
              <w:rPr>
                <w:rFonts w:cs="Arial"/>
                <w:sz w:val="22"/>
                <w:szCs w:val="22"/>
              </w:rPr>
              <w:t>e.g.</w:t>
            </w:r>
            <w:proofErr w:type="gramEnd"/>
            <w:r w:rsidR="00957CD0" w:rsidRPr="003375B7">
              <w:rPr>
                <w:rFonts w:cs="Arial"/>
                <w:sz w:val="22"/>
                <w:szCs w:val="22"/>
              </w:rPr>
              <w:t xml:space="preserve"> CPS220 reviews)</w:t>
            </w:r>
            <w:r w:rsidRPr="003375B7">
              <w:rPr>
                <w:rFonts w:cs="Arial"/>
                <w:sz w:val="22"/>
                <w:szCs w:val="22"/>
              </w:rPr>
              <w:t>.</w:t>
            </w:r>
          </w:p>
        </w:tc>
      </w:tr>
      <w:tr w:rsidR="003C30BA" w:rsidRPr="0074063D" w14:paraId="4FFD63B5" w14:textId="77777777" w:rsidTr="00EC6348">
        <w:trPr>
          <w:trHeight w:val="819"/>
        </w:trPr>
        <w:tc>
          <w:tcPr>
            <w:tcW w:w="1838" w:type="dxa"/>
          </w:tcPr>
          <w:p w14:paraId="0A975AD5" w14:textId="77777777" w:rsidR="00034456" w:rsidRPr="003375B7" w:rsidRDefault="00B06FFC" w:rsidP="00EC6348">
            <w:pPr>
              <w:rPr>
                <w:rFonts w:ascii="Arial" w:hAnsi="Arial" w:cs="Arial"/>
                <w:b/>
                <w:bCs/>
              </w:rPr>
            </w:pPr>
            <w:r w:rsidRPr="003375B7">
              <w:rPr>
                <w:rFonts w:ascii="Arial" w:hAnsi="Arial" w:cs="Arial"/>
                <w:b/>
                <w:bCs/>
              </w:rPr>
              <w:t xml:space="preserve">Business Engagement </w:t>
            </w:r>
          </w:p>
          <w:p w14:paraId="4E9D2D8A" w14:textId="77777777" w:rsidR="00034456" w:rsidRPr="003375B7" w:rsidRDefault="00034456" w:rsidP="00EC6348">
            <w:pPr>
              <w:rPr>
                <w:rFonts w:ascii="Arial" w:hAnsi="Arial" w:cs="Arial"/>
                <w:b/>
                <w:bCs/>
              </w:rPr>
            </w:pPr>
          </w:p>
          <w:p w14:paraId="557D37EE" w14:textId="77777777" w:rsidR="003C30BA" w:rsidRPr="003375B7" w:rsidRDefault="00B06FFC" w:rsidP="00EC6348">
            <w:pPr>
              <w:rPr>
                <w:rFonts w:ascii="Arial" w:hAnsi="Arial" w:cs="Arial"/>
                <w:b/>
                <w:bCs/>
              </w:rPr>
            </w:pPr>
            <w:r w:rsidRPr="003375B7">
              <w:rPr>
                <w:rFonts w:ascii="Arial" w:hAnsi="Arial" w:cs="Arial"/>
                <w:b/>
                <w:bCs/>
              </w:rPr>
              <w:t>– Understanding the Risk Landscape</w:t>
            </w:r>
            <w:r w:rsidR="00670A5A" w:rsidRPr="003375B7">
              <w:rPr>
                <w:rFonts w:ascii="Arial" w:hAnsi="Arial" w:cs="Arial"/>
                <w:b/>
                <w:bCs/>
              </w:rPr>
              <w:t xml:space="preserve"> (internally and externally)</w:t>
            </w:r>
            <w:r w:rsidRPr="003375B7">
              <w:rPr>
                <w:rFonts w:ascii="Arial" w:hAnsi="Arial" w:cs="Arial"/>
                <w:b/>
                <w:bCs/>
              </w:rPr>
              <w:t xml:space="preserve">, </w:t>
            </w:r>
            <w:r w:rsidR="00670A5A" w:rsidRPr="003375B7">
              <w:rPr>
                <w:rFonts w:ascii="Arial" w:hAnsi="Arial" w:cs="Arial"/>
                <w:b/>
                <w:bCs/>
              </w:rPr>
              <w:t>Collaboration with other Risk Functions, P</w:t>
            </w:r>
            <w:r w:rsidRPr="003375B7">
              <w:rPr>
                <w:rFonts w:ascii="Arial" w:hAnsi="Arial" w:cs="Arial"/>
                <w:b/>
                <w:bCs/>
              </w:rPr>
              <w:t>rovision of Advice, Insights and Reporting</w:t>
            </w:r>
          </w:p>
          <w:p w14:paraId="274F0A48" w14:textId="77777777" w:rsidR="00034456" w:rsidRPr="003375B7" w:rsidRDefault="00034456" w:rsidP="00EC6348">
            <w:pPr>
              <w:rPr>
                <w:rFonts w:ascii="Arial" w:hAnsi="Arial" w:cs="Arial"/>
                <w:b/>
                <w:bCs/>
              </w:rPr>
            </w:pPr>
          </w:p>
          <w:p w14:paraId="0D88C16A" w14:textId="77777777" w:rsidR="004F4C58" w:rsidRPr="003375B7" w:rsidRDefault="004F4C58" w:rsidP="00EC6348">
            <w:pPr>
              <w:rPr>
                <w:rFonts w:ascii="Arial" w:hAnsi="Arial" w:cs="Arial"/>
                <w:b/>
                <w:bCs/>
              </w:rPr>
            </w:pPr>
            <w:r w:rsidRPr="003375B7">
              <w:rPr>
                <w:rFonts w:ascii="Arial" w:hAnsi="Arial" w:cs="Arial"/>
                <w:b/>
                <w:bCs/>
              </w:rPr>
              <w:t>Priority Weighting</w:t>
            </w:r>
          </w:p>
          <w:p w14:paraId="4AD02C8F" w14:textId="1CC25DB1" w:rsidR="00034456" w:rsidRPr="003375B7" w:rsidRDefault="00A45935" w:rsidP="00EC6348">
            <w:pPr>
              <w:rPr>
                <w:rFonts w:ascii="Arial" w:hAnsi="Arial" w:cs="Arial"/>
                <w:b/>
                <w:bCs/>
              </w:rPr>
            </w:pPr>
            <w:r w:rsidRPr="003375B7">
              <w:rPr>
                <w:rFonts w:ascii="Arial" w:hAnsi="Arial" w:cs="Arial"/>
                <w:b/>
                <w:bCs/>
              </w:rPr>
              <w:t>-20%</w:t>
            </w:r>
          </w:p>
        </w:tc>
        <w:tc>
          <w:tcPr>
            <w:tcW w:w="8647" w:type="dxa"/>
          </w:tcPr>
          <w:p w14:paraId="7283E065" w14:textId="34F446A9" w:rsidR="00B06FFC" w:rsidRPr="003375B7" w:rsidRDefault="00B06FFC" w:rsidP="00EC6348">
            <w:pPr>
              <w:pStyle w:val="BodyText"/>
              <w:numPr>
                <w:ilvl w:val="0"/>
                <w:numId w:val="7"/>
              </w:numPr>
              <w:spacing w:after="0"/>
              <w:ind w:right="57"/>
              <w:jc w:val="left"/>
              <w:rPr>
                <w:rFonts w:cs="Arial"/>
                <w:sz w:val="22"/>
                <w:szCs w:val="22"/>
              </w:rPr>
            </w:pPr>
            <w:r w:rsidRPr="003375B7">
              <w:rPr>
                <w:rFonts w:cs="Arial"/>
                <w:sz w:val="22"/>
                <w:szCs w:val="22"/>
              </w:rPr>
              <w:t>Act as a key contact point for one or many business functions.</w:t>
            </w:r>
          </w:p>
          <w:p w14:paraId="60EC2989" w14:textId="77777777" w:rsidR="00CB0AAB" w:rsidRPr="003375B7" w:rsidRDefault="00CB0AAB" w:rsidP="00EC6348">
            <w:pPr>
              <w:pStyle w:val="BodyText"/>
              <w:numPr>
                <w:ilvl w:val="0"/>
                <w:numId w:val="7"/>
              </w:numPr>
              <w:spacing w:after="0"/>
              <w:ind w:right="57"/>
              <w:jc w:val="left"/>
              <w:rPr>
                <w:rFonts w:cs="Arial"/>
                <w:sz w:val="22"/>
                <w:szCs w:val="22"/>
              </w:rPr>
            </w:pPr>
            <w:r w:rsidRPr="003375B7">
              <w:rPr>
                <w:rFonts w:cs="Arial"/>
                <w:sz w:val="22"/>
                <w:szCs w:val="22"/>
              </w:rPr>
              <w:t>Aid the business to develop and implement strategies for improving risk and compliance management practices.</w:t>
            </w:r>
          </w:p>
          <w:p w14:paraId="5F02609B" w14:textId="7C73519D" w:rsidR="00CB0AAB" w:rsidRPr="003375B7" w:rsidRDefault="00CB0AAB" w:rsidP="00EC6348">
            <w:pPr>
              <w:pStyle w:val="BodyText"/>
              <w:numPr>
                <w:ilvl w:val="0"/>
                <w:numId w:val="7"/>
              </w:numPr>
              <w:spacing w:after="0"/>
              <w:ind w:right="57"/>
              <w:jc w:val="left"/>
              <w:rPr>
                <w:rFonts w:cs="Arial"/>
                <w:sz w:val="22"/>
                <w:szCs w:val="22"/>
              </w:rPr>
            </w:pPr>
            <w:r w:rsidRPr="003375B7">
              <w:rPr>
                <w:rFonts w:cs="Arial"/>
                <w:sz w:val="22"/>
                <w:szCs w:val="22"/>
              </w:rPr>
              <w:t>Develop and maintain valued relationships with relevant areas of Group Operational Risk and other 2LoD functions as well as relevant business stakeholders.</w:t>
            </w:r>
          </w:p>
          <w:p w14:paraId="449766F3" w14:textId="60765CAC" w:rsidR="00034456" w:rsidRPr="003375B7" w:rsidRDefault="00034456" w:rsidP="00EC6348">
            <w:pPr>
              <w:pStyle w:val="BodyText"/>
              <w:numPr>
                <w:ilvl w:val="0"/>
                <w:numId w:val="7"/>
              </w:numPr>
              <w:spacing w:after="0"/>
              <w:ind w:right="57"/>
              <w:jc w:val="left"/>
              <w:rPr>
                <w:rFonts w:cs="Arial"/>
                <w:sz w:val="22"/>
                <w:szCs w:val="22"/>
              </w:rPr>
            </w:pPr>
            <w:r w:rsidRPr="003375B7">
              <w:rPr>
                <w:rFonts w:cs="Arial"/>
                <w:sz w:val="22"/>
                <w:szCs w:val="22"/>
              </w:rPr>
              <w:t xml:space="preserve">Provide the business with pragmatic and balanced risk advice and insights to assist in achieving objectives whilst </w:t>
            </w:r>
            <w:r w:rsidR="00EC6348" w:rsidRPr="003375B7">
              <w:rPr>
                <w:rFonts w:cs="Arial"/>
                <w:sz w:val="22"/>
                <w:szCs w:val="22"/>
              </w:rPr>
              <w:t>considering</w:t>
            </w:r>
            <w:r w:rsidRPr="003375B7">
              <w:rPr>
                <w:rFonts w:cs="Arial"/>
                <w:sz w:val="22"/>
                <w:szCs w:val="22"/>
              </w:rPr>
              <w:t xml:space="preserve"> frame</w:t>
            </w:r>
            <w:r w:rsidR="00A45935" w:rsidRPr="003375B7">
              <w:rPr>
                <w:rFonts w:cs="Arial"/>
                <w:sz w:val="22"/>
                <w:szCs w:val="22"/>
              </w:rPr>
              <w:t>wo</w:t>
            </w:r>
            <w:r w:rsidRPr="003375B7">
              <w:rPr>
                <w:rFonts w:cs="Arial"/>
                <w:sz w:val="22"/>
                <w:szCs w:val="22"/>
              </w:rPr>
              <w:t>rk/policy, risk/reward aspects, risk appetite and legal parameters.</w:t>
            </w:r>
          </w:p>
          <w:p w14:paraId="5DFE0541" w14:textId="4F92DF1C" w:rsidR="00B06FFC" w:rsidRPr="003375B7" w:rsidRDefault="00CB0AAB" w:rsidP="00EC6348">
            <w:pPr>
              <w:pStyle w:val="BodyText"/>
              <w:numPr>
                <w:ilvl w:val="0"/>
                <w:numId w:val="7"/>
              </w:numPr>
              <w:spacing w:after="0"/>
              <w:ind w:right="57"/>
              <w:jc w:val="left"/>
              <w:rPr>
                <w:rFonts w:cs="Arial"/>
                <w:sz w:val="22"/>
                <w:szCs w:val="22"/>
              </w:rPr>
            </w:pPr>
            <w:r w:rsidRPr="003375B7">
              <w:rPr>
                <w:rFonts w:cs="Arial"/>
                <w:sz w:val="22"/>
                <w:szCs w:val="22"/>
              </w:rPr>
              <w:t>Lead the r</w:t>
            </w:r>
            <w:r w:rsidR="00B06FFC" w:rsidRPr="003375B7">
              <w:rPr>
                <w:rFonts w:cs="Arial"/>
                <w:sz w:val="22"/>
                <w:szCs w:val="22"/>
              </w:rPr>
              <w:t xml:space="preserve">eview of risk data, associated frameworks and policies, risk appetite, internal and external loss data, scenario analysis and controls to form opinions and a basis of further enquiry. </w:t>
            </w:r>
          </w:p>
          <w:p w14:paraId="7800925D" w14:textId="2710E4FC" w:rsidR="00670A5A" w:rsidRPr="003375B7" w:rsidRDefault="00B06FFC" w:rsidP="00EC6348">
            <w:pPr>
              <w:pStyle w:val="BodyText"/>
              <w:numPr>
                <w:ilvl w:val="0"/>
                <w:numId w:val="7"/>
              </w:numPr>
              <w:spacing w:after="0"/>
              <w:ind w:right="57"/>
              <w:jc w:val="left"/>
              <w:rPr>
                <w:rFonts w:cs="Arial"/>
                <w:sz w:val="22"/>
                <w:szCs w:val="22"/>
              </w:rPr>
            </w:pPr>
            <w:r w:rsidRPr="003375B7">
              <w:rPr>
                <w:rFonts w:cs="Arial"/>
                <w:sz w:val="22"/>
                <w:szCs w:val="22"/>
              </w:rPr>
              <w:t xml:space="preserve">Investigate trends </w:t>
            </w:r>
            <w:r w:rsidR="00670A5A" w:rsidRPr="003375B7">
              <w:rPr>
                <w:rFonts w:cs="Arial"/>
                <w:sz w:val="22"/>
                <w:szCs w:val="22"/>
              </w:rPr>
              <w:t xml:space="preserve">in the internal/external environment on non-financial risk matters and communicate internally within GOR and </w:t>
            </w:r>
            <w:r w:rsidRPr="003375B7">
              <w:rPr>
                <w:rFonts w:cs="Arial"/>
                <w:sz w:val="22"/>
                <w:szCs w:val="22"/>
              </w:rPr>
              <w:t>to business</w:t>
            </w:r>
            <w:r w:rsidR="00670A5A" w:rsidRPr="003375B7">
              <w:rPr>
                <w:rFonts w:cs="Arial"/>
                <w:sz w:val="22"/>
                <w:szCs w:val="22"/>
              </w:rPr>
              <w:t xml:space="preserve"> stakeholders showing how these insights apply to their business</w:t>
            </w:r>
            <w:r w:rsidRPr="003375B7">
              <w:rPr>
                <w:rFonts w:cs="Arial"/>
                <w:sz w:val="22"/>
                <w:szCs w:val="22"/>
              </w:rPr>
              <w:t>.</w:t>
            </w:r>
          </w:p>
          <w:p w14:paraId="747E3FC3" w14:textId="144E4AEB" w:rsidR="00670A5A" w:rsidRPr="003375B7" w:rsidRDefault="00670A5A" w:rsidP="00EC6348">
            <w:pPr>
              <w:pStyle w:val="BodyText"/>
              <w:numPr>
                <w:ilvl w:val="0"/>
                <w:numId w:val="7"/>
              </w:numPr>
              <w:spacing w:after="0"/>
              <w:ind w:right="57"/>
              <w:jc w:val="left"/>
              <w:rPr>
                <w:rFonts w:cs="Arial"/>
                <w:sz w:val="22"/>
                <w:szCs w:val="22"/>
              </w:rPr>
            </w:pPr>
            <w:r w:rsidRPr="003375B7">
              <w:rPr>
                <w:rFonts w:cs="Arial"/>
                <w:sz w:val="22"/>
                <w:szCs w:val="22"/>
              </w:rPr>
              <w:t>Work collaboratively with other 2LoD functions (</w:t>
            </w:r>
            <w:r w:rsidR="00EC6348" w:rsidRPr="003375B7">
              <w:rPr>
                <w:rFonts w:cs="Arial"/>
                <w:sz w:val="22"/>
                <w:szCs w:val="22"/>
              </w:rPr>
              <w:t>e.g.,</w:t>
            </w:r>
            <w:r w:rsidRPr="003375B7">
              <w:rPr>
                <w:rFonts w:cs="Arial"/>
                <w:sz w:val="22"/>
                <w:szCs w:val="22"/>
              </w:rPr>
              <w:t xml:space="preserve"> Group Regulatory Compliance and Financial Crime Risk) to help form consistent views and risk insights.</w:t>
            </w:r>
          </w:p>
          <w:p w14:paraId="3343E407" w14:textId="28E031E0" w:rsidR="000A034F" w:rsidRPr="003375B7" w:rsidRDefault="00B06FFC" w:rsidP="00EC6348">
            <w:pPr>
              <w:pStyle w:val="BodyText"/>
              <w:numPr>
                <w:ilvl w:val="0"/>
                <w:numId w:val="7"/>
              </w:numPr>
              <w:spacing w:after="0"/>
              <w:ind w:right="57"/>
              <w:jc w:val="left"/>
              <w:rPr>
                <w:rFonts w:cs="Arial"/>
                <w:sz w:val="22"/>
                <w:szCs w:val="22"/>
              </w:rPr>
            </w:pPr>
            <w:r w:rsidRPr="003375B7">
              <w:rPr>
                <w:rFonts w:cs="Arial"/>
                <w:sz w:val="22"/>
                <w:szCs w:val="22"/>
              </w:rPr>
              <w:t>Prepare and present reports (</w:t>
            </w:r>
            <w:r w:rsidR="00EC6348" w:rsidRPr="003375B7">
              <w:rPr>
                <w:rFonts w:cs="Arial"/>
                <w:sz w:val="22"/>
                <w:szCs w:val="22"/>
              </w:rPr>
              <w:t>e.g.,</w:t>
            </w:r>
            <w:r w:rsidRPr="003375B7">
              <w:rPr>
                <w:rFonts w:cs="Arial"/>
                <w:sz w:val="22"/>
                <w:szCs w:val="22"/>
              </w:rPr>
              <w:t xml:space="preserve"> summaries of oversight outcomes) to Division Risk Committees, Monthly Risk Forums, Operational Risk Committee (ORC) and Board Risk Committee (BRC) on all facets of non-financial risk across the Group.</w:t>
            </w:r>
          </w:p>
          <w:p w14:paraId="2F4A49C9" w14:textId="7167B97D" w:rsidR="00B06FFC" w:rsidRPr="003375B7" w:rsidRDefault="00B06FFC" w:rsidP="00EC6348">
            <w:pPr>
              <w:tabs>
                <w:tab w:val="left" w:pos="-5212"/>
              </w:tabs>
              <w:ind w:left="360"/>
              <w:rPr>
                <w:rFonts w:ascii="Arial" w:hAnsi="Arial" w:cs="Arial"/>
              </w:rPr>
            </w:pPr>
          </w:p>
        </w:tc>
      </w:tr>
      <w:tr w:rsidR="00972E2D" w:rsidRPr="0074063D" w14:paraId="6DB88973" w14:textId="77777777" w:rsidTr="00EC6348">
        <w:trPr>
          <w:trHeight w:val="74"/>
        </w:trPr>
        <w:tc>
          <w:tcPr>
            <w:tcW w:w="1838" w:type="dxa"/>
          </w:tcPr>
          <w:p w14:paraId="0EAF8820" w14:textId="77777777" w:rsidR="00972E2D" w:rsidRPr="003375B7" w:rsidRDefault="00972E2D" w:rsidP="00EC6348">
            <w:pPr>
              <w:rPr>
                <w:rFonts w:ascii="Arial" w:hAnsi="Arial" w:cs="Arial"/>
                <w:b/>
                <w:bCs/>
              </w:rPr>
            </w:pPr>
            <w:r w:rsidRPr="003375B7">
              <w:rPr>
                <w:rFonts w:ascii="Arial" w:hAnsi="Arial" w:cs="Arial"/>
                <w:b/>
                <w:bCs/>
              </w:rPr>
              <w:t>Performing Monitoring and Oversight of Operational Risk</w:t>
            </w:r>
          </w:p>
          <w:p w14:paraId="7F05EF6A" w14:textId="77777777" w:rsidR="00972E2D" w:rsidRPr="003375B7" w:rsidRDefault="00972E2D" w:rsidP="00EC6348">
            <w:pPr>
              <w:rPr>
                <w:rFonts w:ascii="Arial" w:hAnsi="Arial" w:cs="Arial"/>
                <w:b/>
                <w:bCs/>
              </w:rPr>
            </w:pPr>
          </w:p>
          <w:p w14:paraId="21BEB3C4" w14:textId="77777777" w:rsidR="00972E2D" w:rsidRPr="003375B7" w:rsidRDefault="00972E2D" w:rsidP="00EC6348">
            <w:pPr>
              <w:rPr>
                <w:rFonts w:ascii="Arial" w:hAnsi="Arial" w:cs="Arial"/>
                <w:b/>
                <w:bCs/>
              </w:rPr>
            </w:pPr>
            <w:r w:rsidRPr="003375B7">
              <w:rPr>
                <w:rFonts w:ascii="Arial" w:hAnsi="Arial" w:cs="Arial"/>
                <w:b/>
                <w:bCs/>
              </w:rPr>
              <w:t>Priority Weighting</w:t>
            </w:r>
          </w:p>
          <w:p w14:paraId="7CB13D3A" w14:textId="2C031C3A" w:rsidR="00972E2D" w:rsidRPr="003375B7" w:rsidRDefault="00972E2D" w:rsidP="00EC6348">
            <w:pPr>
              <w:rPr>
                <w:rFonts w:ascii="Arial" w:hAnsi="Arial" w:cs="Arial"/>
                <w:b/>
                <w:bCs/>
              </w:rPr>
            </w:pPr>
            <w:r w:rsidRPr="003375B7">
              <w:rPr>
                <w:rFonts w:ascii="Arial" w:hAnsi="Arial" w:cs="Arial"/>
                <w:b/>
                <w:bCs/>
              </w:rPr>
              <w:t>10%</w:t>
            </w:r>
          </w:p>
        </w:tc>
        <w:tc>
          <w:tcPr>
            <w:tcW w:w="8647" w:type="dxa"/>
          </w:tcPr>
          <w:p w14:paraId="0E5EB57D" w14:textId="77777777" w:rsidR="00972E2D" w:rsidRPr="003375B7" w:rsidRDefault="00972E2D" w:rsidP="00EC6348">
            <w:pPr>
              <w:pStyle w:val="BodyText"/>
              <w:numPr>
                <w:ilvl w:val="0"/>
                <w:numId w:val="7"/>
              </w:numPr>
              <w:spacing w:after="0"/>
              <w:ind w:right="57"/>
              <w:jc w:val="left"/>
              <w:rPr>
                <w:rFonts w:cs="Arial"/>
                <w:sz w:val="22"/>
                <w:szCs w:val="22"/>
              </w:rPr>
            </w:pPr>
            <w:r w:rsidRPr="003375B7">
              <w:rPr>
                <w:rFonts w:cs="Arial"/>
                <w:sz w:val="22"/>
                <w:szCs w:val="22"/>
              </w:rPr>
              <w:t>Lead and develop a centralised capability of oversight using a data driven and risk-based approach on 1LOD ORMF hygiene areas highlighting exceptions (where appropriate) for the business to action to ensure appropriate execution of the ORMF and related policies/standards.  Central oversight activities will align to the types of activities that are articulated in the Oversight Standard.</w:t>
            </w:r>
          </w:p>
          <w:p w14:paraId="62653CC6" w14:textId="77777777" w:rsidR="00972E2D" w:rsidRPr="003375B7" w:rsidRDefault="00972E2D" w:rsidP="00EC6348">
            <w:pPr>
              <w:pStyle w:val="BodyText"/>
              <w:numPr>
                <w:ilvl w:val="0"/>
                <w:numId w:val="7"/>
              </w:numPr>
              <w:spacing w:after="0"/>
              <w:ind w:right="57"/>
              <w:jc w:val="left"/>
              <w:rPr>
                <w:rFonts w:cs="Arial"/>
                <w:sz w:val="22"/>
                <w:szCs w:val="22"/>
              </w:rPr>
            </w:pPr>
            <w:r w:rsidRPr="003375B7">
              <w:rPr>
                <w:rFonts w:cs="Arial"/>
                <w:sz w:val="22"/>
                <w:szCs w:val="22"/>
              </w:rPr>
              <w:t>Challenge business operations as and where appropriate on risk management activities and practices.</w:t>
            </w:r>
          </w:p>
          <w:p w14:paraId="60D952E4" w14:textId="77777777" w:rsidR="00972E2D" w:rsidRPr="003375B7" w:rsidRDefault="00972E2D" w:rsidP="00EC6348">
            <w:pPr>
              <w:pStyle w:val="BodyText"/>
              <w:numPr>
                <w:ilvl w:val="0"/>
                <w:numId w:val="7"/>
              </w:numPr>
              <w:spacing w:after="0"/>
              <w:ind w:right="57"/>
              <w:jc w:val="left"/>
              <w:rPr>
                <w:rFonts w:cs="Arial"/>
                <w:sz w:val="22"/>
                <w:szCs w:val="22"/>
              </w:rPr>
            </w:pPr>
            <w:r w:rsidRPr="003375B7">
              <w:rPr>
                <w:rFonts w:cs="Arial"/>
                <w:sz w:val="22"/>
                <w:szCs w:val="22"/>
              </w:rPr>
              <w:t>Provide oversight of business risk practices to ensure the ORMF accountabilities are embedded, highlighting gaps and improvement ideas and escalate issues as required under the ORMF.</w:t>
            </w:r>
          </w:p>
          <w:p w14:paraId="0C4DE24D" w14:textId="184BF623" w:rsidR="00972E2D" w:rsidRPr="003375B7" w:rsidRDefault="00972E2D" w:rsidP="00EC6348">
            <w:pPr>
              <w:pStyle w:val="BodyText"/>
              <w:numPr>
                <w:ilvl w:val="0"/>
                <w:numId w:val="7"/>
              </w:numPr>
              <w:spacing w:after="0"/>
              <w:ind w:right="57"/>
              <w:jc w:val="left"/>
              <w:rPr>
                <w:rFonts w:cs="Arial"/>
                <w:sz w:val="22"/>
                <w:szCs w:val="22"/>
              </w:rPr>
            </w:pPr>
            <w:r w:rsidRPr="003375B7">
              <w:rPr>
                <w:rFonts w:cs="Arial"/>
                <w:sz w:val="22"/>
                <w:szCs w:val="22"/>
              </w:rPr>
              <w:t>Liaise closely with other 2LoD functions (</w:t>
            </w:r>
            <w:r w:rsidR="00EC6348" w:rsidRPr="003375B7">
              <w:rPr>
                <w:rFonts w:cs="Arial"/>
                <w:sz w:val="22"/>
                <w:szCs w:val="22"/>
              </w:rPr>
              <w:t>e.g.,</w:t>
            </w:r>
            <w:r w:rsidRPr="003375B7">
              <w:rPr>
                <w:rFonts w:cs="Arial"/>
                <w:sz w:val="22"/>
                <w:szCs w:val="22"/>
              </w:rPr>
              <w:t xml:space="preserve"> Group Regulatory Compliance and Financial Crime Risk) to ensure consistency and alignment in oversight approach.</w:t>
            </w:r>
          </w:p>
          <w:p w14:paraId="3686D57A" w14:textId="22EF65E9" w:rsidR="00972E2D" w:rsidRPr="003375B7" w:rsidRDefault="00972E2D" w:rsidP="00EC6348">
            <w:pPr>
              <w:pStyle w:val="BodyText"/>
              <w:numPr>
                <w:ilvl w:val="0"/>
                <w:numId w:val="7"/>
              </w:numPr>
              <w:spacing w:after="0"/>
              <w:ind w:right="57"/>
              <w:jc w:val="left"/>
              <w:rPr>
                <w:rFonts w:cs="Arial"/>
                <w:sz w:val="22"/>
                <w:szCs w:val="22"/>
              </w:rPr>
            </w:pPr>
            <w:r w:rsidRPr="003375B7">
              <w:rPr>
                <w:rFonts w:cs="Arial"/>
                <w:sz w:val="22"/>
                <w:szCs w:val="22"/>
              </w:rPr>
              <w:t>Ensure outcomes of oversight activities are communicated in a professional manner.</w:t>
            </w:r>
          </w:p>
        </w:tc>
      </w:tr>
      <w:tr w:rsidR="00C23C79" w:rsidRPr="0074063D" w14:paraId="3D98ED5B" w14:textId="77777777" w:rsidTr="00EC6348">
        <w:trPr>
          <w:trHeight w:val="74"/>
        </w:trPr>
        <w:tc>
          <w:tcPr>
            <w:tcW w:w="1838" w:type="dxa"/>
          </w:tcPr>
          <w:p w14:paraId="1C7A462E" w14:textId="77777777" w:rsidR="00C23C79" w:rsidRPr="00EC6348" w:rsidRDefault="00C23C79" w:rsidP="00EC6348">
            <w:pPr>
              <w:rPr>
                <w:rFonts w:ascii="Arial" w:hAnsi="Arial" w:cs="Arial"/>
                <w:b/>
                <w:bCs/>
              </w:rPr>
            </w:pPr>
            <w:r w:rsidRPr="00EC6348">
              <w:rPr>
                <w:rFonts w:ascii="Arial" w:hAnsi="Arial" w:cs="Arial"/>
                <w:b/>
                <w:bCs/>
              </w:rPr>
              <w:t>Operational Risk Strategic Projects</w:t>
            </w:r>
          </w:p>
          <w:p w14:paraId="76A353BC" w14:textId="407E083D" w:rsidR="00982D2A" w:rsidRPr="00EC6348" w:rsidRDefault="00982D2A" w:rsidP="00EC6348">
            <w:pPr>
              <w:rPr>
                <w:rFonts w:ascii="Arial" w:hAnsi="Arial" w:cs="Arial"/>
                <w:b/>
                <w:bCs/>
              </w:rPr>
            </w:pPr>
            <w:r w:rsidRPr="00EC6348">
              <w:rPr>
                <w:rFonts w:ascii="Arial" w:hAnsi="Arial" w:cs="Arial"/>
                <w:b/>
                <w:bCs/>
              </w:rPr>
              <w:lastRenderedPageBreak/>
              <w:t>10%</w:t>
            </w:r>
          </w:p>
        </w:tc>
        <w:tc>
          <w:tcPr>
            <w:tcW w:w="8647" w:type="dxa"/>
          </w:tcPr>
          <w:p w14:paraId="1FE1F2CF" w14:textId="4345EEEE" w:rsidR="000A034F" w:rsidRPr="00EC6348" w:rsidRDefault="00C23C79" w:rsidP="00EC6348">
            <w:pPr>
              <w:pStyle w:val="BodyText"/>
              <w:numPr>
                <w:ilvl w:val="0"/>
                <w:numId w:val="7"/>
              </w:numPr>
              <w:spacing w:after="0"/>
              <w:ind w:right="57"/>
              <w:jc w:val="left"/>
              <w:rPr>
                <w:rFonts w:cs="Arial"/>
                <w:sz w:val="22"/>
                <w:szCs w:val="22"/>
              </w:rPr>
            </w:pPr>
            <w:r w:rsidRPr="00EC6348">
              <w:rPr>
                <w:rFonts w:cs="Arial"/>
                <w:sz w:val="22"/>
                <w:szCs w:val="22"/>
              </w:rPr>
              <w:lastRenderedPageBreak/>
              <w:t xml:space="preserve">Oversee </w:t>
            </w:r>
            <w:r w:rsidR="0083368F" w:rsidRPr="00EC6348">
              <w:rPr>
                <w:rFonts w:cs="Arial"/>
                <w:sz w:val="22"/>
                <w:szCs w:val="22"/>
              </w:rPr>
              <w:t>and deliver</w:t>
            </w:r>
            <w:r w:rsidRPr="00EC6348">
              <w:rPr>
                <w:rFonts w:cs="Arial"/>
                <w:sz w:val="22"/>
                <w:szCs w:val="22"/>
              </w:rPr>
              <w:t xml:space="preserve"> GOR strategic </w:t>
            </w:r>
            <w:r w:rsidR="0083368F" w:rsidRPr="00EC6348">
              <w:rPr>
                <w:rFonts w:cs="Arial"/>
                <w:sz w:val="22"/>
                <w:szCs w:val="22"/>
              </w:rPr>
              <w:t xml:space="preserve">or special </w:t>
            </w:r>
            <w:r w:rsidRPr="00EC6348">
              <w:rPr>
                <w:rFonts w:cs="Arial"/>
                <w:sz w:val="22"/>
                <w:szCs w:val="22"/>
              </w:rPr>
              <w:t xml:space="preserve">projects and initiatives </w:t>
            </w:r>
            <w:r w:rsidR="0083368F" w:rsidRPr="00EC6348">
              <w:rPr>
                <w:rFonts w:cs="Arial"/>
                <w:sz w:val="22"/>
                <w:szCs w:val="22"/>
              </w:rPr>
              <w:t>including</w:t>
            </w:r>
            <w:r w:rsidRPr="00EC6348">
              <w:rPr>
                <w:rFonts w:cs="Arial"/>
                <w:sz w:val="22"/>
                <w:szCs w:val="22"/>
              </w:rPr>
              <w:t xml:space="preserve"> ‘one-off’ special projects</w:t>
            </w:r>
            <w:r w:rsidR="000A034F" w:rsidRPr="00EC6348">
              <w:rPr>
                <w:rFonts w:cs="Arial"/>
                <w:sz w:val="22"/>
                <w:szCs w:val="22"/>
              </w:rPr>
              <w:t>/Charters as directed.</w:t>
            </w:r>
          </w:p>
          <w:p w14:paraId="72D056A5" w14:textId="19C52724" w:rsidR="0083368F" w:rsidRPr="00EC6348" w:rsidRDefault="0083368F" w:rsidP="00EC6348">
            <w:pPr>
              <w:pStyle w:val="BodyText"/>
              <w:numPr>
                <w:ilvl w:val="0"/>
                <w:numId w:val="7"/>
              </w:numPr>
              <w:spacing w:after="0"/>
              <w:ind w:right="57"/>
              <w:jc w:val="left"/>
              <w:rPr>
                <w:rFonts w:cs="Arial"/>
              </w:rPr>
            </w:pPr>
            <w:r w:rsidRPr="00EC6348">
              <w:rPr>
                <w:rFonts w:cs="Arial"/>
                <w:sz w:val="22"/>
                <w:szCs w:val="22"/>
              </w:rPr>
              <w:lastRenderedPageBreak/>
              <w:t>Problem solve and engage others collaboratively to deliver the implementation of projects</w:t>
            </w:r>
            <w:r w:rsidR="00C23C79" w:rsidRPr="00EC6348">
              <w:rPr>
                <w:rFonts w:cs="Arial"/>
                <w:sz w:val="22"/>
                <w:szCs w:val="22"/>
              </w:rPr>
              <w:t>.</w:t>
            </w:r>
          </w:p>
        </w:tc>
      </w:tr>
      <w:tr w:rsidR="0074063D" w:rsidRPr="0074063D" w14:paraId="61A0229C" w14:textId="77777777" w:rsidTr="007E794E">
        <w:trPr>
          <w:trHeight w:val="1020"/>
        </w:trPr>
        <w:tc>
          <w:tcPr>
            <w:tcW w:w="1838" w:type="dxa"/>
          </w:tcPr>
          <w:p w14:paraId="072A4A95" w14:textId="77777777" w:rsidR="0074063D" w:rsidRDefault="0074063D" w:rsidP="00EC6348">
            <w:pPr>
              <w:rPr>
                <w:rFonts w:ascii="Arial" w:hAnsi="Arial" w:cs="Arial"/>
                <w:b/>
                <w:bCs/>
              </w:rPr>
            </w:pPr>
            <w:r w:rsidRPr="0074063D">
              <w:rPr>
                <w:rFonts w:ascii="Arial" w:hAnsi="Arial" w:cs="Arial"/>
                <w:b/>
                <w:bCs/>
              </w:rPr>
              <w:lastRenderedPageBreak/>
              <w:t>Education and Training</w:t>
            </w:r>
          </w:p>
          <w:p w14:paraId="1CDA2659" w14:textId="17319B7D" w:rsidR="00982D2A" w:rsidRPr="0074063D" w:rsidRDefault="00982D2A" w:rsidP="00EC6348">
            <w:pPr>
              <w:rPr>
                <w:rFonts w:ascii="Arial" w:hAnsi="Arial" w:cs="Arial"/>
                <w:b/>
                <w:bCs/>
              </w:rPr>
            </w:pPr>
            <w:r>
              <w:rPr>
                <w:rFonts w:ascii="Arial" w:hAnsi="Arial" w:cs="Arial"/>
                <w:b/>
                <w:bCs/>
              </w:rPr>
              <w:t>10%</w:t>
            </w:r>
          </w:p>
        </w:tc>
        <w:tc>
          <w:tcPr>
            <w:tcW w:w="8647" w:type="dxa"/>
          </w:tcPr>
          <w:p w14:paraId="575CA080" w14:textId="2B8B8FBC" w:rsidR="0074063D" w:rsidRPr="00034456" w:rsidRDefault="0074063D" w:rsidP="00EC6348">
            <w:pPr>
              <w:pStyle w:val="BodyText"/>
              <w:numPr>
                <w:ilvl w:val="0"/>
                <w:numId w:val="7"/>
              </w:numPr>
              <w:spacing w:after="0"/>
              <w:ind w:right="57"/>
              <w:jc w:val="left"/>
              <w:rPr>
                <w:rFonts w:cs="Arial"/>
                <w:sz w:val="22"/>
                <w:szCs w:val="22"/>
              </w:rPr>
            </w:pPr>
            <w:r w:rsidRPr="00034456">
              <w:rPr>
                <w:rFonts w:cs="Arial"/>
                <w:sz w:val="22"/>
                <w:szCs w:val="22"/>
              </w:rPr>
              <w:t xml:space="preserve">Provide support to all levels of the organisation to maintain an appropriate </w:t>
            </w:r>
            <w:r w:rsidR="003C30BA" w:rsidRPr="00034456">
              <w:rPr>
                <w:rFonts w:cs="Arial"/>
                <w:sz w:val="22"/>
                <w:szCs w:val="22"/>
              </w:rPr>
              <w:t>non-financial risk</w:t>
            </w:r>
            <w:r w:rsidRPr="00034456">
              <w:rPr>
                <w:rFonts w:cs="Arial"/>
                <w:sz w:val="22"/>
                <w:szCs w:val="22"/>
              </w:rPr>
              <w:t xml:space="preserve"> culture while achieving sound business outcomes.</w:t>
            </w:r>
          </w:p>
          <w:p w14:paraId="77FDE0A5" w14:textId="7556B531" w:rsidR="0074063D" w:rsidRPr="0074063D" w:rsidRDefault="00C337D6" w:rsidP="00EC6348">
            <w:pPr>
              <w:pStyle w:val="BodyText"/>
              <w:numPr>
                <w:ilvl w:val="0"/>
                <w:numId w:val="7"/>
              </w:numPr>
              <w:spacing w:after="0"/>
              <w:ind w:right="57"/>
              <w:jc w:val="left"/>
              <w:rPr>
                <w:rFonts w:cs="Arial"/>
              </w:rPr>
            </w:pPr>
            <w:r w:rsidRPr="00034456">
              <w:rPr>
                <w:rFonts w:cs="Arial"/>
                <w:sz w:val="22"/>
                <w:szCs w:val="22"/>
              </w:rPr>
              <w:t>Provide induction and specialists training where required to new starters or ORC members.</w:t>
            </w:r>
          </w:p>
        </w:tc>
      </w:tr>
    </w:tbl>
    <w:p w14:paraId="1143EBFD" w14:textId="77777777" w:rsidR="00063D40" w:rsidRPr="0074063D" w:rsidRDefault="00063D40" w:rsidP="00E5307F">
      <w:pPr>
        <w:spacing w:after="0"/>
        <w:rPr>
          <w:rFonts w:ascii="Arial" w:hAnsi="Arial" w:cs="Arial"/>
        </w:rPr>
      </w:pPr>
    </w:p>
    <w:p w14:paraId="0E6F7EC4" w14:textId="77777777" w:rsidR="005C6160" w:rsidRDefault="005C6160" w:rsidP="00FD2046">
      <w:pPr>
        <w:rPr>
          <w:rFonts w:ascii="Arial" w:hAnsi="Arial" w:cs="Arial"/>
          <w:b/>
          <w:bCs/>
          <w:color w:val="FFFFFF" w:themeColor="background1"/>
        </w:rPr>
      </w:pPr>
    </w:p>
    <w:p w14:paraId="4E6941A2" w14:textId="7BEEACFE" w:rsidR="007E794E" w:rsidRPr="0074063D" w:rsidRDefault="007E794E" w:rsidP="00FD2046">
      <w:pPr>
        <w:rPr>
          <w:rFonts w:ascii="Arial" w:hAnsi="Arial" w:cs="Arial"/>
          <w:b/>
          <w:bCs/>
          <w:color w:val="FFFFFF" w:themeColor="background1"/>
        </w:rPr>
        <w:sectPr w:rsidR="007E794E" w:rsidRPr="0074063D"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1696"/>
        <w:gridCol w:w="8789"/>
      </w:tblGrid>
      <w:tr w:rsidR="00FD2046" w:rsidRPr="0074063D" w14:paraId="41804464" w14:textId="77777777" w:rsidTr="00734230">
        <w:tc>
          <w:tcPr>
            <w:tcW w:w="10485" w:type="dxa"/>
            <w:gridSpan w:val="2"/>
            <w:shd w:val="clear" w:color="auto" w:fill="50003A"/>
          </w:tcPr>
          <w:p w14:paraId="3707CE40" w14:textId="77777777" w:rsidR="00FD2046" w:rsidRPr="0074063D" w:rsidRDefault="00BA411D" w:rsidP="00FD2046">
            <w:pPr>
              <w:spacing w:line="259" w:lineRule="auto"/>
              <w:rPr>
                <w:rFonts w:ascii="Arial" w:hAnsi="Arial" w:cs="Arial"/>
                <w:b/>
                <w:bCs/>
              </w:rPr>
            </w:pPr>
            <w:r w:rsidRPr="0074063D">
              <w:rPr>
                <w:rFonts w:ascii="Arial" w:hAnsi="Arial" w:cs="Arial"/>
                <w:b/>
                <w:bCs/>
                <w:color w:val="FFFFFF" w:themeColor="background1"/>
              </w:rPr>
              <w:t>Your k</w:t>
            </w:r>
            <w:r w:rsidR="00483295" w:rsidRPr="0074063D">
              <w:rPr>
                <w:rFonts w:ascii="Arial" w:hAnsi="Arial" w:cs="Arial"/>
                <w:b/>
                <w:bCs/>
                <w:color w:val="FFFFFF" w:themeColor="background1"/>
              </w:rPr>
              <w:t xml:space="preserve">nowledge, </w:t>
            </w:r>
            <w:r w:rsidR="00DE5C28" w:rsidRPr="0074063D">
              <w:rPr>
                <w:rFonts w:ascii="Arial" w:hAnsi="Arial" w:cs="Arial"/>
                <w:b/>
                <w:bCs/>
                <w:color w:val="FFFFFF" w:themeColor="background1"/>
              </w:rPr>
              <w:t>skills</w:t>
            </w:r>
            <w:r w:rsidR="004F315F" w:rsidRPr="0074063D">
              <w:rPr>
                <w:rFonts w:ascii="Arial" w:hAnsi="Arial" w:cs="Arial"/>
                <w:b/>
                <w:bCs/>
                <w:color w:val="FFFFFF" w:themeColor="background1"/>
              </w:rPr>
              <w:t xml:space="preserve"> and </w:t>
            </w:r>
            <w:r w:rsidR="00DE5C28" w:rsidRPr="0074063D">
              <w:rPr>
                <w:rFonts w:ascii="Arial" w:hAnsi="Arial" w:cs="Arial"/>
                <w:b/>
                <w:bCs/>
                <w:color w:val="FFFFFF" w:themeColor="background1"/>
              </w:rPr>
              <w:t>experience</w:t>
            </w:r>
          </w:p>
        </w:tc>
      </w:tr>
      <w:tr w:rsidR="00FD2046" w:rsidRPr="0074063D" w14:paraId="0A724FD4" w14:textId="77777777" w:rsidTr="000033D3">
        <w:trPr>
          <w:trHeight w:val="1531"/>
        </w:trPr>
        <w:tc>
          <w:tcPr>
            <w:tcW w:w="1696" w:type="dxa"/>
          </w:tcPr>
          <w:p w14:paraId="70CC93AE" w14:textId="77777777" w:rsidR="00FD2046" w:rsidRPr="0074063D" w:rsidRDefault="00992E1C" w:rsidP="00FD2046">
            <w:pPr>
              <w:spacing w:line="259" w:lineRule="auto"/>
              <w:rPr>
                <w:rFonts w:ascii="Arial" w:hAnsi="Arial" w:cs="Arial"/>
                <w:b/>
                <w:bCs/>
              </w:rPr>
            </w:pPr>
            <w:r w:rsidRPr="0074063D">
              <w:rPr>
                <w:rFonts w:ascii="Arial" w:hAnsi="Arial" w:cs="Arial"/>
                <w:b/>
                <w:bCs/>
              </w:rPr>
              <w:t>Knowledge &amp; skills</w:t>
            </w:r>
          </w:p>
        </w:tc>
        <w:tc>
          <w:tcPr>
            <w:tcW w:w="8789" w:type="dxa"/>
          </w:tcPr>
          <w:p w14:paraId="337BDCFA" w14:textId="1AF1607A" w:rsidR="003C30BA" w:rsidRPr="00034456" w:rsidRDefault="003C30BA" w:rsidP="00034456">
            <w:pPr>
              <w:pStyle w:val="BodyText"/>
              <w:numPr>
                <w:ilvl w:val="0"/>
                <w:numId w:val="7"/>
              </w:numPr>
              <w:spacing w:after="120"/>
              <w:ind w:right="57"/>
              <w:jc w:val="left"/>
              <w:rPr>
                <w:rFonts w:cs="Arial"/>
                <w:sz w:val="22"/>
                <w:szCs w:val="22"/>
              </w:rPr>
            </w:pPr>
            <w:r w:rsidRPr="00034456">
              <w:rPr>
                <w:rFonts w:cs="Arial"/>
                <w:sz w:val="22"/>
                <w:szCs w:val="22"/>
              </w:rPr>
              <w:t xml:space="preserve">Technical knowledge and experience in non-financial risk </w:t>
            </w:r>
            <w:r w:rsidR="00A94586" w:rsidRPr="00034456">
              <w:rPr>
                <w:rFonts w:cs="Arial"/>
                <w:sz w:val="22"/>
                <w:szCs w:val="22"/>
              </w:rPr>
              <w:t xml:space="preserve">disciplines and </w:t>
            </w:r>
            <w:r w:rsidRPr="00034456">
              <w:rPr>
                <w:rFonts w:cs="Arial"/>
                <w:sz w:val="22"/>
                <w:szCs w:val="22"/>
              </w:rPr>
              <w:t xml:space="preserve">functions, including but not limited to operational risk, </w:t>
            </w:r>
            <w:r w:rsidR="00DF48CF" w:rsidRPr="00034456">
              <w:rPr>
                <w:rFonts w:cs="Arial"/>
                <w:sz w:val="22"/>
                <w:szCs w:val="22"/>
              </w:rPr>
              <w:t xml:space="preserve">compliance, </w:t>
            </w:r>
            <w:r w:rsidRPr="00034456">
              <w:rPr>
                <w:rFonts w:cs="Arial"/>
                <w:sz w:val="22"/>
                <w:szCs w:val="22"/>
              </w:rPr>
              <w:t>business continuity, policy, framework, project risk</w:t>
            </w:r>
            <w:r w:rsidR="00DF48CF" w:rsidRPr="00034456">
              <w:rPr>
                <w:rFonts w:cs="Arial"/>
                <w:sz w:val="22"/>
                <w:szCs w:val="22"/>
              </w:rPr>
              <w:t>, operational resilience</w:t>
            </w:r>
            <w:r w:rsidRPr="00034456">
              <w:rPr>
                <w:rFonts w:cs="Arial"/>
                <w:sz w:val="22"/>
                <w:szCs w:val="22"/>
              </w:rPr>
              <w:t xml:space="preserve"> and IT/Data risk.</w:t>
            </w:r>
          </w:p>
          <w:p w14:paraId="0E9B6671" w14:textId="3835A9DD" w:rsidR="008A5157" w:rsidRPr="00034456" w:rsidRDefault="008A5157" w:rsidP="00034456">
            <w:pPr>
              <w:pStyle w:val="BodyText"/>
              <w:numPr>
                <w:ilvl w:val="0"/>
                <w:numId w:val="7"/>
              </w:numPr>
              <w:spacing w:after="120"/>
              <w:ind w:right="57"/>
              <w:jc w:val="left"/>
              <w:rPr>
                <w:rFonts w:cs="Arial"/>
                <w:sz w:val="22"/>
                <w:szCs w:val="22"/>
              </w:rPr>
            </w:pPr>
            <w:r w:rsidRPr="00034456">
              <w:rPr>
                <w:rFonts w:cs="Arial"/>
                <w:sz w:val="22"/>
                <w:szCs w:val="22"/>
              </w:rPr>
              <w:t>Ability to develop strategic, commercial solutions and “fit for purpose” solutions for implementation</w:t>
            </w:r>
            <w:r w:rsidR="003C30BA" w:rsidRPr="00034456">
              <w:rPr>
                <w:rFonts w:cs="Arial"/>
                <w:sz w:val="22"/>
                <w:szCs w:val="22"/>
              </w:rPr>
              <w:t xml:space="preserve"> and advancement</w:t>
            </w:r>
            <w:r w:rsidRPr="00034456">
              <w:rPr>
                <w:rFonts w:cs="Arial"/>
                <w:sz w:val="22"/>
                <w:szCs w:val="22"/>
              </w:rPr>
              <w:t xml:space="preserve"> of </w:t>
            </w:r>
            <w:r w:rsidR="00862167" w:rsidRPr="00034456">
              <w:rPr>
                <w:rFonts w:cs="Arial"/>
                <w:sz w:val="22"/>
                <w:szCs w:val="22"/>
              </w:rPr>
              <w:t xml:space="preserve">the Operational Risk Management Framework </w:t>
            </w:r>
            <w:r w:rsidRPr="00034456">
              <w:rPr>
                <w:rFonts w:cs="Arial"/>
                <w:sz w:val="22"/>
                <w:szCs w:val="22"/>
              </w:rPr>
              <w:t>across the Group.</w:t>
            </w:r>
          </w:p>
          <w:p w14:paraId="2CEACC38" w14:textId="46A939BD" w:rsidR="003C30BA" w:rsidRPr="00034456" w:rsidRDefault="003C30BA" w:rsidP="00034456">
            <w:pPr>
              <w:pStyle w:val="BodyText"/>
              <w:numPr>
                <w:ilvl w:val="0"/>
                <w:numId w:val="7"/>
              </w:numPr>
              <w:spacing w:after="120"/>
              <w:ind w:right="57"/>
              <w:jc w:val="left"/>
              <w:rPr>
                <w:rFonts w:cs="Arial"/>
                <w:sz w:val="22"/>
                <w:szCs w:val="22"/>
              </w:rPr>
            </w:pPr>
            <w:r w:rsidRPr="00034456">
              <w:rPr>
                <w:rFonts w:cs="Arial"/>
                <w:sz w:val="22"/>
                <w:szCs w:val="22"/>
              </w:rPr>
              <w:t>Ability to investigate internal loss events for remedial action and escalate to management as required.</w:t>
            </w:r>
          </w:p>
          <w:p w14:paraId="6518E6BE" w14:textId="03E2B20A" w:rsidR="003C30BA" w:rsidRPr="00034456" w:rsidRDefault="003C30BA" w:rsidP="00034456">
            <w:pPr>
              <w:pStyle w:val="BodyText"/>
              <w:numPr>
                <w:ilvl w:val="0"/>
                <w:numId w:val="7"/>
              </w:numPr>
              <w:spacing w:after="120"/>
              <w:ind w:right="57"/>
              <w:jc w:val="left"/>
              <w:rPr>
                <w:rFonts w:cs="Arial"/>
                <w:sz w:val="22"/>
                <w:szCs w:val="22"/>
              </w:rPr>
            </w:pPr>
            <w:r w:rsidRPr="00034456">
              <w:rPr>
                <w:rFonts w:cs="Arial"/>
                <w:sz w:val="22"/>
                <w:szCs w:val="22"/>
              </w:rPr>
              <w:t xml:space="preserve">Experience in Risk and Control self-assessment, Business Impact Analysis and technical non-financial risk processes. </w:t>
            </w:r>
          </w:p>
          <w:p w14:paraId="782CAFEC" w14:textId="2630A89A" w:rsidR="003C30BA" w:rsidRPr="00034456" w:rsidRDefault="003C30BA" w:rsidP="00034456">
            <w:pPr>
              <w:pStyle w:val="BodyText"/>
              <w:numPr>
                <w:ilvl w:val="0"/>
                <w:numId w:val="7"/>
              </w:numPr>
              <w:spacing w:after="120"/>
              <w:ind w:right="57"/>
              <w:jc w:val="left"/>
              <w:rPr>
                <w:rFonts w:cs="Arial"/>
                <w:sz w:val="22"/>
                <w:szCs w:val="22"/>
              </w:rPr>
            </w:pPr>
            <w:r w:rsidRPr="00034456">
              <w:rPr>
                <w:rFonts w:cs="Arial"/>
                <w:sz w:val="22"/>
                <w:szCs w:val="22"/>
              </w:rPr>
              <w:t>Exposure to operational risk</w:t>
            </w:r>
            <w:r w:rsidR="00DF48CF" w:rsidRPr="00034456">
              <w:rPr>
                <w:rFonts w:cs="Arial"/>
                <w:sz w:val="22"/>
                <w:szCs w:val="22"/>
              </w:rPr>
              <w:t xml:space="preserve"> and compliance in a banking environment or similar</w:t>
            </w:r>
            <w:r w:rsidRPr="00034456">
              <w:rPr>
                <w:rFonts w:cs="Arial"/>
                <w:sz w:val="22"/>
                <w:szCs w:val="22"/>
              </w:rPr>
              <w:t>.</w:t>
            </w:r>
          </w:p>
          <w:p w14:paraId="7AB5B565" w14:textId="402D8116" w:rsidR="008A5157" w:rsidRPr="00034456" w:rsidRDefault="008A5157" w:rsidP="00034456">
            <w:pPr>
              <w:pStyle w:val="BodyText"/>
              <w:numPr>
                <w:ilvl w:val="0"/>
                <w:numId w:val="7"/>
              </w:numPr>
              <w:spacing w:after="120"/>
              <w:ind w:right="57"/>
              <w:jc w:val="left"/>
              <w:rPr>
                <w:rFonts w:cs="Arial"/>
                <w:sz w:val="22"/>
                <w:szCs w:val="22"/>
              </w:rPr>
            </w:pPr>
            <w:r w:rsidRPr="00034456">
              <w:rPr>
                <w:rFonts w:cs="Arial"/>
                <w:sz w:val="22"/>
                <w:szCs w:val="22"/>
              </w:rPr>
              <w:t>Ability to effectively communicate</w:t>
            </w:r>
            <w:r w:rsidR="00862167" w:rsidRPr="00034456">
              <w:rPr>
                <w:rFonts w:cs="Arial"/>
                <w:sz w:val="22"/>
                <w:szCs w:val="22"/>
              </w:rPr>
              <w:t xml:space="preserve"> </w:t>
            </w:r>
            <w:r w:rsidRPr="00034456">
              <w:rPr>
                <w:rFonts w:cs="Arial"/>
                <w:sz w:val="22"/>
                <w:szCs w:val="22"/>
              </w:rPr>
              <w:t xml:space="preserve">and educate all levels of management and staff in </w:t>
            </w:r>
            <w:r w:rsidR="00862167" w:rsidRPr="00034456">
              <w:rPr>
                <w:rFonts w:cs="Arial"/>
                <w:sz w:val="22"/>
                <w:szCs w:val="22"/>
              </w:rPr>
              <w:t>non-financial risk</w:t>
            </w:r>
            <w:r w:rsidRPr="00034456">
              <w:rPr>
                <w:rFonts w:cs="Arial"/>
                <w:sz w:val="22"/>
                <w:szCs w:val="22"/>
              </w:rPr>
              <w:t xml:space="preserve">. </w:t>
            </w:r>
          </w:p>
          <w:p w14:paraId="23C54790" w14:textId="77777777" w:rsidR="00862167" w:rsidRPr="00034456" w:rsidRDefault="00862167" w:rsidP="00034456">
            <w:pPr>
              <w:pStyle w:val="BodyText"/>
              <w:numPr>
                <w:ilvl w:val="0"/>
                <w:numId w:val="7"/>
              </w:numPr>
              <w:spacing w:after="120"/>
              <w:ind w:right="57"/>
              <w:jc w:val="left"/>
              <w:rPr>
                <w:rFonts w:cs="Arial"/>
                <w:sz w:val="22"/>
                <w:szCs w:val="22"/>
              </w:rPr>
            </w:pPr>
            <w:r w:rsidRPr="00034456">
              <w:rPr>
                <w:rFonts w:cs="Arial"/>
                <w:sz w:val="22"/>
                <w:szCs w:val="22"/>
              </w:rPr>
              <w:t xml:space="preserve">Ability to engage and influence </w:t>
            </w:r>
            <w:proofErr w:type="gramStart"/>
            <w:r w:rsidRPr="00034456">
              <w:rPr>
                <w:rFonts w:cs="Arial"/>
                <w:sz w:val="22"/>
                <w:szCs w:val="22"/>
              </w:rPr>
              <w:t>in order to</w:t>
            </w:r>
            <w:proofErr w:type="gramEnd"/>
            <w:r w:rsidRPr="00034456">
              <w:rPr>
                <w:rFonts w:cs="Arial"/>
                <w:sz w:val="22"/>
                <w:szCs w:val="22"/>
              </w:rPr>
              <w:t xml:space="preserve"> achieve agreed objectives.</w:t>
            </w:r>
          </w:p>
          <w:p w14:paraId="574B6349" w14:textId="77777777" w:rsidR="008A5157" w:rsidRPr="00034456" w:rsidRDefault="008A5157" w:rsidP="00034456">
            <w:pPr>
              <w:pStyle w:val="BodyText"/>
              <w:numPr>
                <w:ilvl w:val="0"/>
                <w:numId w:val="7"/>
              </w:numPr>
              <w:spacing w:after="120"/>
              <w:ind w:right="57"/>
              <w:jc w:val="left"/>
              <w:rPr>
                <w:rFonts w:cs="Arial"/>
                <w:sz w:val="22"/>
                <w:szCs w:val="22"/>
              </w:rPr>
            </w:pPr>
            <w:r w:rsidRPr="00034456">
              <w:rPr>
                <w:rFonts w:cs="Arial"/>
                <w:sz w:val="22"/>
                <w:szCs w:val="22"/>
              </w:rPr>
              <w:t>Sound negotiation, interpersonal and presentation skills.</w:t>
            </w:r>
          </w:p>
          <w:p w14:paraId="4D4CE6A0" w14:textId="77777777" w:rsidR="008A5157" w:rsidRPr="00034456" w:rsidRDefault="008A5157" w:rsidP="00034456">
            <w:pPr>
              <w:pStyle w:val="BodyText"/>
              <w:numPr>
                <w:ilvl w:val="0"/>
                <w:numId w:val="7"/>
              </w:numPr>
              <w:spacing w:after="120"/>
              <w:ind w:right="57"/>
              <w:jc w:val="left"/>
              <w:rPr>
                <w:rFonts w:cs="Arial"/>
                <w:sz w:val="22"/>
                <w:szCs w:val="22"/>
              </w:rPr>
            </w:pPr>
            <w:r w:rsidRPr="00034456">
              <w:rPr>
                <w:rFonts w:cs="Arial"/>
                <w:sz w:val="22"/>
                <w:szCs w:val="22"/>
              </w:rPr>
              <w:t>Ability to prioritise to achieve business objectives.</w:t>
            </w:r>
          </w:p>
          <w:p w14:paraId="31D73672" w14:textId="77777777" w:rsidR="003C30BA" w:rsidRPr="00034456" w:rsidRDefault="003C30BA" w:rsidP="00034456">
            <w:pPr>
              <w:pStyle w:val="BodyText"/>
              <w:numPr>
                <w:ilvl w:val="0"/>
                <w:numId w:val="7"/>
              </w:numPr>
              <w:spacing w:after="120"/>
              <w:ind w:right="57"/>
              <w:jc w:val="left"/>
              <w:rPr>
                <w:rFonts w:cs="Arial"/>
                <w:sz w:val="22"/>
                <w:szCs w:val="22"/>
              </w:rPr>
            </w:pPr>
            <w:r w:rsidRPr="00034456">
              <w:rPr>
                <w:rFonts w:cs="Arial"/>
                <w:sz w:val="22"/>
                <w:szCs w:val="22"/>
              </w:rPr>
              <w:t>Proven project management and change management expertise.</w:t>
            </w:r>
          </w:p>
          <w:p w14:paraId="000792ED" w14:textId="77777777" w:rsidR="008A5157" w:rsidRPr="00034456" w:rsidRDefault="008A5157" w:rsidP="00034456">
            <w:pPr>
              <w:pStyle w:val="BodyText"/>
              <w:numPr>
                <w:ilvl w:val="0"/>
                <w:numId w:val="7"/>
              </w:numPr>
              <w:spacing w:after="120"/>
              <w:ind w:right="57"/>
              <w:jc w:val="left"/>
              <w:rPr>
                <w:rFonts w:cs="Arial"/>
                <w:sz w:val="22"/>
                <w:szCs w:val="22"/>
              </w:rPr>
            </w:pPr>
            <w:r w:rsidRPr="00034456">
              <w:rPr>
                <w:rFonts w:cs="Arial"/>
                <w:sz w:val="22"/>
                <w:szCs w:val="22"/>
              </w:rPr>
              <w:t>Strong computer skills (database, spreadsheet and word processing).</w:t>
            </w:r>
          </w:p>
          <w:p w14:paraId="4D66DB7D" w14:textId="2F4F7463" w:rsidR="00862167" w:rsidRPr="00034456" w:rsidRDefault="008A5157" w:rsidP="00034456">
            <w:pPr>
              <w:pStyle w:val="BodyText"/>
              <w:numPr>
                <w:ilvl w:val="0"/>
                <w:numId w:val="7"/>
              </w:numPr>
              <w:spacing w:after="120"/>
              <w:ind w:right="57"/>
              <w:jc w:val="left"/>
              <w:rPr>
                <w:rFonts w:cs="Arial"/>
                <w:sz w:val="22"/>
                <w:szCs w:val="22"/>
              </w:rPr>
            </w:pPr>
            <w:r w:rsidRPr="00034456">
              <w:rPr>
                <w:szCs w:val="22"/>
              </w:rPr>
              <w:br w:type="page"/>
            </w:r>
            <w:r w:rsidR="00862167" w:rsidRPr="00034456">
              <w:rPr>
                <w:rFonts w:cs="Arial"/>
                <w:sz w:val="22"/>
                <w:szCs w:val="22"/>
              </w:rPr>
              <w:t>Attention to detail and solution focussed.</w:t>
            </w:r>
          </w:p>
          <w:p w14:paraId="1630BE14" w14:textId="7C735576" w:rsidR="000A034F" w:rsidRPr="00034456" w:rsidRDefault="000A034F" w:rsidP="00034456">
            <w:pPr>
              <w:pStyle w:val="BodyText"/>
              <w:numPr>
                <w:ilvl w:val="0"/>
                <w:numId w:val="7"/>
              </w:numPr>
              <w:spacing w:after="120"/>
              <w:ind w:right="57"/>
              <w:jc w:val="left"/>
              <w:rPr>
                <w:rFonts w:cs="Arial"/>
                <w:sz w:val="22"/>
                <w:szCs w:val="22"/>
              </w:rPr>
            </w:pPr>
            <w:r w:rsidRPr="00034456">
              <w:rPr>
                <w:rFonts w:cs="Arial"/>
                <w:sz w:val="22"/>
                <w:szCs w:val="22"/>
              </w:rPr>
              <w:t>Demonstrated understanding of data and analytics principals</w:t>
            </w:r>
          </w:p>
          <w:p w14:paraId="734A74DE" w14:textId="7BFAE6B5" w:rsidR="00A32B31" w:rsidRPr="000033D3" w:rsidRDefault="00862167" w:rsidP="000033D3">
            <w:pPr>
              <w:pStyle w:val="BodyText"/>
              <w:numPr>
                <w:ilvl w:val="0"/>
                <w:numId w:val="7"/>
              </w:numPr>
              <w:spacing w:after="120"/>
              <w:ind w:right="57"/>
              <w:jc w:val="left"/>
              <w:rPr>
                <w:rFonts w:cs="Arial"/>
                <w:sz w:val="22"/>
                <w:szCs w:val="22"/>
              </w:rPr>
            </w:pPr>
            <w:r w:rsidRPr="00034456">
              <w:rPr>
                <w:rFonts w:cs="Arial"/>
                <w:sz w:val="22"/>
                <w:szCs w:val="22"/>
              </w:rPr>
              <w:t>To work independently and part of a team.</w:t>
            </w:r>
          </w:p>
        </w:tc>
      </w:tr>
      <w:tr w:rsidR="00FD2046" w:rsidRPr="0074063D" w14:paraId="30B75E07" w14:textId="77777777" w:rsidTr="000033D3">
        <w:trPr>
          <w:trHeight w:val="794"/>
        </w:trPr>
        <w:tc>
          <w:tcPr>
            <w:tcW w:w="1696" w:type="dxa"/>
          </w:tcPr>
          <w:p w14:paraId="5E6D3023" w14:textId="77777777" w:rsidR="00FD2046" w:rsidRPr="00EC6348" w:rsidRDefault="00992E1C" w:rsidP="00FD2046">
            <w:pPr>
              <w:spacing w:line="259" w:lineRule="auto"/>
              <w:rPr>
                <w:rFonts w:ascii="Arial" w:hAnsi="Arial" w:cs="Arial"/>
                <w:b/>
                <w:bCs/>
              </w:rPr>
            </w:pPr>
            <w:r w:rsidRPr="00EC6348">
              <w:rPr>
                <w:rFonts w:ascii="Arial" w:hAnsi="Arial" w:cs="Arial"/>
                <w:b/>
                <w:bCs/>
              </w:rPr>
              <w:t>Relevant experience</w:t>
            </w:r>
          </w:p>
        </w:tc>
        <w:tc>
          <w:tcPr>
            <w:tcW w:w="8789" w:type="dxa"/>
          </w:tcPr>
          <w:p w14:paraId="4F994D4D" w14:textId="7C5E966C" w:rsidR="008A5157" w:rsidRPr="00EC6348" w:rsidRDefault="008A5157" w:rsidP="008A5157">
            <w:pPr>
              <w:numPr>
                <w:ilvl w:val="0"/>
                <w:numId w:val="22"/>
              </w:numPr>
              <w:tabs>
                <w:tab w:val="clear" w:pos="360"/>
                <w:tab w:val="num" w:pos="426"/>
              </w:tabs>
              <w:ind w:left="426" w:hanging="426"/>
              <w:rPr>
                <w:rFonts w:ascii="Arial" w:hAnsi="Arial" w:cs="Arial"/>
              </w:rPr>
            </w:pPr>
            <w:r w:rsidRPr="00EC6348">
              <w:rPr>
                <w:rFonts w:ascii="Arial" w:hAnsi="Arial" w:cs="Arial"/>
              </w:rPr>
              <w:t xml:space="preserve">Extensive experience in a similar </w:t>
            </w:r>
            <w:r w:rsidR="003C30BA" w:rsidRPr="00EC6348">
              <w:rPr>
                <w:rFonts w:ascii="Arial" w:hAnsi="Arial" w:cs="Arial"/>
              </w:rPr>
              <w:t xml:space="preserve">operational </w:t>
            </w:r>
            <w:r w:rsidR="00DF48CF" w:rsidRPr="00EC6348">
              <w:rPr>
                <w:rFonts w:ascii="Arial" w:hAnsi="Arial" w:cs="Arial"/>
              </w:rPr>
              <w:t xml:space="preserve">and compliance, governance </w:t>
            </w:r>
            <w:r w:rsidR="003C30BA" w:rsidRPr="00EC6348">
              <w:rPr>
                <w:rFonts w:ascii="Arial" w:hAnsi="Arial" w:cs="Arial"/>
              </w:rPr>
              <w:t>risk</w:t>
            </w:r>
            <w:r w:rsidR="00DF48CF" w:rsidRPr="00EC6348">
              <w:rPr>
                <w:rFonts w:ascii="Arial" w:hAnsi="Arial" w:cs="Arial"/>
              </w:rPr>
              <w:t xml:space="preserve"> </w:t>
            </w:r>
            <w:r w:rsidRPr="00EC6348">
              <w:rPr>
                <w:rFonts w:ascii="Arial" w:hAnsi="Arial" w:cs="Arial"/>
              </w:rPr>
              <w:t>role</w:t>
            </w:r>
            <w:r w:rsidR="003C30BA" w:rsidRPr="00EC6348">
              <w:rPr>
                <w:rFonts w:ascii="Arial" w:hAnsi="Arial" w:cs="Arial"/>
              </w:rPr>
              <w:t>.</w:t>
            </w:r>
          </w:p>
          <w:p w14:paraId="47375325" w14:textId="09BEEDF7" w:rsidR="008A5157" w:rsidRPr="00EC6348" w:rsidRDefault="008A5157" w:rsidP="008A5157">
            <w:pPr>
              <w:numPr>
                <w:ilvl w:val="0"/>
                <w:numId w:val="22"/>
              </w:numPr>
              <w:tabs>
                <w:tab w:val="clear" w:pos="360"/>
                <w:tab w:val="num" w:pos="426"/>
              </w:tabs>
              <w:ind w:left="426" w:hanging="426"/>
              <w:rPr>
                <w:rFonts w:ascii="Arial" w:hAnsi="Arial" w:cs="Arial"/>
              </w:rPr>
            </w:pPr>
            <w:r w:rsidRPr="00EC6348">
              <w:rPr>
                <w:rFonts w:ascii="Arial" w:hAnsi="Arial" w:cs="Arial"/>
              </w:rPr>
              <w:t>Sound knowledge of banking/financial services</w:t>
            </w:r>
            <w:r w:rsidR="003C30BA" w:rsidRPr="00EC6348">
              <w:rPr>
                <w:rFonts w:ascii="Arial" w:hAnsi="Arial" w:cs="Arial"/>
              </w:rPr>
              <w:t>.</w:t>
            </w:r>
          </w:p>
          <w:p w14:paraId="1DDC8A6E" w14:textId="7FEFF4E7" w:rsidR="00EF6350" w:rsidRPr="00EC6348" w:rsidRDefault="00DF48CF" w:rsidP="00EC6348">
            <w:pPr>
              <w:numPr>
                <w:ilvl w:val="0"/>
                <w:numId w:val="22"/>
              </w:numPr>
              <w:tabs>
                <w:tab w:val="clear" w:pos="360"/>
                <w:tab w:val="num" w:pos="426"/>
              </w:tabs>
              <w:ind w:left="426" w:hanging="426"/>
              <w:rPr>
                <w:rFonts w:ascii="Arial" w:hAnsi="Arial" w:cs="Arial"/>
              </w:rPr>
            </w:pPr>
            <w:r w:rsidRPr="00EC6348">
              <w:rPr>
                <w:rFonts w:ascii="Arial" w:hAnsi="Arial" w:cs="Arial"/>
              </w:rPr>
              <w:t>Experience in Banking and banking risk regulation (advantageous)</w:t>
            </w:r>
          </w:p>
        </w:tc>
      </w:tr>
    </w:tbl>
    <w:p w14:paraId="059EF1A3" w14:textId="77777777" w:rsidR="00BA33DC" w:rsidRPr="0074063D" w:rsidRDefault="00BA33DC" w:rsidP="00E5307F">
      <w:pPr>
        <w:spacing w:after="0"/>
        <w:rPr>
          <w:rFonts w:ascii="Arial" w:hAnsi="Arial" w:cs="Arial"/>
        </w:rPr>
      </w:pPr>
    </w:p>
    <w:p w14:paraId="3DA8AB71" w14:textId="77777777" w:rsidR="005C6160" w:rsidRPr="0074063D" w:rsidRDefault="005C6160" w:rsidP="00F84334">
      <w:pPr>
        <w:rPr>
          <w:rFonts w:ascii="Arial" w:hAnsi="Arial" w:cs="Arial"/>
          <w:b/>
          <w:bCs/>
          <w:color w:val="FFFFFF" w:themeColor="background1"/>
        </w:rPr>
        <w:sectPr w:rsidR="005C6160" w:rsidRPr="0074063D"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4063D" w14:paraId="674F3120" w14:textId="77777777" w:rsidTr="00734230">
        <w:trPr>
          <w:trHeight w:val="272"/>
        </w:trPr>
        <w:tc>
          <w:tcPr>
            <w:tcW w:w="10456" w:type="dxa"/>
            <w:shd w:val="clear" w:color="auto" w:fill="50003A"/>
          </w:tcPr>
          <w:p w14:paraId="0AC5F4DB" w14:textId="77777777" w:rsidR="00F84334" w:rsidRPr="0074063D" w:rsidRDefault="004F315F" w:rsidP="00F84334">
            <w:pPr>
              <w:spacing w:line="259" w:lineRule="auto"/>
              <w:rPr>
                <w:rFonts w:ascii="Arial" w:hAnsi="Arial" w:cs="Arial"/>
                <w:b/>
                <w:bCs/>
              </w:rPr>
            </w:pPr>
            <w:r w:rsidRPr="0074063D">
              <w:rPr>
                <w:rFonts w:ascii="Arial" w:hAnsi="Arial" w:cs="Arial"/>
                <w:b/>
                <w:bCs/>
                <w:color w:val="FFFFFF" w:themeColor="background1"/>
              </w:rPr>
              <w:t>Your q</w:t>
            </w:r>
            <w:r w:rsidR="00F84334" w:rsidRPr="0074063D">
              <w:rPr>
                <w:rFonts w:ascii="Arial" w:hAnsi="Arial" w:cs="Arial"/>
                <w:b/>
                <w:bCs/>
                <w:color w:val="FFFFFF" w:themeColor="background1"/>
              </w:rPr>
              <w:t>ualifications</w:t>
            </w:r>
            <w:r w:rsidR="00B4725D" w:rsidRPr="0074063D">
              <w:rPr>
                <w:rFonts w:ascii="Arial" w:hAnsi="Arial" w:cs="Arial"/>
                <w:b/>
                <w:bCs/>
                <w:color w:val="FFFFFF" w:themeColor="background1"/>
              </w:rPr>
              <w:t xml:space="preserve"> and certifications</w:t>
            </w:r>
          </w:p>
        </w:tc>
      </w:tr>
      <w:tr w:rsidR="00F84334" w:rsidRPr="0074063D" w14:paraId="34B31622" w14:textId="77777777" w:rsidTr="000033D3">
        <w:trPr>
          <w:trHeight w:val="57"/>
        </w:trPr>
        <w:tc>
          <w:tcPr>
            <w:tcW w:w="10456" w:type="dxa"/>
          </w:tcPr>
          <w:p w14:paraId="641C81F9" w14:textId="0DDAD8DB" w:rsidR="00AD4836" w:rsidRPr="0074063D" w:rsidRDefault="00EF6350" w:rsidP="003C30BA">
            <w:pPr>
              <w:pStyle w:val="BodyText"/>
              <w:rPr>
                <w:rFonts w:cs="Arial"/>
              </w:rPr>
            </w:pPr>
            <w:r w:rsidRPr="0074063D">
              <w:rPr>
                <w:rFonts w:cs="Arial"/>
                <w:sz w:val="22"/>
                <w:szCs w:val="22"/>
              </w:rPr>
              <w:t>Tertiary qualifications in a business</w:t>
            </w:r>
            <w:r w:rsidRPr="000A034F">
              <w:rPr>
                <w:rFonts w:cs="Arial"/>
                <w:sz w:val="22"/>
                <w:szCs w:val="22"/>
              </w:rPr>
              <w:t xml:space="preserve">, </w:t>
            </w:r>
            <w:r w:rsidR="00FA47FB" w:rsidRPr="000A034F">
              <w:rPr>
                <w:rFonts w:cs="Arial"/>
                <w:sz w:val="22"/>
                <w:szCs w:val="22"/>
              </w:rPr>
              <w:t xml:space="preserve">law, </w:t>
            </w:r>
            <w:r w:rsidRPr="000A034F">
              <w:rPr>
                <w:rFonts w:cs="Arial"/>
                <w:sz w:val="22"/>
                <w:szCs w:val="22"/>
              </w:rPr>
              <w:t>finance</w:t>
            </w:r>
            <w:r w:rsidR="001B1A89" w:rsidRPr="0074063D">
              <w:rPr>
                <w:rFonts w:cs="Arial"/>
                <w:sz w:val="22"/>
                <w:szCs w:val="22"/>
              </w:rPr>
              <w:t xml:space="preserve">, </w:t>
            </w:r>
            <w:r w:rsidR="003C30BA">
              <w:rPr>
                <w:rFonts w:cs="Arial"/>
                <w:sz w:val="22"/>
                <w:szCs w:val="22"/>
              </w:rPr>
              <w:t xml:space="preserve">risk, compliance, </w:t>
            </w:r>
            <w:r w:rsidR="00A93F1F" w:rsidRPr="0074063D">
              <w:rPr>
                <w:rFonts w:cs="Arial"/>
                <w:sz w:val="22"/>
                <w:szCs w:val="22"/>
              </w:rPr>
              <w:t>statistics,</w:t>
            </w:r>
            <w:r w:rsidRPr="0074063D">
              <w:rPr>
                <w:rFonts w:cs="Arial"/>
                <w:sz w:val="22"/>
                <w:szCs w:val="22"/>
              </w:rPr>
              <w:t xml:space="preserve"> or technology related discipline is preferable.</w:t>
            </w:r>
            <w:r w:rsidR="008A5157" w:rsidRPr="0074063D">
              <w:rPr>
                <w:rFonts w:cs="Arial"/>
                <w:sz w:val="22"/>
                <w:szCs w:val="22"/>
              </w:rPr>
              <w:t xml:space="preserve"> </w:t>
            </w:r>
          </w:p>
        </w:tc>
      </w:tr>
    </w:tbl>
    <w:p w14:paraId="5564E6AC" w14:textId="77777777" w:rsidR="00E85291" w:rsidRPr="0074063D" w:rsidRDefault="00E85291" w:rsidP="00FC1548">
      <w:pPr>
        <w:spacing w:after="0"/>
        <w:rPr>
          <w:rFonts w:ascii="Arial" w:hAnsi="Arial" w:cs="Arial"/>
        </w:rPr>
      </w:pPr>
    </w:p>
    <w:p w14:paraId="1AF249E6" w14:textId="77777777" w:rsidR="005C6160" w:rsidRPr="0074063D" w:rsidRDefault="005C6160" w:rsidP="00F728B1">
      <w:pPr>
        <w:rPr>
          <w:rFonts w:ascii="Arial" w:hAnsi="Arial" w:cs="Arial"/>
          <w:b/>
          <w:bCs/>
          <w:color w:val="FFFFFF" w:themeColor="background1"/>
        </w:rPr>
        <w:sectPr w:rsidR="005C6160" w:rsidRPr="0074063D"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4063D" w14:paraId="7E536ACD" w14:textId="77777777" w:rsidTr="00734230">
        <w:trPr>
          <w:trHeight w:val="272"/>
        </w:trPr>
        <w:tc>
          <w:tcPr>
            <w:tcW w:w="10456" w:type="dxa"/>
            <w:shd w:val="clear" w:color="auto" w:fill="50003A"/>
          </w:tcPr>
          <w:p w14:paraId="5C09C83B" w14:textId="77777777" w:rsidR="00992E1C" w:rsidRPr="0074063D" w:rsidRDefault="00992E1C" w:rsidP="00F728B1">
            <w:pPr>
              <w:spacing w:line="259" w:lineRule="auto"/>
              <w:rPr>
                <w:rFonts w:ascii="Arial" w:hAnsi="Arial" w:cs="Arial"/>
                <w:b/>
                <w:bCs/>
                <w:color w:val="FFFFFF" w:themeColor="background1"/>
              </w:rPr>
            </w:pPr>
            <w:r w:rsidRPr="0074063D">
              <w:rPr>
                <w:rFonts w:ascii="Arial" w:hAnsi="Arial" w:cs="Arial"/>
                <w:b/>
                <w:bCs/>
                <w:color w:val="FFFFFF" w:themeColor="background1"/>
              </w:rPr>
              <w:t>Risk responsibility</w:t>
            </w:r>
          </w:p>
        </w:tc>
      </w:tr>
      <w:tr w:rsidR="00992E1C" w:rsidRPr="0074063D" w14:paraId="53C51D40" w14:textId="77777777" w:rsidTr="00F728B1">
        <w:trPr>
          <w:trHeight w:val="905"/>
        </w:trPr>
        <w:tc>
          <w:tcPr>
            <w:tcW w:w="10456" w:type="dxa"/>
          </w:tcPr>
          <w:p w14:paraId="613545D6" w14:textId="77777777" w:rsidR="00992E1C" w:rsidRPr="0074063D" w:rsidRDefault="00992E1C" w:rsidP="00F728B1">
            <w:pPr>
              <w:spacing w:line="259" w:lineRule="auto"/>
              <w:rPr>
                <w:rFonts w:ascii="Arial" w:hAnsi="Arial" w:cs="Arial"/>
              </w:rPr>
            </w:pPr>
            <w:r w:rsidRPr="0074063D">
              <w:rPr>
                <w:rFonts w:ascii="Arial" w:hAnsi="Arial" w:cs="Arial"/>
              </w:rPr>
              <w:lastRenderedPageBreak/>
              <w:t>Ensure all work practices are conducted in accordance with all Bank compliance requirements, as specified in Bank policy, corporate and business unit procedures and identify and report instances of non-compliance to appropriately.</w:t>
            </w:r>
          </w:p>
        </w:tc>
      </w:tr>
    </w:tbl>
    <w:p w14:paraId="4BFFF96A" w14:textId="77777777" w:rsidR="00992E1C" w:rsidRPr="0074063D" w:rsidRDefault="00992E1C">
      <w:pPr>
        <w:rPr>
          <w:rFonts w:ascii="Arial" w:hAnsi="Arial" w:cs="Arial"/>
        </w:rPr>
      </w:pPr>
      <w:r w:rsidRPr="0074063D">
        <w:rPr>
          <w:rFonts w:ascii="Arial" w:hAnsi="Arial" w:cs="Arial"/>
        </w:rPr>
        <w:br w:type="page"/>
      </w:r>
    </w:p>
    <w:p w14:paraId="36103731" w14:textId="77777777" w:rsidR="005C6160" w:rsidRPr="0074063D" w:rsidRDefault="005C6160" w:rsidP="00F728B1">
      <w:pPr>
        <w:rPr>
          <w:rFonts w:ascii="Arial" w:hAnsi="Arial" w:cs="Arial"/>
          <w:b/>
          <w:bCs/>
          <w:color w:val="FFFFFF" w:themeColor="background1"/>
        </w:rPr>
        <w:sectPr w:rsidR="005C6160" w:rsidRPr="0074063D"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4063D" w14:paraId="64D54439" w14:textId="77777777" w:rsidTr="00852BF6">
        <w:trPr>
          <w:trHeight w:val="275"/>
        </w:trPr>
        <w:tc>
          <w:tcPr>
            <w:tcW w:w="10457" w:type="dxa"/>
            <w:shd w:val="clear" w:color="auto" w:fill="F04E58"/>
          </w:tcPr>
          <w:p w14:paraId="27222AEB" w14:textId="77777777" w:rsidR="00992E1C" w:rsidRPr="0074063D" w:rsidRDefault="00A32B31" w:rsidP="00F728B1">
            <w:pPr>
              <w:rPr>
                <w:rFonts w:ascii="Arial" w:hAnsi="Arial" w:cs="Arial"/>
                <w:b/>
                <w:bCs/>
              </w:rPr>
            </w:pPr>
            <w:r w:rsidRPr="0074063D">
              <w:rPr>
                <w:rFonts w:ascii="Arial" w:hAnsi="Arial" w:cs="Arial"/>
                <w:b/>
                <w:bCs/>
                <w:color w:val="FFFFFF" w:themeColor="background1"/>
              </w:rPr>
              <w:lastRenderedPageBreak/>
              <w:t>CAPABILITY PROFILE</w:t>
            </w:r>
          </w:p>
        </w:tc>
      </w:tr>
    </w:tbl>
    <w:p w14:paraId="64A72A27" w14:textId="77777777" w:rsidR="00992E1C" w:rsidRPr="0074063D" w:rsidRDefault="003038F5" w:rsidP="00FC1548">
      <w:pPr>
        <w:spacing w:after="0"/>
        <w:rPr>
          <w:rFonts w:ascii="Arial" w:hAnsi="Arial" w:cs="Arial"/>
        </w:rPr>
      </w:pPr>
      <w:r w:rsidRPr="0074063D">
        <w:rPr>
          <w:rFonts w:ascii="Arial" w:hAnsi="Arial" w:cs="Arial"/>
          <w:noProof/>
        </w:rPr>
        <w:drawing>
          <wp:anchor distT="0" distB="0" distL="114300" distR="114300" simplePos="0" relativeHeight="251656189" behindDoc="1" locked="1" layoutInCell="1" allowOverlap="1" wp14:anchorId="4EAAB56B" wp14:editId="05FE9A0C">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7C090623" w14:textId="77777777" w:rsidR="005C6160" w:rsidRPr="0074063D" w:rsidRDefault="005C6160" w:rsidP="00F728B1">
      <w:pPr>
        <w:rPr>
          <w:rFonts w:ascii="Arial" w:hAnsi="Arial" w:cs="Arial"/>
          <w:b/>
          <w:bCs/>
          <w:color w:val="FFFFFF" w:themeColor="background1"/>
        </w:rPr>
        <w:sectPr w:rsidR="005C6160" w:rsidRPr="0074063D"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4063D" w14:paraId="2B0FB5FC" w14:textId="77777777" w:rsidTr="00734230">
        <w:tc>
          <w:tcPr>
            <w:tcW w:w="10485" w:type="dxa"/>
            <w:gridSpan w:val="2"/>
            <w:shd w:val="clear" w:color="auto" w:fill="50003A"/>
          </w:tcPr>
          <w:p w14:paraId="013D631B" w14:textId="77777777" w:rsidR="00825E92" w:rsidRPr="0074063D" w:rsidRDefault="00825E92" w:rsidP="00F728B1">
            <w:pPr>
              <w:rPr>
                <w:rFonts w:ascii="Arial" w:hAnsi="Arial" w:cs="Arial"/>
                <w:b/>
                <w:bCs/>
              </w:rPr>
            </w:pPr>
            <w:r w:rsidRPr="0074063D">
              <w:rPr>
                <w:rFonts w:ascii="Arial" w:hAnsi="Arial" w:cs="Arial"/>
                <w:b/>
                <w:bCs/>
                <w:color w:val="FFFFFF" w:themeColor="background1"/>
              </w:rPr>
              <w:t>Key people capabilities</w:t>
            </w:r>
          </w:p>
        </w:tc>
      </w:tr>
      <w:tr w:rsidR="00825E92" w:rsidRPr="0074063D" w14:paraId="1297CE5E" w14:textId="77777777" w:rsidTr="00F728B1">
        <w:trPr>
          <w:trHeight w:val="425"/>
        </w:trPr>
        <w:tc>
          <w:tcPr>
            <w:tcW w:w="5242" w:type="dxa"/>
            <w:vAlign w:val="center"/>
          </w:tcPr>
          <w:p w14:paraId="14C560B6" w14:textId="14C28EB1" w:rsidR="00825E92" w:rsidRPr="0074063D" w:rsidRDefault="009F762A" w:rsidP="00F728B1">
            <w:pPr>
              <w:jc w:val="center"/>
              <w:rPr>
                <w:rFonts w:ascii="Arial" w:hAnsi="Arial" w:cs="Arial"/>
                <w:b/>
                <w:bCs/>
              </w:rPr>
            </w:pPr>
            <w:r w:rsidRPr="0074063D">
              <w:rPr>
                <w:rFonts w:ascii="Arial" w:hAnsi="Arial" w:cs="Arial"/>
                <w:b/>
                <w:bCs/>
              </w:rPr>
              <w:t>Relationships</w:t>
            </w:r>
          </w:p>
        </w:tc>
        <w:tc>
          <w:tcPr>
            <w:tcW w:w="5243" w:type="dxa"/>
            <w:vAlign w:val="center"/>
          </w:tcPr>
          <w:p w14:paraId="731BF520" w14:textId="4EE23B2F" w:rsidR="00825E92" w:rsidRPr="0074063D" w:rsidRDefault="009F762A" w:rsidP="00F728B1">
            <w:pPr>
              <w:jc w:val="center"/>
              <w:rPr>
                <w:rFonts w:ascii="Arial" w:hAnsi="Arial" w:cs="Arial"/>
                <w:b/>
                <w:bCs/>
              </w:rPr>
            </w:pPr>
            <w:r w:rsidRPr="0074063D">
              <w:rPr>
                <w:rFonts w:ascii="Arial" w:hAnsi="Arial" w:cs="Arial"/>
                <w:b/>
                <w:bCs/>
              </w:rPr>
              <w:t>Execution</w:t>
            </w:r>
          </w:p>
        </w:tc>
      </w:tr>
      <w:tr w:rsidR="00825E92" w:rsidRPr="0074063D" w14:paraId="48A57CD8" w14:textId="77777777" w:rsidTr="00F728B1">
        <w:trPr>
          <w:trHeight w:val="425"/>
        </w:trPr>
        <w:tc>
          <w:tcPr>
            <w:tcW w:w="5242" w:type="dxa"/>
            <w:vAlign w:val="center"/>
          </w:tcPr>
          <w:p w14:paraId="64D4A012" w14:textId="3320EAE9" w:rsidR="00825E92" w:rsidRPr="0074063D" w:rsidRDefault="00DF48CF" w:rsidP="00F728B1">
            <w:pPr>
              <w:jc w:val="center"/>
              <w:rPr>
                <w:rFonts w:ascii="Arial" w:hAnsi="Arial" w:cs="Arial"/>
                <w:b/>
                <w:bCs/>
              </w:rPr>
            </w:pPr>
            <w:r>
              <w:rPr>
                <w:rFonts w:ascii="Arial" w:hAnsi="Arial" w:cs="Arial"/>
                <w:b/>
                <w:bCs/>
              </w:rPr>
              <w:t>Results Focus</w:t>
            </w:r>
          </w:p>
        </w:tc>
        <w:tc>
          <w:tcPr>
            <w:tcW w:w="5243" w:type="dxa"/>
            <w:vAlign w:val="center"/>
          </w:tcPr>
          <w:p w14:paraId="4C0DCE05" w14:textId="0BCA3F69" w:rsidR="00825E92" w:rsidRPr="0074063D" w:rsidRDefault="009F762A" w:rsidP="00F728B1">
            <w:pPr>
              <w:jc w:val="center"/>
              <w:rPr>
                <w:rFonts w:ascii="Arial" w:hAnsi="Arial" w:cs="Arial"/>
                <w:b/>
                <w:bCs/>
              </w:rPr>
            </w:pPr>
            <w:r w:rsidRPr="0074063D">
              <w:rPr>
                <w:rFonts w:ascii="Arial" w:hAnsi="Arial" w:cs="Arial"/>
                <w:b/>
                <w:bCs/>
              </w:rPr>
              <w:t>Role Expertise</w:t>
            </w:r>
          </w:p>
        </w:tc>
      </w:tr>
    </w:tbl>
    <w:p w14:paraId="0FB33AF2" w14:textId="77777777" w:rsidR="00825E92" w:rsidRPr="0074063D" w:rsidRDefault="00825E92" w:rsidP="00FC1548">
      <w:pPr>
        <w:spacing w:after="0"/>
        <w:rPr>
          <w:rFonts w:ascii="Arial" w:hAnsi="Arial" w:cs="Arial"/>
        </w:rPr>
      </w:pPr>
    </w:p>
    <w:p w14:paraId="69E90C89" w14:textId="77777777" w:rsidR="005C6160" w:rsidRPr="0074063D" w:rsidRDefault="005C6160" w:rsidP="00295CB2">
      <w:pPr>
        <w:rPr>
          <w:rFonts w:ascii="Arial" w:hAnsi="Arial" w:cs="Arial"/>
          <w:b/>
          <w:bCs/>
          <w:color w:val="FFFFFF" w:themeColor="background1"/>
        </w:rPr>
        <w:sectPr w:rsidR="005C6160" w:rsidRPr="0074063D"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4063D" w14:paraId="16E51FCD" w14:textId="77777777" w:rsidTr="005C6160">
        <w:trPr>
          <w:trHeight w:val="272"/>
        </w:trPr>
        <w:tc>
          <w:tcPr>
            <w:tcW w:w="10485" w:type="dxa"/>
            <w:gridSpan w:val="4"/>
            <w:shd w:val="clear" w:color="auto" w:fill="50003A"/>
          </w:tcPr>
          <w:p w14:paraId="2C92CD92" w14:textId="77777777" w:rsidR="00F6766A" w:rsidRPr="0074063D" w:rsidRDefault="00A32B31" w:rsidP="00295CB2">
            <w:pPr>
              <w:spacing w:line="259" w:lineRule="auto"/>
              <w:rPr>
                <w:rFonts w:ascii="Arial" w:hAnsi="Arial" w:cs="Arial"/>
                <w:b/>
                <w:bCs/>
              </w:rPr>
            </w:pPr>
            <w:r w:rsidRPr="0074063D">
              <w:rPr>
                <w:rFonts w:ascii="Arial" w:hAnsi="Arial" w:cs="Arial"/>
                <w:b/>
                <w:bCs/>
                <w:color w:val="FFFFFF" w:themeColor="background1"/>
              </w:rPr>
              <w:t>People</w:t>
            </w:r>
            <w:r w:rsidR="00992E1C" w:rsidRPr="0074063D">
              <w:rPr>
                <w:rFonts w:ascii="Arial" w:hAnsi="Arial" w:cs="Arial"/>
                <w:b/>
                <w:bCs/>
                <w:color w:val="FFFFFF" w:themeColor="background1"/>
              </w:rPr>
              <w:t xml:space="preserve"> capabili</w:t>
            </w:r>
            <w:r w:rsidRPr="0074063D">
              <w:rPr>
                <w:rFonts w:ascii="Arial" w:hAnsi="Arial" w:cs="Arial"/>
                <w:b/>
                <w:bCs/>
                <w:color w:val="FFFFFF" w:themeColor="background1"/>
              </w:rPr>
              <w:t>ty profile</w:t>
            </w:r>
          </w:p>
        </w:tc>
      </w:tr>
      <w:tr w:rsidR="005F14E1" w:rsidRPr="0074063D" w14:paraId="68CC9745" w14:textId="77777777" w:rsidTr="005C6160">
        <w:trPr>
          <w:trHeight w:val="283"/>
        </w:trPr>
        <w:tc>
          <w:tcPr>
            <w:tcW w:w="2621" w:type="dxa"/>
            <w:tcBorders>
              <w:bottom w:val="nil"/>
            </w:tcBorders>
            <w:shd w:val="clear" w:color="auto" w:fill="auto"/>
          </w:tcPr>
          <w:p w14:paraId="6F01B311" w14:textId="77777777" w:rsidR="005F14E1" w:rsidRPr="0074063D" w:rsidRDefault="005F14E1" w:rsidP="00295CB2">
            <w:pPr>
              <w:jc w:val="center"/>
              <w:rPr>
                <w:rFonts w:ascii="Arial" w:hAnsi="Arial" w:cs="Arial"/>
                <w:b/>
                <w:bCs/>
                <w:color w:val="50003A"/>
              </w:rPr>
            </w:pPr>
            <w:r w:rsidRPr="0074063D">
              <w:rPr>
                <w:rFonts w:ascii="Arial" w:hAnsi="Arial" w:cs="Arial"/>
                <w:b/>
                <w:bCs/>
                <w:color w:val="50003A"/>
              </w:rPr>
              <w:t>Relationships</w:t>
            </w:r>
          </w:p>
        </w:tc>
        <w:tc>
          <w:tcPr>
            <w:tcW w:w="2621" w:type="dxa"/>
            <w:tcBorders>
              <w:bottom w:val="nil"/>
            </w:tcBorders>
            <w:shd w:val="clear" w:color="auto" w:fill="auto"/>
          </w:tcPr>
          <w:p w14:paraId="2F3F8AD6" w14:textId="77777777" w:rsidR="005F14E1" w:rsidRPr="0074063D" w:rsidRDefault="005F14E1" w:rsidP="00295CB2">
            <w:pPr>
              <w:jc w:val="center"/>
              <w:rPr>
                <w:rFonts w:ascii="Arial" w:hAnsi="Arial" w:cs="Arial"/>
                <w:b/>
                <w:bCs/>
                <w:color w:val="50003A"/>
              </w:rPr>
            </w:pPr>
            <w:r w:rsidRPr="0074063D">
              <w:rPr>
                <w:rFonts w:ascii="Arial" w:hAnsi="Arial" w:cs="Arial"/>
                <w:b/>
                <w:bCs/>
                <w:color w:val="50003A"/>
              </w:rPr>
              <w:t>Results Focus</w:t>
            </w:r>
          </w:p>
        </w:tc>
        <w:tc>
          <w:tcPr>
            <w:tcW w:w="2621" w:type="dxa"/>
            <w:tcBorders>
              <w:bottom w:val="nil"/>
            </w:tcBorders>
            <w:shd w:val="clear" w:color="auto" w:fill="auto"/>
          </w:tcPr>
          <w:p w14:paraId="33BE10BB" w14:textId="77777777" w:rsidR="005F14E1" w:rsidRPr="0074063D" w:rsidRDefault="005F14E1" w:rsidP="00295CB2">
            <w:pPr>
              <w:jc w:val="center"/>
              <w:rPr>
                <w:rFonts w:ascii="Arial" w:hAnsi="Arial" w:cs="Arial"/>
                <w:b/>
                <w:bCs/>
                <w:color w:val="50003A"/>
              </w:rPr>
            </w:pPr>
            <w:r w:rsidRPr="0074063D">
              <w:rPr>
                <w:rFonts w:ascii="Arial" w:hAnsi="Arial" w:cs="Arial"/>
                <w:b/>
                <w:bCs/>
                <w:color w:val="50003A"/>
              </w:rPr>
              <w:t>Grow Self</w:t>
            </w:r>
          </w:p>
        </w:tc>
        <w:tc>
          <w:tcPr>
            <w:tcW w:w="2622" w:type="dxa"/>
            <w:tcBorders>
              <w:bottom w:val="nil"/>
            </w:tcBorders>
            <w:shd w:val="clear" w:color="auto" w:fill="auto"/>
          </w:tcPr>
          <w:p w14:paraId="1D94995F" w14:textId="77777777" w:rsidR="005F14E1" w:rsidRPr="0074063D" w:rsidRDefault="005F14E1" w:rsidP="00295CB2">
            <w:pPr>
              <w:jc w:val="center"/>
              <w:rPr>
                <w:rFonts w:ascii="Arial" w:hAnsi="Arial" w:cs="Arial"/>
                <w:b/>
                <w:bCs/>
                <w:color w:val="50003A"/>
              </w:rPr>
            </w:pPr>
            <w:r w:rsidRPr="0074063D">
              <w:rPr>
                <w:rFonts w:ascii="Arial" w:hAnsi="Arial" w:cs="Arial"/>
                <w:b/>
                <w:bCs/>
                <w:color w:val="50003A"/>
              </w:rPr>
              <w:t>Role Expertise</w:t>
            </w:r>
          </w:p>
        </w:tc>
      </w:tr>
      <w:tr w:rsidR="00F6766A" w:rsidRPr="0074063D" w14:paraId="36CAA466" w14:textId="77777777" w:rsidTr="005C6160">
        <w:trPr>
          <w:trHeight w:val="1814"/>
        </w:trPr>
        <w:tc>
          <w:tcPr>
            <w:tcW w:w="2621" w:type="dxa"/>
            <w:tcBorders>
              <w:top w:val="nil"/>
            </w:tcBorders>
            <w:shd w:val="clear" w:color="auto" w:fill="auto"/>
          </w:tcPr>
          <w:p w14:paraId="0BD41008" w14:textId="77777777" w:rsidR="00F6766A" w:rsidRPr="0074063D" w:rsidRDefault="00F6766A" w:rsidP="00295CB2">
            <w:pPr>
              <w:jc w:val="center"/>
              <w:rPr>
                <w:rFonts w:ascii="Arial" w:hAnsi="Arial" w:cs="Arial"/>
              </w:rPr>
            </w:pPr>
            <w:r w:rsidRPr="0074063D">
              <w:rPr>
                <w:rFonts w:ascii="Arial" w:hAnsi="Arial" w:cs="Arial"/>
              </w:rPr>
              <w:t>Builds and maintains productive relationships with trust and integrity. Works collaboratively and is open to the perspectives of others.</w:t>
            </w:r>
          </w:p>
        </w:tc>
        <w:tc>
          <w:tcPr>
            <w:tcW w:w="2621" w:type="dxa"/>
            <w:tcBorders>
              <w:top w:val="nil"/>
            </w:tcBorders>
            <w:shd w:val="clear" w:color="auto" w:fill="auto"/>
          </w:tcPr>
          <w:p w14:paraId="6177ADD7" w14:textId="77777777" w:rsidR="00F6766A" w:rsidRPr="0074063D" w:rsidRDefault="00F6766A" w:rsidP="005F14E1">
            <w:pPr>
              <w:jc w:val="center"/>
              <w:rPr>
                <w:rFonts w:ascii="Arial" w:hAnsi="Arial" w:cs="Arial"/>
              </w:rPr>
            </w:pPr>
            <w:r w:rsidRPr="0074063D">
              <w:rPr>
                <w:rFonts w:ascii="Arial" w:hAnsi="Arial" w:cs="Arial"/>
              </w:rPr>
              <w:t>Sets and manages relevant goals. Is mindful of and responds to the business environment. Asks for help and reviews</w:t>
            </w:r>
            <w:r w:rsidR="005F14E1" w:rsidRPr="0074063D">
              <w:rPr>
                <w:rFonts w:ascii="Arial" w:hAnsi="Arial" w:cs="Arial"/>
              </w:rPr>
              <w:t xml:space="preserve"> f</w:t>
            </w:r>
            <w:r w:rsidRPr="0074063D">
              <w:rPr>
                <w:rFonts w:ascii="Arial" w:hAnsi="Arial" w:cs="Arial"/>
              </w:rPr>
              <w:t>or learning.</w:t>
            </w:r>
          </w:p>
        </w:tc>
        <w:tc>
          <w:tcPr>
            <w:tcW w:w="2621" w:type="dxa"/>
            <w:tcBorders>
              <w:top w:val="nil"/>
            </w:tcBorders>
            <w:shd w:val="clear" w:color="auto" w:fill="auto"/>
          </w:tcPr>
          <w:p w14:paraId="4754EE04" w14:textId="77777777" w:rsidR="00F6766A" w:rsidRPr="0074063D" w:rsidRDefault="00F6766A" w:rsidP="00295CB2">
            <w:pPr>
              <w:jc w:val="center"/>
              <w:rPr>
                <w:rFonts w:ascii="Arial" w:hAnsi="Arial" w:cs="Arial"/>
              </w:rPr>
            </w:pPr>
            <w:r w:rsidRPr="0074063D">
              <w:rPr>
                <w:rFonts w:ascii="Arial" w:hAnsi="Arial" w:cs="Arial"/>
              </w:rPr>
              <w:t>Grows knowledge, is curious and proactively applies learning. Builds resilience and is mindful of impact on others.</w:t>
            </w:r>
          </w:p>
        </w:tc>
        <w:tc>
          <w:tcPr>
            <w:tcW w:w="2622" w:type="dxa"/>
            <w:tcBorders>
              <w:top w:val="nil"/>
            </w:tcBorders>
            <w:shd w:val="clear" w:color="auto" w:fill="auto"/>
          </w:tcPr>
          <w:p w14:paraId="203BF249" w14:textId="77777777" w:rsidR="00F6766A" w:rsidRPr="0074063D" w:rsidRDefault="00F6766A" w:rsidP="00295CB2">
            <w:pPr>
              <w:jc w:val="center"/>
              <w:rPr>
                <w:rFonts w:ascii="Arial" w:hAnsi="Arial" w:cs="Arial"/>
              </w:rPr>
            </w:pPr>
            <w:r w:rsidRPr="0074063D">
              <w:rPr>
                <w:rFonts w:ascii="Arial" w:hAnsi="Arial" w:cs="Arial"/>
              </w:rPr>
              <w:t>Maintains role-specific standards and applies knowledge, skills and experience on-the-job.</w:t>
            </w:r>
          </w:p>
        </w:tc>
      </w:tr>
      <w:tr w:rsidR="00F6766A" w:rsidRPr="0074063D" w14:paraId="28EAD342" w14:textId="77777777" w:rsidTr="005C6160">
        <w:trPr>
          <w:trHeight w:val="215"/>
        </w:trPr>
        <w:tc>
          <w:tcPr>
            <w:tcW w:w="2621" w:type="dxa"/>
            <w:shd w:val="clear" w:color="auto" w:fill="595959" w:themeFill="text1" w:themeFillTint="A6"/>
          </w:tcPr>
          <w:p w14:paraId="1711BAA5" w14:textId="77326252" w:rsidR="00F6766A" w:rsidRPr="000A034F" w:rsidRDefault="00DF48CF" w:rsidP="00295CB2">
            <w:pPr>
              <w:jc w:val="center"/>
              <w:rPr>
                <w:rFonts w:ascii="Arial" w:hAnsi="Arial" w:cs="Arial"/>
                <w:b/>
                <w:bCs/>
                <w:color w:val="FFFFFF" w:themeColor="background1"/>
              </w:rPr>
            </w:pPr>
            <w:r w:rsidRPr="000A034F">
              <w:rPr>
                <w:rFonts w:ascii="Arial" w:hAnsi="Arial" w:cs="Arial"/>
                <w:b/>
                <w:bCs/>
                <w:color w:val="FFFFFF" w:themeColor="background1"/>
              </w:rPr>
              <w:t>Advanced</w:t>
            </w:r>
          </w:p>
        </w:tc>
        <w:tc>
          <w:tcPr>
            <w:tcW w:w="2621" w:type="dxa"/>
            <w:shd w:val="clear" w:color="auto" w:fill="595959" w:themeFill="text1" w:themeFillTint="A6"/>
          </w:tcPr>
          <w:p w14:paraId="1E31FA66" w14:textId="3E189400" w:rsidR="00F6766A" w:rsidRPr="000A034F" w:rsidRDefault="009F762A" w:rsidP="00295CB2">
            <w:pPr>
              <w:jc w:val="center"/>
              <w:rPr>
                <w:rFonts w:ascii="Arial" w:hAnsi="Arial" w:cs="Arial"/>
                <w:b/>
                <w:bCs/>
                <w:color w:val="FFFFFF" w:themeColor="background1"/>
              </w:rPr>
            </w:pPr>
            <w:r w:rsidRPr="000A034F">
              <w:rPr>
                <w:rFonts w:ascii="Arial" w:hAnsi="Arial" w:cs="Arial"/>
                <w:b/>
                <w:bCs/>
                <w:color w:val="FFFFFF" w:themeColor="background1"/>
              </w:rPr>
              <w:t>Advanced</w:t>
            </w:r>
          </w:p>
        </w:tc>
        <w:tc>
          <w:tcPr>
            <w:tcW w:w="2621" w:type="dxa"/>
            <w:shd w:val="clear" w:color="auto" w:fill="595959" w:themeFill="text1" w:themeFillTint="A6"/>
          </w:tcPr>
          <w:p w14:paraId="7E5FE634" w14:textId="371AED3C" w:rsidR="00F6766A" w:rsidRPr="000A034F" w:rsidRDefault="00DF48CF" w:rsidP="00295CB2">
            <w:pPr>
              <w:jc w:val="center"/>
              <w:rPr>
                <w:rFonts w:ascii="Arial" w:hAnsi="Arial" w:cs="Arial"/>
                <w:b/>
                <w:bCs/>
                <w:color w:val="FFFFFF" w:themeColor="background1"/>
              </w:rPr>
            </w:pPr>
            <w:r w:rsidRPr="000A034F">
              <w:rPr>
                <w:rFonts w:ascii="Arial" w:hAnsi="Arial" w:cs="Arial"/>
                <w:b/>
                <w:bCs/>
                <w:color w:val="FFFFFF" w:themeColor="background1"/>
              </w:rPr>
              <w:t>Intermediate</w:t>
            </w:r>
          </w:p>
        </w:tc>
        <w:tc>
          <w:tcPr>
            <w:tcW w:w="2622" w:type="dxa"/>
            <w:shd w:val="clear" w:color="auto" w:fill="595959" w:themeFill="text1" w:themeFillTint="A6"/>
          </w:tcPr>
          <w:p w14:paraId="400F6036" w14:textId="3264FEC1" w:rsidR="00F6766A" w:rsidRPr="000A034F" w:rsidRDefault="009F762A" w:rsidP="00295CB2">
            <w:pPr>
              <w:jc w:val="center"/>
              <w:rPr>
                <w:rFonts w:ascii="Arial" w:hAnsi="Arial" w:cs="Arial"/>
                <w:b/>
                <w:bCs/>
                <w:color w:val="FFFFFF" w:themeColor="background1"/>
              </w:rPr>
            </w:pPr>
            <w:r w:rsidRPr="000A034F">
              <w:rPr>
                <w:rFonts w:ascii="Arial" w:hAnsi="Arial" w:cs="Arial"/>
                <w:b/>
                <w:bCs/>
                <w:color w:val="FFFFFF" w:themeColor="background1"/>
              </w:rPr>
              <w:t>Advanced</w:t>
            </w:r>
          </w:p>
        </w:tc>
      </w:tr>
      <w:tr w:rsidR="005F14E1" w:rsidRPr="0074063D" w14:paraId="0CAE1014" w14:textId="77777777" w:rsidTr="005C6160">
        <w:trPr>
          <w:trHeight w:val="283"/>
        </w:trPr>
        <w:tc>
          <w:tcPr>
            <w:tcW w:w="2621" w:type="dxa"/>
            <w:tcBorders>
              <w:bottom w:val="nil"/>
            </w:tcBorders>
            <w:shd w:val="clear" w:color="auto" w:fill="auto"/>
          </w:tcPr>
          <w:p w14:paraId="53B74412" w14:textId="77777777" w:rsidR="005F14E1" w:rsidRPr="000A034F" w:rsidRDefault="005F14E1" w:rsidP="005F14E1">
            <w:pPr>
              <w:jc w:val="center"/>
              <w:rPr>
                <w:rFonts w:ascii="Arial" w:hAnsi="Arial" w:cs="Arial"/>
                <w:b/>
                <w:bCs/>
                <w:color w:val="50003A"/>
              </w:rPr>
            </w:pPr>
            <w:r w:rsidRPr="000A034F">
              <w:rPr>
                <w:rFonts w:ascii="Arial" w:hAnsi="Arial" w:cs="Arial"/>
                <w:b/>
                <w:bCs/>
                <w:color w:val="50003A"/>
              </w:rPr>
              <w:t>Communication</w:t>
            </w:r>
          </w:p>
        </w:tc>
        <w:tc>
          <w:tcPr>
            <w:tcW w:w="2621" w:type="dxa"/>
            <w:tcBorders>
              <w:bottom w:val="nil"/>
            </w:tcBorders>
            <w:shd w:val="clear" w:color="auto" w:fill="auto"/>
          </w:tcPr>
          <w:p w14:paraId="38BB501D" w14:textId="77777777" w:rsidR="005F14E1" w:rsidRPr="000A034F" w:rsidRDefault="005F14E1" w:rsidP="005F14E1">
            <w:pPr>
              <w:jc w:val="center"/>
              <w:rPr>
                <w:rFonts w:ascii="Arial" w:hAnsi="Arial" w:cs="Arial"/>
                <w:b/>
                <w:bCs/>
                <w:color w:val="50003A"/>
              </w:rPr>
            </w:pPr>
            <w:r w:rsidRPr="000A034F">
              <w:rPr>
                <w:rFonts w:ascii="Arial" w:hAnsi="Arial" w:cs="Arial"/>
                <w:b/>
                <w:bCs/>
                <w:color w:val="50003A"/>
              </w:rPr>
              <w:t>Execution</w:t>
            </w:r>
          </w:p>
        </w:tc>
        <w:tc>
          <w:tcPr>
            <w:tcW w:w="2621" w:type="dxa"/>
            <w:tcBorders>
              <w:bottom w:val="nil"/>
            </w:tcBorders>
            <w:shd w:val="clear" w:color="auto" w:fill="auto"/>
          </w:tcPr>
          <w:p w14:paraId="04FD3FC1" w14:textId="77777777" w:rsidR="005F14E1" w:rsidRPr="000A034F" w:rsidRDefault="005F14E1" w:rsidP="005F14E1">
            <w:pPr>
              <w:jc w:val="center"/>
              <w:rPr>
                <w:rFonts w:ascii="Arial" w:hAnsi="Arial" w:cs="Arial"/>
                <w:b/>
                <w:bCs/>
                <w:color w:val="50003A"/>
              </w:rPr>
            </w:pPr>
            <w:r w:rsidRPr="000A034F">
              <w:rPr>
                <w:rFonts w:ascii="Arial" w:hAnsi="Arial" w:cs="Arial"/>
                <w:b/>
                <w:bCs/>
                <w:color w:val="50003A"/>
              </w:rPr>
              <w:t>Grow Others</w:t>
            </w:r>
          </w:p>
        </w:tc>
        <w:tc>
          <w:tcPr>
            <w:tcW w:w="2622" w:type="dxa"/>
            <w:tcBorders>
              <w:bottom w:val="nil"/>
            </w:tcBorders>
            <w:shd w:val="clear" w:color="auto" w:fill="auto"/>
          </w:tcPr>
          <w:p w14:paraId="02839314" w14:textId="77777777" w:rsidR="005F14E1" w:rsidRPr="000A034F" w:rsidRDefault="005F14E1" w:rsidP="005F14E1">
            <w:pPr>
              <w:jc w:val="center"/>
              <w:rPr>
                <w:rFonts w:ascii="Arial" w:hAnsi="Arial" w:cs="Arial"/>
                <w:b/>
                <w:bCs/>
                <w:color w:val="50003A"/>
              </w:rPr>
            </w:pPr>
            <w:r w:rsidRPr="000A034F">
              <w:rPr>
                <w:rFonts w:ascii="Arial" w:hAnsi="Arial" w:cs="Arial"/>
                <w:b/>
                <w:bCs/>
                <w:color w:val="50003A"/>
              </w:rPr>
              <w:t>Customer Focus</w:t>
            </w:r>
          </w:p>
        </w:tc>
      </w:tr>
      <w:tr w:rsidR="005F14E1" w:rsidRPr="0074063D" w14:paraId="5B289B2E" w14:textId="77777777" w:rsidTr="005C6160">
        <w:trPr>
          <w:trHeight w:val="1814"/>
        </w:trPr>
        <w:tc>
          <w:tcPr>
            <w:tcW w:w="2621" w:type="dxa"/>
            <w:tcBorders>
              <w:top w:val="nil"/>
            </w:tcBorders>
            <w:shd w:val="clear" w:color="auto" w:fill="auto"/>
          </w:tcPr>
          <w:p w14:paraId="0CAB9062" w14:textId="77777777" w:rsidR="005F14E1" w:rsidRPr="000A034F" w:rsidRDefault="005F14E1" w:rsidP="005F14E1">
            <w:pPr>
              <w:jc w:val="center"/>
              <w:rPr>
                <w:rFonts w:ascii="Arial" w:hAnsi="Arial" w:cs="Arial"/>
              </w:rPr>
            </w:pPr>
            <w:r w:rsidRPr="000A034F">
              <w:rPr>
                <w:rFonts w:ascii="Arial" w:hAnsi="Arial" w:cs="Arial"/>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2CCEC427" w14:textId="77777777" w:rsidR="005F14E1" w:rsidRPr="000A034F" w:rsidRDefault="005F14E1" w:rsidP="005F14E1">
            <w:pPr>
              <w:jc w:val="center"/>
              <w:rPr>
                <w:rFonts w:ascii="Arial" w:hAnsi="Arial" w:cs="Arial"/>
              </w:rPr>
            </w:pPr>
            <w:r w:rsidRPr="000A034F">
              <w:rPr>
                <w:rFonts w:ascii="Arial" w:hAnsi="Arial" w:cs="Arial"/>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1347DE78" w14:textId="77777777" w:rsidR="005F14E1" w:rsidRPr="000A034F" w:rsidRDefault="005F14E1" w:rsidP="005F14E1">
            <w:pPr>
              <w:jc w:val="center"/>
              <w:rPr>
                <w:rFonts w:ascii="Arial" w:hAnsi="Arial" w:cs="Arial"/>
              </w:rPr>
            </w:pPr>
            <w:r w:rsidRPr="000A034F">
              <w:rPr>
                <w:rFonts w:ascii="Arial" w:hAnsi="Arial" w:cs="Arial"/>
              </w:rPr>
              <w:t>Develops others by sharing feedback, recognising and celebrating outcomes. Connects with others to guide, empower and inspire.</w:t>
            </w:r>
          </w:p>
        </w:tc>
        <w:tc>
          <w:tcPr>
            <w:tcW w:w="2622" w:type="dxa"/>
            <w:tcBorders>
              <w:top w:val="nil"/>
            </w:tcBorders>
            <w:shd w:val="clear" w:color="auto" w:fill="auto"/>
          </w:tcPr>
          <w:p w14:paraId="472E6D6C" w14:textId="77777777" w:rsidR="005F14E1" w:rsidRPr="000A034F" w:rsidRDefault="005F14E1" w:rsidP="005F14E1">
            <w:pPr>
              <w:jc w:val="center"/>
              <w:rPr>
                <w:rFonts w:ascii="Arial" w:hAnsi="Arial" w:cs="Arial"/>
              </w:rPr>
            </w:pPr>
            <w:r w:rsidRPr="000A034F">
              <w:rPr>
                <w:rFonts w:ascii="Arial" w:hAnsi="Arial" w:cs="Arial"/>
              </w:rPr>
              <w:t>Identifies customer goals, makes relevant recommendations and takes appropriate timely action. Collaborates across the business to deliver best outcomes for the customer.</w:t>
            </w:r>
          </w:p>
        </w:tc>
      </w:tr>
      <w:tr w:rsidR="005F14E1" w:rsidRPr="0074063D" w14:paraId="1029E935" w14:textId="77777777" w:rsidTr="005C6160">
        <w:trPr>
          <w:trHeight w:val="215"/>
        </w:trPr>
        <w:tc>
          <w:tcPr>
            <w:tcW w:w="2621" w:type="dxa"/>
            <w:shd w:val="clear" w:color="auto" w:fill="595959" w:themeFill="text1" w:themeFillTint="A6"/>
          </w:tcPr>
          <w:p w14:paraId="3FD61079" w14:textId="60282BF7" w:rsidR="005F14E1" w:rsidRPr="000A034F" w:rsidRDefault="009F762A" w:rsidP="005F14E1">
            <w:pPr>
              <w:jc w:val="center"/>
              <w:rPr>
                <w:rFonts w:ascii="Arial" w:hAnsi="Arial" w:cs="Arial"/>
                <w:b/>
                <w:bCs/>
                <w:color w:val="FFFFFF" w:themeColor="background1"/>
              </w:rPr>
            </w:pPr>
            <w:r w:rsidRPr="000A034F">
              <w:rPr>
                <w:rFonts w:ascii="Arial" w:hAnsi="Arial" w:cs="Arial"/>
                <w:b/>
                <w:bCs/>
                <w:color w:val="FFFFFF" w:themeColor="background1"/>
              </w:rPr>
              <w:t>Advanced</w:t>
            </w:r>
          </w:p>
        </w:tc>
        <w:tc>
          <w:tcPr>
            <w:tcW w:w="2621" w:type="dxa"/>
            <w:shd w:val="clear" w:color="auto" w:fill="595959" w:themeFill="text1" w:themeFillTint="A6"/>
          </w:tcPr>
          <w:p w14:paraId="1242C6DB" w14:textId="3BDEBF26" w:rsidR="005F14E1" w:rsidRPr="000A034F" w:rsidRDefault="009F762A" w:rsidP="005F14E1">
            <w:pPr>
              <w:jc w:val="center"/>
              <w:rPr>
                <w:rFonts w:ascii="Arial" w:hAnsi="Arial" w:cs="Arial"/>
                <w:b/>
                <w:bCs/>
                <w:color w:val="FFFFFF" w:themeColor="background1"/>
              </w:rPr>
            </w:pPr>
            <w:r w:rsidRPr="000A034F">
              <w:rPr>
                <w:rFonts w:ascii="Arial" w:hAnsi="Arial" w:cs="Arial"/>
                <w:b/>
                <w:bCs/>
                <w:color w:val="FFFFFF" w:themeColor="background1"/>
              </w:rPr>
              <w:t>Advanced</w:t>
            </w:r>
          </w:p>
        </w:tc>
        <w:tc>
          <w:tcPr>
            <w:tcW w:w="2621" w:type="dxa"/>
            <w:shd w:val="clear" w:color="auto" w:fill="595959" w:themeFill="text1" w:themeFillTint="A6"/>
          </w:tcPr>
          <w:p w14:paraId="26D36B52" w14:textId="7BD1E152" w:rsidR="005F14E1" w:rsidRPr="000A034F" w:rsidRDefault="00DF48CF" w:rsidP="005F14E1">
            <w:pPr>
              <w:jc w:val="center"/>
              <w:rPr>
                <w:rFonts w:ascii="Arial" w:hAnsi="Arial" w:cs="Arial"/>
                <w:b/>
                <w:bCs/>
                <w:color w:val="FFFFFF" w:themeColor="background1"/>
              </w:rPr>
            </w:pPr>
            <w:r w:rsidRPr="000A034F">
              <w:rPr>
                <w:rFonts w:ascii="Arial" w:hAnsi="Arial" w:cs="Arial"/>
                <w:b/>
                <w:bCs/>
                <w:color w:val="FFFFFF" w:themeColor="background1"/>
              </w:rPr>
              <w:t>Intermediate</w:t>
            </w:r>
          </w:p>
        </w:tc>
        <w:tc>
          <w:tcPr>
            <w:tcW w:w="2622" w:type="dxa"/>
            <w:shd w:val="clear" w:color="auto" w:fill="595959" w:themeFill="text1" w:themeFillTint="A6"/>
          </w:tcPr>
          <w:p w14:paraId="17C8DF44" w14:textId="05E6BA74" w:rsidR="005F14E1" w:rsidRPr="000A034F" w:rsidRDefault="00FA47FB" w:rsidP="005F14E1">
            <w:pPr>
              <w:jc w:val="center"/>
              <w:rPr>
                <w:rFonts w:ascii="Arial" w:hAnsi="Arial" w:cs="Arial"/>
                <w:b/>
                <w:bCs/>
                <w:color w:val="FFFFFF" w:themeColor="background1"/>
              </w:rPr>
            </w:pPr>
            <w:r w:rsidRPr="000A034F">
              <w:rPr>
                <w:rFonts w:ascii="Arial" w:hAnsi="Arial" w:cs="Arial"/>
                <w:b/>
                <w:bCs/>
                <w:color w:val="FFFFFF" w:themeColor="background1"/>
              </w:rPr>
              <w:t>Intermediate</w:t>
            </w:r>
          </w:p>
        </w:tc>
      </w:tr>
      <w:tr w:rsidR="005F14E1" w:rsidRPr="0074063D" w14:paraId="0BFCB103" w14:textId="77777777" w:rsidTr="005C6160">
        <w:trPr>
          <w:trHeight w:val="283"/>
        </w:trPr>
        <w:tc>
          <w:tcPr>
            <w:tcW w:w="2621" w:type="dxa"/>
            <w:tcBorders>
              <w:bottom w:val="nil"/>
            </w:tcBorders>
            <w:shd w:val="clear" w:color="auto" w:fill="auto"/>
          </w:tcPr>
          <w:p w14:paraId="32E43DE4" w14:textId="77777777" w:rsidR="005F14E1" w:rsidRPr="000A034F" w:rsidRDefault="005F14E1" w:rsidP="005F14E1">
            <w:pPr>
              <w:jc w:val="center"/>
              <w:rPr>
                <w:rFonts w:ascii="Arial" w:hAnsi="Arial" w:cs="Arial"/>
                <w:b/>
                <w:bCs/>
                <w:color w:val="50003A"/>
              </w:rPr>
            </w:pPr>
            <w:r w:rsidRPr="000A034F">
              <w:rPr>
                <w:rFonts w:ascii="Arial" w:hAnsi="Arial" w:cs="Arial"/>
                <w:b/>
                <w:bCs/>
                <w:color w:val="50003A"/>
              </w:rPr>
              <w:t>Partnering</w:t>
            </w:r>
          </w:p>
        </w:tc>
        <w:tc>
          <w:tcPr>
            <w:tcW w:w="2621" w:type="dxa"/>
            <w:tcBorders>
              <w:bottom w:val="nil"/>
            </w:tcBorders>
            <w:shd w:val="clear" w:color="auto" w:fill="auto"/>
          </w:tcPr>
          <w:p w14:paraId="79273109" w14:textId="77777777" w:rsidR="005F14E1" w:rsidRPr="000A034F" w:rsidRDefault="005F14E1" w:rsidP="005F14E1">
            <w:pPr>
              <w:jc w:val="center"/>
              <w:rPr>
                <w:rFonts w:ascii="Arial" w:hAnsi="Arial" w:cs="Arial"/>
                <w:b/>
                <w:bCs/>
                <w:color w:val="50003A"/>
              </w:rPr>
            </w:pPr>
            <w:r w:rsidRPr="000A034F">
              <w:rPr>
                <w:rFonts w:ascii="Arial" w:hAnsi="Arial" w:cs="Arial"/>
                <w:b/>
                <w:bCs/>
                <w:color w:val="50003A"/>
              </w:rPr>
              <w:t>Innovation</w:t>
            </w:r>
          </w:p>
        </w:tc>
        <w:tc>
          <w:tcPr>
            <w:tcW w:w="2621" w:type="dxa"/>
            <w:tcBorders>
              <w:bottom w:val="nil"/>
            </w:tcBorders>
            <w:shd w:val="clear" w:color="auto" w:fill="auto"/>
          </w:tcPr>
          <w:p w14:paraId="6F9124F8" w14:textId="77777777" w:rsidR="005F14E1" w:rsidRPr="000A034F" w:rsidRDefault="005F14E1" w:rsidP="005F14E1">
            <w:pPr>
              <w:jc w:val="center"/>
              <w:rPr>
                <w:rFonts w:ascii="Arial" w:hAnsi="Arial" w:cs="Arial"/>
                <w:b/>
                <w:bCs/>
                <w:color w:val="50003A"/>
              </w:rPr>
            </w:pPr>
            <w:r w:rsidRPr="000A034F">
              <w:rPr>
                <w:rFonts w:ascii="Arial" w:hAnsi="Arial" w:cs="Arial"/>
                <w:b/>
                <w:bCs/>
                <w:color w:val="50003A"/>
              </w:rPr>
              <w:t>Future Ready</w:t>
            </w:r>
          </w:p>
        </w:tc>
        <w:tc>
          <w:tcPr>
            <w:tcW w:w="2622" w:type="dxa"/>
            <w:tcBorders>
              <w:bottom w:val="nil"/>
            </w:tcBorders>
            <w:shd w:val="clear" w:color="auto" w:fill="auto"/>
          </w:tcPr>
          <w:p w14:paraId="2E44444B" w14:textId="77777777" w:rsidR="005F14E1" w:rsidRPr="000A034F" w:rsidRDefault="005F14E1" w:rsidP="005F14E1">
            <w:pPr>
              <w:jc w:val="center"/>
              <w:rPr>
                <w:rFonts w:ascii="Arial" w:hAnsi="Arial" w:cs="Arial"/>
                <w:b/>
                <w:bCs/>
                <w:color w:val="50003A"/>
              </w:rPr>
            </w:pPr>
            <w:r w:rsidRPr="000A034F">
              <w:rPr>
                <w:rFonts w:ascii="Arial" w:hAnsi="Arial" w:cs="Arial"/>
                <w:b/>
                <w:bCs/>
                <w:color w:val="50003A"/>
              </w:rPr>
              <w:t>Commerciality</w:t>
            </w:r>
          </w:p>
        </w:tc>
      </w:tr>
      <w:tr w:rsidR="005F14E1" w:rsidRPr="0074063D" w14:paraId="3DC276B2" w14:textId="77777777" w:rsidTr="005C6160">
        <w:trPr>
          <w:trHeight w:val="1814"/>
        </w:trPr>
        <w:tc>
          <w:tcPr>
            <w:tcW w:w="2621" w:type="dxa"/>
            <w:tcBorders>
              <w:top w:val="nil"/>
            </w:tcBorders>
            <w:shd w:val="clear" w:color="auto" w:fill="auto"/>
          </w:tcPr>
          <w:p w14:paraId="781F89AB" w14:textId="77777777" w:rsidR="005F14E1" w:rsidRPr="000A034F" w:rsidRDefault="005F14E1" w:rsidP="005F14E1">
            <w:pPr>
              <w:jc w:val="center"/>
              <w:rPr>
                <w:rFonts w:ascii="Arial" w:hAnsi="Arial" w:cs="Arial"/>
              </w:rPr>
            </w:pPr>
            <w:r w:rsidRPr="000A034F">
              <w:rPr>
                <w:rFonts w:ascii="Arial" w:hAnsi="Arial" w:cs="Arial"/>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6CF14D32" w14:textId="77777777" w:rsidR="005F14E1" w:rsidRPr="000A034F" w:rsidRDefault="005F14E1" w:rsidP="005F14E1">
            <w:pPr>
              <w:jc w:val="center"/>
              <w:rPr>
                <w:rFonts w:ascii="Arial" w:hAnsi="Arial" w:cs="Arial"/>
              </w:rPr>
            </w:pPr>
            <w:r w:rsidRPr="000A034F">
              <w:rPr>
                <w:rFonts w:ascii="Arial" w:hAnsi="Arial" w:cs="Arial"/>
              </w:rPr>
              <w:t>Constructively challenges the status quo and offers alternatives. Seeks to improve ways of working and is open to new ideas and experiences.</w:t>
            </w:r>
          </w:p>
        </w:tc>
        <w:tc>
          <w:tcPr>
            <w:tcW w:w="2621" w:type="dxa"/>
            <w:tcBorders>
              <w:top w:val="nil"/>
            </w:tcBorders>
            <w:shd w:val="clear" w:color="auto" w:fill="auto"/>
          </w:tcPr>
          <w:p w14:paraId="002B5C8C" w14:textId="77777777" w:rsidR="005F14E1" w:rsidRPr="000A034F" w:rsidRDefault="005F14E1" w:rsidP="005F14E1">
            <w:pPr>
              <w:jc w:val="center"/>
              <w:rPr>
                <w:rFonts w:ascii="Arial" w:hAnsi="Arial" w:cs="Arial"/>
              </w:rPr>
            </w:pPr>
            <w:r w:rsidRPr="000A034F">
              <w:rPr>
                <w:rFonts w:ascii="Arial" w:hAnsi="Arial" w:cs="Arial"/>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1A8A1132" w14:textId="77777777" w:rsidR="005F14E1" w:rsidRPr="000A034F" w:rsidRDefault="005F14E1" w:rsidP="005F14E1">
            <w:pPr>
              <w:jc w:val="center"/>
              <w:rPr>
                <w:rFonts w:ascii="Arial" w:hAnsi="Arial" w:cs="Arial"/>
              </w:rPr>
            </w:pPr>
            <w:r w:rsidRPr="000A034F">
              <w:rPr>
                <w:rFonts w:ascii="Arial" w:hAnsi="Arial" w:cs="Arial"/>
              </w:rPr>
              <w:t>Applies understanding of finance, risk, people and customer for decision-making to deliver business sustainability. Takes appropriate risks and acts in the best interest of the Bank.</w:t>
            </w:r>
          </w:p>
        </w:tc>
      </w:tr>
      <w:tr w:rsidR="005F14E1" w:rsidRPr="0074063D" w14:paraId="5F520C98" w14:textId="77777777" w:rsidTr="005C6160">
        <w:trPr>
          <w:trHeight w:val="215"/>
        </w:trPr>
        <w:tc>
          <w:tcPr>
            <w:tcW w:w="2621" w:type="dxa"/>
            <w:shd w:val="clear" w:color="auto" w:fill="595959" w:themeFill="text1" w:themeFillTint="A6"/>
          </w:tcPr>
          <w:p w14:paraId="6850501A" w14:textId="7835097A" w:rsidR="005F14E1" w:rsidRPr="000A034F" w:rsidRDefault="00AB52B5" w:rsidP="005F14E1">
            <w:pPr>
              <w:jc w:val="center"/>
              <w:rPr>
                <w:rFonts w:ascii="Arial" w:hAnsi="Arial" w:cs="Arial"/>
                <w:b/>
                <w:bCs/>
                <w:color w:val="FFFFFF" w:themeColor="background1"/>
              </w:rPr>
            </w:pPr>
            <w:r w:rsidRPr="000A034F">
              <w:rPr>
                <w:rFonts w:ascii="Arial" w:hAnsi="Arial" w:cs="Arial"/>
                <w:b/>
                <w:bCs/>
                <w:color w:val="FFFFFF" w:themeColor="background1"/>
              </w:rPr>
              <w:t>Advanced</w:t>
            </w:r>
          </w:p>
        </w:tc>
        <w:tc>
          <w:tcPr>
            <w:tcW w:w="2621" w:type="dxa"/>
            <w:shd w:val="clear" w:color="auto" w:fill="595959" w:themeFill="text1" w:themeFillTint="A6"/>
          </w:tcPr>
          <w:p w14:paraId="6C1DE5C3" w14:textId="2E398C96" w:rsidR="005F14E1" w:rsidRPr="000A034F" w:rsidRDefault="00FA47FB" w:rsidP="005F14E1">
            <w:pPr>
              <w:jc w:val="center"/>
              <w:rPr>
                <w:rFonts w:ascii="Arial" w:hAnsi="Arial" w:cs="Arial"/>
                <w:b/>
                <w:bCs/>
                <w:color w:val="FFFFFF" w:themeColor="background1"/>
              </w:rPr>
            </w:pPr>
            <w:r w:rsidRPr="000A034F">
              <w:rPr>
                <w:rFonts w:ascii="Arial" w:hAnsi="Arial" w:cs="Arial"/>
                <w:b/>
                <w:bCs/>
                <w:color w:val="FFFFFF" w:themeColor="background1"/>
              </w:rPr>
              <w:t>Intermediate</w:t>
            </w:r>
          </w:p>
        </w:tc>
        <w:tc>
          <w:tcPr>
            <w:tcW w:w="2621" w:type="dxa"/>
            <w:shd w:val="clear" w:color="auto" w:fill="595959" w:themeFill="text1" w:themeFillTint="A6"/>
          </w:tcPr>
          <w:p w14:paraId="52044E65" w14:textId="165A7A7A" w:rsidR="005F14E1" w:rsidRPr="000A034F" w:rsidRDefault="009F762A" w:rsidP="005F14E1">
            <w:pPr>
              <w:jc w:val="center"/>
              <w:rPr>
                <w:rFonts w:ascii="Arial" w:hAnsi="Arial" w:cs="Arial"/>
                <w:b/>
                <w:bCs/>
                <w:color w:val="FFFFFF" w:themeColor="background1"/>
              </w:rPr>
            </w:pPr>
            <w:r w:rsidRPr="000A034F">
              <w:rPr>
                <w:rFonts w:ascii="Arial" w:hAnsi="Arial" w:cs="Arial"/>
                <w:b/>
                <w:bCs/>
                <w:color w:val="FFFFFF" w:themeColor="background1"/>
              </w:rPr>
              <w:t>Intermediate</w:t>
            </w:r>
          </w:p>
        </w:tc>
        <w:tc>
          <w:tcPr>
            <w:tcW w:w="2622" w:type="dxa"/>
            <w:shd w:val="clear" w:color="auto" w:fill="595959" w:themeFill="text1" w:themeFillTint="A6"/>
          </w:tcPr>
          <w:p w14:paraId="0A40498B" w14:textId="21D7B365" w:rsidR="005F14E1" w:rsidRPr="000A034F" w:rsidRDefault="00DF48CF" w:rsidP="005F14E1">
            <w:pPr>
              <w:jc w:val="center"/>
              <w:rPr>
                <w:rFonts w:ascii="Arial" w:hAnsi="Arial" w:cs="Arial"/>
                <w:b/>
                <w:bCs/>
                <w:color w:val="FFFFFF" w:themeColor="background1"/>
              </w:rPr>
            </w:pPr>
            <w:r w:rsidRPr="000A034F">
              <w:rPr>
                <w:rFonts w:ascii="Arial" w:hAnsi="Arial" w:cs="Arial"/>
                <w:b/>
                <w:bCs/>
                <w:color w:val="FFFFFF" w:themeColor="background1"/>
              </w:rPr>
              <w:t>Advanced</w:t>
            </w:r>
          </w:p>
        </w:tc>
      </w:tr>
      <w:bookmarkEnd w:id="2"/>
    </w:tbl>
    <w:p w14:paraId="69BA1EC6" w14:textId="77777777" w:rsidR="00F6766A" w:rsidRPr="0074063D" w:rsidRDefault="00F6766A" w:rsidP="00FC1548">
      <w:pPr>
        <w:spacing w:after="0"/>
        <w:rPr>
          <w:rFonts w:ascii="Arial" w:hAnsi="Arial" w:cs="Arial"/>
        </w:rPr>
      </w:pPr>
    </w:p>
    <w:p w14:paraId="243B7FED" w14:textId="77777777" w:rsidR="005C6160" w:rsidRPr="0074063D" w:rsidRDefault="005C6160" w:rsidP="00CF279A">
      <w:pPr>
        <w:rPr>
          <w:rFonts w:ascii="Arial" w:hAnsi="Arial" w:cs="Arial"/>
          <w:b/>
          <w:bCs/>
          <w:color w:val="FFFFFF" w:themeColor="background1"/>
        </w:rPr>
        <w:sectPr w:rsidR="005C6160" w:rsidRPr="0074063D"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4063D" w14:paraId="4804E023" w14:textId="77777777" w:rsidTr="00734230">
        <w:tc>
          <w:tcPr>
            <w:tcW w:w="10485" w:type="dxa"/>
            <w:gridSpan w:val="2"/>
            <w:shd w:val="clear" w:color="auto" w:fill="50003A"/>
          </w:tcPr>
          <w:p w14:paraId="19A77374" w14:textId="77777777" w:rsidR="00F07158" w:rsidRPr="0074063D" w:rsidRDefault="00F07158" w:rsidP="00CF279A">
            <w:pPr>
              <w:rPr>
                <w:rFonts w:ascii="Arial" w:hAnsi="Arial" w:cs="Arial"/>
                <w:b/>
                <w:bCs/>
              </w:rPr>
            </w:pPr>
            <w:r w:rsidRPr="0074063D">
              <w:rPr>
                <w:rFonts w:ascii="Arial" w:hAnsi="Arial" w:cs="Arial"/>
                <w:b/>
                <w:bCs/>
                <w:color w:val="FFFFFF" w:themeColor="background1"/>
              </w:rPr>
              <w:t>Role motivators</w:t>
            </w:r>
          </w:p>
        </w:tc>
      </w:tr>
      <w:tr w:rsidR="00F07158" w:rsidRPr="0074063D" w14:paraId="63DDB437" w14:textId="77777777" w:rsidTr="007E794E">
        <w:trPr>
          <w:trHeight w:val="556"/>
        </w:trPr>
        <w:tc>
          <w:tcPr>
            <w:tcW w:w="2689" w:type="dxa"/>
            <w:vAlign w:val="center"/>
          </w:tcPr>
          <w:p w14:paraId="7E1784FD" w14:textId="5CF12191" w:rsidR="00F07158" w:rsidRPr="0074063D" w:rsidRDefault="00C0785B" w:rsidP="007E794E">
            <w:pPr>
              <w:rPr>
                <w:rFonts w:ascii="Arial" w:hAnsi="Arial" w:cs="Arial"/>
                <w:b/>
                <w:bCs/>
              </w:rPr>
            </w:pPr>
            <w:r w:rsidRPr="0074063D">
              <w:rPr>
                <w:rFonts w:ascii="Arial" w:hAnsi="Arial" w:cs="Arial"/>
                <w:b/>
                <w:bCs/>
              </w:rPr>
              <w:t>Achievement</w:t>
            </w:r>
          </w:p>
        </w:tc>
        <w:tc>
          <w:tcPr>
            <w:tcW w:w="7796" w:type="dxa"/>
            <w:vAlign w:val="center"/>
          </w:tcPr>
          <w:p w14:paraId="6755DBCA" w14:textId="312DA52B" w:rsidR="0030682C" w:rsidRPr="0074063D" w:rsidRDefault="00347208" w:rsidP="007E794E">
            <w:pPr>
              <w:pStyle w:val="Default"/>
              <w:rPr>
                <w:sz w:val="22"/>
                <w:szCs w:val="22"/>
              </w:rPr>
            </w:pPr>
            <w:r w:rsidRPr="0074063D">
              <w:rPr>
                <w:sz w:val="22"/>
                <w:szCs w:val="22"/>
              </w:rPr>
              <w:t xml:space="preserve">Gaining a sense of achievement, closure; seeing something through to completion; working towards attainable goals </w:t>
            </w:r>
          </w:p>
        </w:tc>
      </w:tr>
      <w:tr w:rsidR="005616C8" w:rsidRPr="0074063D" w14:paraId="46723AEF" w14:textId="77777777" w:rsidTr="007E794E">
        <w:trPr>
          <w:trHeight w:val="556"/>
        </w:trPr>
        <w:tc>
          <w:tcPr>
            <w:tcW w:w="2689" w:type="dxa"/>
            <w:vAlign w:val="center"/>
          </w:tcPr>
          <w:p w14:paraId="4B578808" w14:textId="5F9FA49D" w:rsidR="005616C8" w:rsidRPr="0074063D" w:rsidRDefault="00C0785B" w:rsidP="007E794E">
            <w:pPr>
              <w:rPr>
                <w:rFonts w:ascii="Arial" w:hAnsi="Arial" w:cs="Arial"/>
                <w:b/>
                <w:bCs/>
              </w:rPr>
            </w:pPr>
            <w:r w:rsidRPr="0074063D">
              <w:rPr>
                <w:rFonts w:ascii="Arial" w:hAnsi="Arial" w:cs="Arial"/>
                <w:b/>
                <w:bCs/>
              </w:rPr>
              <w:t>Challenge</w:t>
            </w:r>
          </w:p>
        </w:tc>
        <w:tc>
          <w:tcPr>
            <w:tcW w:w="7796" w:type="dxa"/>
            <w:vAlign w:val="center"/>
          </w:tcPr>
          <w:p w14:paraId="780A83E1" w14:textId="1225A2F3" w:rsidR="005616C8" w:rsidRPr="0074063D" w:rsidRDefault="00347208" w:rsidP="007E794E">
            <w:pPr>
              <w:pStyle w:val="Default"/>
              <w:rPr>
                <w:sz w:val="22"/>
                <w:szCs w:val="22"/>
              </w:rPr>
            </w:pPr>
            <w:r w:rsidRPr="0074063D">
              <w:rPr>
                <w:sz w:val="22"/>
                <w:szCs w:val="22"/>
              </w:rPr>
              <w:t>Performing mentally stimulating work, solving complex and/or unfamiliar problems, stretching self intellectually.</w:t>
            </w:r>
          </w:p>
        </w:tc>
      </w:tr>
      <w:tr w:rsidR="005616C8" w:rsidRPr="0074063D" w14:paraId="7020682A" w14:textId="77777777" w:rsidTr="007E794E">
        <w:trPr>
          <w:trHeight w:val="556"/>
        </w:trPr>
        <w:tc>
          <w:tcPr>
            <w:tcW w:w="2689" w:type="dxa"/>
            <w:vAlign w:val="center"/>
          </w:tcPr>
          <w:p w14:paraId="274BC7C1" w14:textId="77C35E74" w:rsidR="005616C8" w:rsidRPr="0074063D" w:rsidRDefault="00C0785B" w:rsidP="007E794E">
            <w:pPr>
              <w:rPr>
                <w:rFonts w:ascii="Arial" w:hAnsi="Arial" w:cs="Arial"/>
                <w:b/>
                <w:bCs/>
              </w:rPr>
            </w:pPr>
            <w:r w:rsidRPr="0074063D">
              <w:rPr>
                <w:rFonts w:ascii="Arial" w:hAnsi="Arial" w:cs="Arial"/>
                <w:b/>
                <w:bCs/>
              </w:rPr>
              <w:t>Expertise</w:t>
            </w:r>
          </w:p>
        </w:tc>
        <w:tc>
          <w:tcPr>
            <w:tcW w:w="7796" w:type="dxa"/>
            <w:vAlign w:val="center"/>
          </w:tcPr>
          <w:p w14:paraId="213B044B" w14:textId="552F204B" w:rsidR="005616C8" w:rsidRPr="0074063D" w:rsidRDefault="00347208" w:rsidP="007E794E">
            <w:pPr>
              <w:pStyle w:val="Default"/>
              <w:rPr>
                <w:sz w:val="22"/>
                <w:szCs w:val="22"/>
              </w:rPr>
            </w:pPr>
            <w:r w:rsidRPr="0074063D">
              <w:rPr>
                <w:sz w:val="22"/>
                <w:szCs w:val="22"/>
              </w:rPr>
              <w:t>Being recognised for specialist knowledge; providing specialist advice.</w:t>
            </w:r>
          </w:p>
        </w:tc>
      </w:tr>
    </w:tbl>
    <w:p w14:paraId="264918EF" w14:textId="77777777" w:rsidR="008B6203" w:rsidRPr="0074063D" w:rsidRDefault="008B6203" w:rsidP="00CB17DE">
      <w:pPr>
        <w:spacing w:after="0"/>
        <w:rPr>
          <w:rFonts w:ascii="Arial" w:hAnsi="Arial" w:cs="Arial"/>
        </w:rPr>
      </w:pPr>
    </w:p>
    <w:sectPr w:rsidR="008B6203" w:rsidRPr="0074063D"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9891" w14:textId="77777777" w:rsidR="004D59E6" w:rsidRDefault="004D59E6" w:rsidP="00E5307F">
      <w:pPr>
        <w:spacing w:after="0" w:line="240" w:lineRule="auto"/>
      </w:pPr>
      <w:r>
        <w:separator/>
      </w:r>
    </w:p>
  </w:endnote>
  <w:endnote w:type="continuationSeparator" w:id="0">
    <w:p w14:paraId="2FBF9ACD" w14:textId="77777777" w:rsidR="004D59E6" w:rsidRDefault="004D59E6"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1905" w14:textId="5C3E8D5F"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AF0731">
      <w:rPr>
        <w:rFonts w:ascii="Arial" w:hAnsi="Arial" w:cs="Arial"/>
        <w:noProof/>
        <w:sz w:val="18"/>
        <w:szCs w:val="18"/>
      </w:rPr>
      <w:t>24-Sep-21</w:t>
    </w:r>
    <w:r>
      <w:rPr>
        <w:rFonts w:ascii="Arial" w:hAnsi="Arial" w:cs="Arial"/>
        <w:sz w:val="18"/>
        <w:szCs w:val="18"/>
      </w:rPr>
      <w:fldChar w:fldCharType="end"/>
    </w:r>
  </w:p>
  <w:p w14:paraId="0ADED2C6"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6D51" w14:textId="77777777" w:rsidR="004D59E6" w:rsidRDefault="004D59E6" w:rsidP="00E5307F">
      <w:pPr>
        <w:spacing w:after="0" w:line="240" w:lineRule="auto"/>
      </w:pPr>
      <w:r>
        <w:separator/>
      </w:r>
    </w:p>
  </w:footnote>
  <w:footnote w:type="continuationSeparator" w:id="0">
    <w:p w14:paraId="172E4951" w14:textId="77777777" w:rsidR="004D59E6" w:rsidRDefault="004D59E6"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58B2"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7D675081" wp14:editId="7F884DFC">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2B24B6C2" wp14:editId="3A83EDD8">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66FE51"/>
    <w:multiLevelType w:val="hybridMultilevel"/>
    <w:tmpl w:val="29F0D0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EACE2E"/>
    <w:multiLevelType w:val="hybridMultilevel"/>
    <w:tmpl w:val="63C279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426F02"/>
    <w:multiLevelType w:val="hybridMultilevel"/>
    <w:tmpl w:val="E9D36F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26E38"/>
    <w:multiLevelType w:val="hybridMultilevel"/>
    <w:tmpl w:val="8DFD9D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BE94D5"/>
    <w:multiLevelType w:val="hybridMultilevel"/>
    <w:tmpl w:val="86B4AC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0114405"/>
    <w:multiLevelType w:val="hybridMultilevel"/>
    <w:tmpl w:val="2DF32E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161F18"/>
    <w:multiLevelType w:val="hybridMultilevel"/>
    <w:tmpl w:val="18EC8E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7C41BEA"/>
    <w:multiLevelType w:val="hybridMultilevel"/>
    <w:tmpl w:val="F69B0B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4D34A7"/>
    <w:multiLevelType w:val="hybridMultilevel"/>
    <w:tmpl w:val="D856F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8745BE0"/>
    <w:multiLevelType w:val="hybridMultilevel"/>
    <w:tmpl w:val="DEDEA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657051"/>
    <w:multiLevelType w:val="hybridMultilevel"/>
    <w:tmpl w:val="3E82868E"/>
    <w:lvl w:ilvl="0" w:tplc="B5A892DC">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2"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B6F6C"/>
    <w:multiLevelType w:val="hybridMultilevel"/>
    <w:tmpl w:val="62BA6C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DE6096B"/>
    <w:multiLevelType w:val="hybridMultilevel"/>
    <w:tmpl w:val="CE24CAC8"/>
    <w:lvl w:ilvl="0" w:tplc="A2D09E82">
      <w:start w:val="4"/>
      <w:numFmt w:val="bullet"/>
      <w:lvlText w:val=""/>
      <w:lvlJc w:val="left"/>
      <w:pPr>
        <w:tabs>
          <w:tab w:val="num" w:pos="360"/>
        </w:tabs>
        <w:ind w:left="360" w:hanging="360"/>
      </w:pPr>
      <w:rPr>
        <w:rFonts w:ascii="Symbol" w:eastAsia="Times New Roman" w:hAnsi="Symbol" w:cs="Tahoma" w:hint="default"/>
        <w:sz w:val="18"/>
        <w:szCs w:val="18"/>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BB1E3E"/>
    <w:multiLevelType w:val="hybridMultilevel"/>
    <w:tmpl w:val="CE5C2024"/>
    <w:lvl w:ilvl="0" w:tplc="EEFE09F4">
      <w:numFmt w:val="bullet"/>
      <w:lvlText w:val="•"/>
      <w:lvlJc w:val="left"/>
      <w:pPr>
        <w:ind w:left="752" w:hanging="360"/>
      </w:pPr>
      <w:rPr>
        <w:rFonts w:ascii="Arial" w:eastAsiaTheme="minorHAnsi" w:hAnsi="Arial" w:cs="Aria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7" w15:restartNumberingAfterBreak="0">
    <w:nsid w:val="45D25CAA"/>
    <w:multiLevelType w:val="hybridMultilevel"/>
    <w:tmpl w:val="56E88A4A"/>
    <w:lvl w:ilvl="0" w:tplc="B5A892D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19" w15:restartNumberingAfterBreak="0">
    <w:nsid w:val="4C286F93"/>
    <w:multiLevelType w:val="hybridMultilevel"/>
    <w:tmpl w:val="FEFCB4C4"/>
    <w:lvl w:ilvl="0" w:tplc="D8085512">
      <w:numFmt w:val="bullet"/>
      <w:lvlText w:val=""/>
      <w:lvlJc w:val="left"/>
      <w:pPr>
        <w:ind w:left="722" w:hanging="690"/>
      </w:pPr>
      <w:rPr>
        <w:rFonts w:ascii="Symbol" w:eastAsiaTheme="minorHAnsi" w:hAnsi="Symbol" w:cs="Arial"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1832" w:hanging="360"/>
      </w:pPr>
      <w:rPr>
        <w:rFonts w:ascii="Wingdings" w:hAnsi="Wingdings" w:hint="default"/>
      </w:rPr>
    </w:lvl>
    <w:lvl w:ilvl="3" w:tplc="0C090001" w:tentative="1">
      <w:start w:val="1"/>
      <w:numFmt w:val="bullet"/>
      <w:lvlText w:val=""/>
      <w:lvlJc w:val="left"/>
      <w:pPr>
        <w:ind w:left="2552" w:hanging="360"/>
      </w:pPr>
      <w:rPr>
        <w:rFonts w:ascii="Symbol" w:hAnsi="Symbol" w:hint="default"/>
      </w:rPr>
    </w:lvl>
    <w:lvl w:ilvl="4" w:tplc="0C090003" w:tentative="1">
      <w:start w:val="1"/>
      <w:numFmt w:val="bullet"/>
      <w:lvlText w:val="o"/>
      <w:lvlJc w:val="left"/>
      <w:pPr>
        <w:ind w:left="3272" w:hanging="360"/>
      </w:pPr>
      <w:rPr>
        <w:rFonts w:ascii="Courier New" w:hAnsi="Courier New" w:cs="Courier New" w:hint="default"/>
      </w:rPr>
    </w:lvl>
    <w:lvl w:ilvl="5" w:tplc="0C090005" w:tentative="1">
      <w:start w:val="1"/>
      <w:numFmt w:val="bullet"/>
      <w:lvlText w:val=""/>
      <w:lvlJc w:val="left"/>
      <w:pPr>
        <w:ind w:left="3992" w:hanging="360"/>
      </w:pPr>
      <w:rPr>
        <w:rFonts w:ascii="Wingdings" w:hAnsi="Wingdings" w:hint="default"/>
      </w:rPr>
    </w:lvl>
    <w:lvl w:ilvl="6" w:tplc="0C090001" w:tentative="1">
      <w:start w:val="1"/>
      <w:numFmt w:val="bullet"/>
      <w:lvlText w:val=""/>
      <w:lvlJc w:val="left"/>
      <w:pPr>
        <w:ind w:left="4712" w:hanging="360"/>
      </w:pPr>
      <w:rPr>
        <w:rFonts w:ascii="Symbol" w:hAnsi="Symbol" w:hint="default"/>
      </w:rPr>
    </w:lvl>
    <w:lvl w:ilvl="7" w:tplc="0C090003" w:tentative="1">
      <w:start w:val="1"/>
      <w:numFmt w:val="bullet"/>
      <w:lvlText w:val="o"/>
      <w:lvlJc w:val="left"/>
      <w:pPr>
        <w:ind w:left="5432" w:hanging="360"/>
      </w:pPr>
      <w:rPr>
        <w:rFonts w:ascii="Courier New" w:hAnsi="Courier New" w:cs="Courier New" w:hint="default"/>
      </w:rPr>
    </w:lvl>
    <w:lvl w:ilvl="8" w:tplc="0C090005" w:tentative="1">
      <w:start w:val="1"/>
      <w:numFmt w:val="bullet"/>
      <w:lvlText w:val=""/>
      <w:lvlJc w:val="left"/>
      <w:pPr>
        <w:ind w:left="6152" w:hanging="360"/>
      </w:pPr>
      <w:rPr>
        <w:rFonts w:ascii="Wingdings" w:hAnsi="Wingdings" w:hint="default"/>
      </w:rPr>
    </w:lvl>
  </w:abstractNum>
  <w:abstractNum w:abstractNumId="20" w15:restartNumberingAfterBreak="0">
    <w:nsid w:val="4D7C4773"/>
    <w:multiLevelType w:val="singleLevel"/>
    <w:tmpl w:val="D8A027F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D11D0E"/>
    <w:multiLevelType w:val="hybridMultilevel"/>
    <w:tmpl w:val="AC7CAEE0"/>
    <w:lvl w:ilvl="0" w:tplc="EEFE09F4">
      <w:numFmt w:val="bullet"/>
      <w:lvlText w:val="•"/>
      <w:lvlJc w:val="left"/>
      <w:pPr>
        <w:ind w:left="752" w:hanging="360"/>
      </w:pPr>
      <w:rPr>
        <w:rFonts w:ascii="Arial" w:eastAsiaTheme="minorHAnsi" w:hAnsi="Arial" w:cs="Aria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22" w15:restartNumberingAfterBreak="0">
    <w:nsid w:val="554D3718"/>
    <w:multiLevelType w:val="hybridMultilevel"/>
    <w:tmpl w:val="EAA8E9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913B18"/>
    <w:multiLevelType w:val="hybridMultilevel"/>
    <w:tmpl w:val="71D6A858"/>
    <w:lvl w:ilvl="0" w:tplc="A2D09E82">
      <w:start w:val="4"/>
      <w:numFmt w:val="bullet"/>
      <w:lvlText w:val=""/>
      <w:lvlJc w:val="left"/>
      <w:pPr>
        <w:tabs>
          <w:tab w:val="num" w:pos="360"/>
        </w:tabs>
        <w:ind w:left="360" w:hanging="360"/>
      </w:pPr>
      <w:rPr>
        <w:rFonts w:ascii="Symbol" w:eastAsia="TIMES NEW (W1)" w:hAnsi="Symbol" w:cs="Tahoma" w:hint="default"/>
        <w:sz w:val="18"/>
        <w:szCs w:val="18"/>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A0F288B"/>
    <w:multiLevelType w:val="hybridMultilevel"/>
    <w:tmpl w:val="49DAB4FC"/>
    <w:lvl w:ilvl="0" w:tplc="A2D09E82">
      <w:start w:val="4"/>
      <w:numFmt w:val="bullet"/>
      <w:lvlText w:val=""/>
      <w:lvlJc w:val="left"/>
      <w:pPr>
        <w:tabs>
          <w:tab w:val="num" w:pos="360"/>
        </w:tabs>
        <w:ind w:left="360" w:hanging="360"/>
      </w:pPr>
      <w:rPr>
        <w:rFonts w:ascii="Symbol" w:eastAsia="Times New Roman" w:hAnsi="Symbol" w:cs="Tahoma" w:hint="default"/>
        <w:sz w:val="18"/>
        <w:szCs w:val="18"/>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7E1107"/>
    <w:multiLevelType w:val="hybridMultilevel"/>
    <w:tmpl w:val="D010A8B4"/>
    <w:lvl w:ilvl="0" w:tplc="EEFE09F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3409C8"/>
    <w:multiLevelType w:val="hybridMultilevel"/>
    <w:tmpl w:val="C4128F2A"/>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29" w15:restartNumberingAfterBreak="0">
    <w:nsid w:val="6964F789"/>
    <w:multiLevelType w:val="hybridMultilevel"/>
    <w:tmpl w:val="AC9DB4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B4A3CF6"/>
    <w:multiLevelType w:val="hybridMultilevel"/>
    <w:tmpl w:val="151E6B9A"/>
    <w:lvl w:ilvl="0" w:tplc="FAF2B7C8">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0EB8BF0"/>
    <w:multiLevelType w:val="hybridMultilevel"/>
    <w:tmpl w:val="3C5D20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8DA2449"/>
    <w:multiLevelType w:val="hybridMultilevel"/>
    <w:tmpl w:val="921A5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6"/>
  </w:num>
  <w:num w:numId="4">
    <w:abstractNumId w:val="15"/>
  </w:num>
  <w:num w:numId="5">
    <w:abstractNumId w:val="25"/>
  </w:num>
  <w:num w:numId="6">
    <w:abstractNumId w:val="32"/>
  </w:num>
  <w:num w:numId="7">
    <w:abstractNumId w:val="22"/>
  </w:num>
  <w:num w:numId="8">
    <w:abstractNumId w:val="23"/>
  </w:num>
  <w:num w:numId="9">
    <w:abstractNumId w:val="14"/>
  </w:num>
  <w:num w:numId="10">
    <w:abstractNumId w:val="24"/>
  </w:num>
  <w:num w:numId="11">
    <w:abstractNumId w:val="6"/>
  </w:num>
  <w:num w:numId="12">
    <w:abstractNumId w:val="3"/>
  </w:num>
  <w:num w:numId="13">
    <w:abstractNumId w:val="13"/>
  </w:num>
  <w:num w:numId="14">
    <w:abstractNumId w:val="29"/>
  </w:num>
  <w:num w:numId="15">
    <w:abstractNumId w:val="4"/>
  </w:num>
  <w:num w:numId="16">
    <w:abstractNumId w:val="0"/>
  </w:num>
  <w:num w:numId="17">
    <w:abstractNumId w:val="8"/>
  </w:num>
  <w:num w:numId="18">
    <w:abstractNumId w:val="2"/>
  </w:num>
  <w:num w:numId="19">
    <w:abstractNumId w:val="1"/>
  </w:num>
  <w:num w:numId="20">
    <w:abstractNumId w:val="31"/>
  </w:num>
  <w:num w:numId="21">
    <w:abstractNumId w:val="30"/>
  </w:num>
  <w:num w:numId="22">
    <w:abstractNumId w:val="20"/>
  </w:num>
  <w:num w:numId="23">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8"/>
  </w:num>
  <w:num w:numId="25">
    <w:abstractNumId w:val="10"/>
  </w:num>
  <w:num w:numId="26">
    <w:abstractNumId w:val="27"/>
  </w:num>
  <w:num w:numId="27">
    <w:abstractNumId w:val="9"/>
  </w:num>
  <w:num w:numId="28">
    <w:abstractNumId w:val="21"/>
  </w:num>
  <w:num w:numId="29">
    <w:abstractNumId w:val="16"/>
  </w:num>
  <w:num w:numId="30">
    <w:abstractNumId w:val="11"/>
  </w:num>
  <w:num w:numId="31">
    <w:abstractNumId w:val="19"/>
  </w:num>
  <w:num w:numId="32">
    <w:abstractNumId w:val="1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9F"/>
    <w:rsid w:val="000033D3"/>
    <w:rsid w:val="0000434F"/>
    <w:rsid w:val="00004D57"/>
    <w:rsid w:val="00034456"/>
    <w:rsid w:val="00042539"/>
    <w:rsid w:val="00045F7F"/>
    <w:rsid w:val="00051E1B"/>
    <w:rsid w:val="000570D5"/>
    <w:rsid w:val="00063D40"/>
    <w:rsid w:val="0006596E"/>
    <w:rsid w:val="000719BA"/>
    <w:rsid w:val="000840FF"/>
    <w:rsid w:val="00084843"/>
    <w:rsid w:val="000853A7"/>
    <w:rsid w:val="000854FE"/>
    <w:rsid w:val="00092A6F"/>
    <w:rsid w:val="0009769D"/>
    <w:rsid w:val="000A034F"/>
    <w:rsid w:val="000A2B3D"/>
    <w:rsid w:val="000A6BAB"/>
    <w:rsid w:val="000D5796"/>
    <w:rsid w:val="000F6A5A"/>
    <w:rsid w:val="00105185"/>
    <w:rsid w:val="0010623F"/>
    <w:rsid w:val="00171E27"/>
    <w:rsid w:val="00185A5A"/>
    <w:rsid w:val="0019040A"/>
    <w:rsid w:val="00196B80"/>
    <w:rsid w:val="001B1A89"/>
    <w:rsid w:val="001E2072"/>
    <w:rsid w:val="001E7650"/>
    <w:rsid w:val="0022361F"/>
    <w:rsid w:val="002315EF"/>
    <w:rsid w:val="00265AA0"/>
    <w:rsid w:val="00272AB3"/>
    <w:rsid w:val="00292A0A"/>
    <w:rsid w:val="00296665"/>
    <w:rsid w:val="002C385D"/>
    <w:rsid w:val="002D2FCD"/>
    <w:rsid w:val="002E432E"/>
    <w:rsid w:val="002E4D55"/>
    <w:rsid w:val="002F7D40"/>
    <w:rsid w:val="003038F5"/>
    <w:rsid w:val="0030682C"/>
    <w:rsid w:val="00330B2E"/>
    <w:rsid w:val="003375B7"/>
    <w:rsid w:val="00347208"/>
    <w:rsid w:val="00352FAD"/>
    <w:rsid w:val="00357E60"/>
    <w:rsid w:val="003606E4"/>
    <w:rsid w:val="003655FC"/>
    <w:rsid w:val="00371F27"/>
    <w:rsid w:val="0038784A"/>
    <w:rsid w:val="00392EDC"/>
    <w:rsid w:val="00393621"/>
    <w:rsid w:val="003A307E"/>
    <w:rsid w:val="003A5C1D"/>
    <w:rsid w:val="003C30BA"/>
    <w:rsid w:val="003D5B41"/>
    <w:rsid w:val="003F4817"/>
    <w:rsid w:val="003F6D7A"/>
    <w:rsid w:val="00415A87"/>
    <w:rsid w:val="004418FD"/>
    <w:rsid w:val="00447F22"/>
    <w:rsid w:val="00474DBF"/>
    <w:rsid w:val="00483295"/>
    <w:rsid w:val="004833F4"/>
    <w:rsid w:val="00487E76"/>
    <w:rsid w:val="004B4E9F"/>
    <w:rsid w:val="004D59E6"/>
    <w:rsid w:val="004E37D8"/>
    <w:rsid w:val="004F1A38"/>
    <w:rsid w:val="004F315F"/>
    <w:rsid w:val="004F4ABF"/>
    <w:rsid w:val="004F4C58"/>
    <w:rsid w:val="004F56EC"/>
    <w:rsid w:val="005047A8"/>
    <w:rsid w:val="005439F9"/>
    <w:rsid w:val="0056089E"/>
    <w:rsid w:val="0056148F"/>
    <w:rsid w:val="005616C8"/>
    <w:rsid w:val="00567CC3"/>
    <w:rsid w:val="00570758"/>
    <w:rsid w:val="00573C5A"/>
    <w:rsid w:val="00590CA4"/>
    <w:rsid w:val="005B3B8F"/>
    <w:rsid w:val="005C6160"/>
    <w:rsid w:val="005F14E1"/>
    <w:rsid w:val="0063273F"/>
    <w:rsid w:val="006339F1"/>
    <w:rsid w:val="00635C2C"/>
    <w:rsid w:val="00640B7F"/>
    <w:rsid w:val="00643232"/>
    <w:rsid w:val="00654709"/>
    <w:rsid w:val="006641DC"/>
    <w:rsid w:val="006668E3"/>
    <w:rsid w:val="00667425"/>
    <w:rsid w:val="00670A5A"/>
    <w:rsid w:val="0068200E"/>
    <w:rsid w:val="006866C5"/>
    <w:rsid w:val="00691606"/>
    <w:rsid w:val="006B1E9D"/>
    <w:rsid w:val="006B4CCC"/>
    <w:rsid w:val="006C1FC6"/>
    <w:rsid w:val="006C4FB3"/>
    <w:rsid w:val="006E1BB7"/>
    <w:rsid w:val="006F7CBF"/>
    <w:rsid w:val="00702AAC"/>
    <w:rsid w:val="007061A1"/>
    <w:rsid w:val="00706F36"/>
    <w:rsid w:val="00706FC9"/>
    <w:rsid w:val="00734230"/>
    <w:rsid w:val="0074063D"/>
    <w:rsid w:val="0075247B"/>
    <w:rsid w:val="00756E94"/>
    <w:rsid w:val="00771821"/>
    <w:rsid w:val="007856F8"/>
    <w:rsid w:val="007868F4"/>
    <w:rsid w:val="00792283"/>
    <w:rsid w:val="007A1B52"/>
    <w:rsid w:val="007A7B60"/>
    <w:rsid w:val="007C1DD5"/>
    <w:rsid w:val="007C4634"/>
    <w:rsid w:val="007C56FE"/>
    <w:rsid w:val="007E794E"/>
    <w:rsid w:val="00800B95"/>
    <w:rsid w:val="00801FE3"/>
    <w:rsid w:val="00806BD3"/>
    <w:rsid w:val="008174E8"/>
    <w:rsid w:val="00824664"/>
    <w:rsid w:val="00824FA1"/>
    <w:rsid w:val="00825E92"/>
    <w:rsid w:val="0083368F"/>
    <w:rsid w:val="00852BF6"/>
    <w:rsid w:val="00854736"/>
    <w:rsid w:val="00854905"/>
    <w:rsid w:val="00862167"/>
    <w:rsid w:val="00863774"/>
    <w:rsid w:val="008819F5"/>
    <w:rsid w:val="00884325"/>
    <w:rsid w:val="0089720F"/>
    <w:rsid w:val="008A31CA"/>
    <w:rsid w:val="008A5157"/>
    <w:rsid w:val="008B6203"/>
    <w:rsid w:val="00910AAE"/>
    <w:rsid w:val="00914AB5"/>
    <w:rsid w:val="00957CD0"/>
    <w:rsid w:val="0096421D"/>
    <w:rsid w:val="00971552"/>
    <w:rsid w:val="00972E2D"/>
    <w:rsid w:val="009743EF"/>
    <w:rsid w:val="0097468A"/>
    <w:rsid w:val="00982D2A"/>
    <w:rsid w:val="00982D33"/>
    <w:rsid w:val="009841FB"/>
    <w:rsid w:val="00990AEA"/>
    <w:rsid w:val="00992496"/>
    <w:rsid w:val="0099292E"/>
    <w:rsid w:val="00992E1C"/>
    <w:rsid w:val="009B16C4"/>
    <w:rsid w:val="009D7C34"/>
    <w:rsid w:val="009E3B18"/>
    <w:rsid w:val="009F2D04"/>
    <w:rsid w:val="009F762A"/>
    <w:rsid w:val="00A05A2D"/>
    <w:rsid w:val="00A32B31"/>
    <w:rsid w:val="00A37A67"/>
    <w:rsid w:val="00A45935"/>
    <w:rsid w:val="00A51E68"/>
    <w:rsid w:val="00A52505"/>
    <w:rsid w:val="00A640D5"/>
    <w:rsid w:val="00A72F5E"/>
    <w:rsid w:val="00A76C18"/>
    <w:rsid w:val="00A812DE"/>
    <w:rsid w:val="00A8260F"/>
    <w:rsid w:val="00A93F1F"/>
    <w:rsid w:val="00A94586"/>
    <w:rsid w:val="00AA2252"/>
    <w:rsid w:val="00AA6728"/>
    <w:rsid w:val="00AA7DCA"/>
    <w:rsid w:val="00AB26B0"/>
    <w:rsid w:val="00AB3139"/>
    <w:rsid w:val="00AB52B5"/>
    <w:rsid w:val="00AB7B14"/>
    <w:rsid w:val="00AD4836"/>
    <w:rsid w:val="00AF0731"/>
    <w:rsid w:val="00AF415E"/>
    <w:rsid w:val="00B05487"/>
    <w:rsid w:val="00B06FFC"/>
    <w:rsid w:val="00B14C4E"/>
    <w:rsid w:val="00B32C11"/>
    <w:rsid w:val="00B426EF"/>
    <w:rsid w:val="00B45AD9"/>
    <w:rsid w:val="00B4725D"/>
    <w:rsid w:val="00B65F0A"/>
    <w:rsid w:val="00BA33DC"/>
    <w:rsid w:val="00BA3FD5"/>
    <w:rsid w:val="00BA411D"/>
    <w:rsid w:val="00BA7D75"/>
    <w:rsid w:val="00BB53B1"/>
    <w:rsid w:val="00BD53DA"/>
    <w:rsid w:val="00BE3C3C"/>
    <w:rsid w:val="00C0785B"/>
    <w:rsid w:val="00C150EE"/>
    <w:rsid w:val="00C23C79"/>
    <w:rsid w:val="00C25267"/>
    <w:rsid w:val="00C337D6"/>
    <w:rsid w:val="00C45367"/>
    <w:rsid w:val="00C60FA3"/>
    <w:rsid w:val="00C725E0"/>
    <w:rsid w:val="00C73F69"/>
    <w:rsid w:val="00C91386"/>
    <w:rsid w:val="00CA49B2"/>
    <w:rsid w:val="00CB0AAB"/>
    <w:rsid w:val="00CB17DE"/>
    <w:rsid w:val="00CB7427"/>
    <w:rsid w:val="00CC02CB"/>
    <w:rsid w:val="00CC162B"/>
    <w:rsid w:val="00CE7CD2"/>
    <w:rsid w:val="00CF5F20"/>
    <w:rsid w:val="00CF702D"/>
    <w:rsid w:val="00CF7D6D"/>
    <w:rsid w:val="00CF7F5E"/>
    <w:rsid w:val="00D05AF3"/>
    <w:rsid w:val="00D158DD"/>
    <w:rsid w:val="00D309E1"/>
    <w:rsid w:val="00D441E8"/>
    <w:rsid w:val="00D45AB3"/>
    <w:rsid w:val="00D565FF"/>
    <w:rsid w:val="00D87DC7"/>
    <w:rsid w:val="00DD04B7"/>
    <w:rsid w:val="00DD31E3"/>
    <w:rsid w:val="00DD6D85"/>
    <w:rsid w:val="00DE5C28"/>
    <w:rsid w:val="00DF48CF"/>
    <w:rsid w:val="00E01768"/>
    <w:rsid w:val="00E0306F"/>
    <w:rsid w:val="00E04EB4"/>
    <w:rsid w:val="00E42ADC"/>
    <w:rsid w:val="00E5307F"/>
    <w:rsid w:val="00E81206"/>
    <w:rsid w:val="00E813E6"/>
    <w:rsid w:val="00E85291"/>
    <w:rsid w:val="00E85983"/>
    <w:rsid w:val="00EB3B7A"/>
    <w:rsid w:val="00EC6348"/>
    <w:rsid w:val="00ED0F5D"/>
    <w:rsid w:val="00ED2238"/>
    <w:rsid w:val="00EE04F0"/>
    <w:rsid w:val="00EE48A1"/>
    <w:rsid w:val="00EF6350"/>
    <w:rsid w:val="00F02BAC"/>
    <w:rsid w:val="00F07158"/>
    <w:rsid w:val="00F42B4D"/>
    <w:rsid w:val="00F567ED"/>
    <w:rsid w:val="00F6766A"/>
    <w:rsid w:val="00F73A30"/>
    <w:rsid w:val="00F84334"/>
    <w:rsid w:val="00FA47FB"/>
    <w:rsid w:val="00FA48A3"/>
    <w:rsid w:val="00FA5F33"/>
    <w:rsid w:val="00FB359D"/>
    <w:rsid w:val="00FC1548"/>
    <w:rsid w:val="00FD2046"/>
    <w:rsid w:val="00FE0B9A"/>
    <w:rsid w:val="00FE326C"/>
    <w:rsid w:val="00FF006A"/>
    <w:rsid w:val="00FF2813"/>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84505"/>
  <w15:chartTrackingRefBased/>
  <w15:docId w15:val="{42AA2561-4CD2-43C2-B9B2-6D7F3EB7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paragraph" w:styleId="Heading1">
    <w:name w:val="heading 1"/>
    <w:basedOn w:val="Normal"/>
    <w:next w:val="BodyText"/>
    <w:link w:val="Heading1Char"/>
    <w:qFormat/>
    <w:rsid w:val="008A5157"/>
    <w:pPr>
      <w:keepNext/>
      <w:keepLines/>
      <w:spacing w:after="220" w:line="200" w:lineRule="atLeast"/>
      <w:outlineLvl w:val="0"/>
    </w:pPr>
    <w:rPr>
      <w:rFonts w:ascii="Arial Black" w:eastAsia="Times New Roman" w:hAnsi="Arial Black" w:cs="Times New Roman"/>
      <w:spacing w:val="-1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nhideWhenUsed/>
    <w:rsid w:val="00196B80"/>
    <w:pPr>
      <w:spacing w:line="240" w:lineRule="auto"/>
    </w:pPr>
    <w:rPr>
      <w:sz w:val="20"/>
      <w:szCs w:val="20"/>
    </w:rPr>
  </w:style>
  <w:style w:type="character" w:customStyle="1" w:styleId="CommentTextChar">
    <w:name w:val="Comment Text Char"/>
    <w:basedOn w:val="DefaultParagraphFont"/>
    <w:link w:val="CommentText"/>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rsid w:val="00DD04B7"/>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DD04B7"/>
    <w:rPr>
      <w:rFonts w:ascii="Arial" w:eastAsia="Times New Roman" w:hAnsi="Arial" w:cs="Times New Roman"/>
      <w:spacing w:val="-5"/>
      <w:sz w:val="20"/>
      <w:szCs w:val="20"/>
    </w:rPr>
  </w:style>
  <w:style w:type="paragraph" w:customStyle="1" w:styleId="Default">
    <w:name w:val="Default"/>
    <w:rsid w:val="00347208"/>
    <w:pPr>
      <w:autoSpaceDE w:val="0"/>
      <w:autoSpaceDN w:val="0"/>
      <w:adjustRightInd w:val="0"/>
      <w:spacing w:after="0" w:line="240" w:lineRule="auto"/>
    </w:pPr>
    <w:rPr>
      <w:rFonts w:ascii="Arial" w:hAnsi="Arial" w:cs="Arial"/>
      <w:color w:val="000000"/>
      <w:sz w:val="24"/>
      <w:szCs w:val="24"/>
    </w:rPr>
  </w:style>
  <w:style w:type="paragraph" w:styleId="NormalIndent">
    <w:name w:val="Normal Indent"/>
    <w:basedOn w:val="Normal"/>
    <w:rsid w:val="008A5157"/>
    <w:pPr>
      <w:spacing w:after="0" w:line="240" w:lineRule="auto"/>
      <w:ind w:left="720"/>
    </w:pPr>
    <w:rPr>
      <w:rFonts w:ascii="Arial" w:eastAsia="Times New Roman" w:hAnsi="Arial" w:cs="Times New Roman"/>
      <w:spacing w:val="-5"/>
      <w:sz w:val="20"/>
      <w:szCs w:val="20"/>
    </w:rPr>
  </w:style>
  <w:style w:type="character" w:customStyle="1" w:styleId="MessageHeaderLabel">
    <w:name w:val="Message Header Label"/>
    <w:rsid w:val="008A5157"/>
    <w:rPr>
      <w:rFonts w:ascii="Arial Black" w:hAnsi="Arial Black"/>
      <w:spacing w:val="-10"/>
      <w:sz w:val="18"/>
    </w:rPr>
  </w:style>
  <w:style w:type="character" w:customStyle="1" w:styleId="Heading1Char">
    <w:name w:val="Heading 1 Char"/>
    <w:basedOn w:val="DefaultParagraphFont"/>
    <w:link w:val="Heading1"/>
    <w:rsid w:val="008A5157"/>
    <w:rPr>
      <w:rFonts w:ascii="Arial Black" w:eastAsia="Times New Roman" w:hAnsi="Arial Black" w:cs="Times New Roman"/>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452794473">
      <w:bodyDiv w:val="1"/>
      <w:marLeft w:val="0"/>
      <w:marRight w:val="0"/>
      <w:marTop w:val="0"/>
      <w:marBottom w:val="0"/>
      <w:divBdr>
        <w:top w:val="none" w:sz="0" w:space="0" w:color="auto"/>
        <w:left w:val="none" w:sz="0" w:space="0" w:color="auto"/>
        <w:bottom w:val="none" w:sz="0" w:space="0" w:color="auto"/>
        <w:right w:val="none" w:sz="0" w:space="0" w:color="auto"/>
      </w:divBdr>
      <w:divsChild>
        <w:div w:id="2060859343">
          <w:marLeft w:val="0"/>
          <w:marRight w:val="0"/>
          <w:marTop w:val="0"/>
          <w:marBottom w:val="0"/>
          <w:divBdr>
            <w:top w:val="none" w:sz="0" w:space="0" w:color="auto"/>
            <w:left w:val="none" w:sz="0" w:space="0" w:color="auto"/>
            <w:bottom w:val="none" w:sz="0" w:space="0" w:color="auto"/>
            <w:right w:val="none" w:sz="0" w:space="0" w:color="auto"/>
          </w:divBdr>
        </w:div>
      </w:divsChild>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054102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 w:id="20106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ff1ed18b-5425-4fab-8743-63c0687b975c" ContentTypeId="0x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77E9C7F09BEEF46B736C24A9FB973A4" ma:contentTypeVersion="12" ma:contentTypeDescription="Create a new document." ma:contentTypeScope="" ma:versionID="e48fd10d313d8bd6c52f8dd7979eeb89">
  <xsd:schema xmlns:xsd="http://www.w3.org/2001/XMLSchema" xmlns:xs="http://www.w3.org/2001/XMLSchema" xmlns:p="http://schemas.microsoft.com/office/2006/metadata/properties" xmlns:ns2="41ad7857-9234-4bbd-8800-1716eb97fcf0" xmlns:ns3="e31d5617-395c-4079-8c00-127ebbfc79b6" targetNamespace="http://schemas.microsoft.com/office/2006/metadata/properties" ma:root="true" ma:fieldsID="0ce0fee942bd8ccff45e0f949db0952d" ns2:_="" ns3:_="">
    <xsd:import namespace="41ad7857-9234-4bbd-8800-1716eb97fcf0"/>
    <xsd:import namespace="e31d5617-395c-4079-8c00-127ebbfc79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d7857-9234-4bbd-8800-1716eb97f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d5617-395c-4079-8c00-127ebbfc79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DDEDEE-A11B-440F-A6C8-63EE4E1B20E8}">
  <ds:schemaRefs>
    <ds:schemaRef ds:uri="Microsoft.SharePoint.Taxonomy.ContentTypeSync"/>
  </ds:schemaRefs>
</ds:datastoreItem>
</file>

<file path=customXml/itemProps3.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customXml/itemProps4.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5.xml><?xml version="1.0" encoding="utf-8"?>
<ds:datastoreItem xmlns:ds="http://schemas.openxmlformats.org/officeDocument/2006/customXml" ds:itemID="{660E5C12-8F08-4472-AB67-296B235E2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d7857-9234-4bbd-8800-1716eb97fcf0"/>
    <ds:schemaRef ds:uri="e31d5617-395c-4079-8c00-127ebbfc7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Demartini</dc:creator>
  <cp:keywords/>
  <dc:description/>
  <cp:lastModifiedBy>Andrea Demartini</cp:lastModifiedBy>
  <cp:revision>8</cp:revision>
  <cp:lastPrinted>2020-08-28T04:44:00Z</cp:lastPrinted>
  <dcterms:created xsi:type="dcterms:W3CDTF">2021-09-24T03:58:00Z</dcterms:created>
  <dcterms:modified xsi:type="dcterms:W3CDTF">2021-09-24T05:24:00Z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0x010100D77E9C7F09BEEF46B736C24A9FB973A4</vt:lpwstr>
  </property>
</Properties>
</file>