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1877" w14:textId="77777777" w:rsidR="00D46F09" w:rsidRDefault="00AE148F" w:rsidP="005F1C64">
      <w:pPr>
        <w:pStyle w:val="Heading1"/>
        <w:ind w:right="4244"/>
      </w:pPr>
      <w:r>
        <w:t>Function Statement</w:t>
      </w:r>
    </w:p>
    <w:p w14:paraId="114FEF1A" w14:textId="0CEE87E4" w:rsidR="00D46F09" w:rsidRDefault="0074573B" w:rsidP="00D91EFE">
      <w:pPr>
        <w:pStyle w:val="Heading2"/>
        <w:ind w:right="4244"/>
      </w:pPr>
      <w:r>
        <w:t>Senior</w:t>
      </w:r>
      <w:r w:rsidR="007C7A14">
        <w:t xml:space="preserve"> </w:t>
      </w:r>
      <w:r w:rsidR="000F241C">
        <w:t xml:space="preserve">Community </w:t>
      </w:r>
      <w:r w:rsidR="007C7A14">
        <w:t>Physiotherapist</w:t>
      </w:r>
      <w:r w:rsidR="00D91EFE">
        <w:t xml:space="preserve"> </w:t>
      </w:r>
      <w:r w:rsidR="00D46F17">
        <w:t>(</w:t>
      </w:r>
      <w:r>
        <w:t>Community</w:t>
      </w:r>
      <w:r w:rsidR="000F241C">
        <w:t xml:space="preserve"> Rapid Response</w:t>
      </w:r>
      <w:r w:rsidR="00D91EFE">
        <w:t>)</w:t>
      </w:r>
    </w:p>
    <w:p w14:paraId="534D8AC9" w14:textId="119AD49D" w:rsidR="00D46F09" w:rsidRPr="001B6970" w:rsidRDefault="00AE148F" w:rsidP="005F1C64">
      <w:pPr>
        <w:rPr>
          <w:szCs w:val="22"/>
        </w:rPr>
      </w:pPr>
      <w:r w:rsidRPr="001B6970">
        <w:rPr>
          <w:szCs w:val="22"/>
        </w:rPr>
        <w:t xml:space="preserve">The Statement of Duties associated with this role is generic and is used for all </w:t>
      </w:r>
      <w:r w:rsidR="001F25E5">
        <w:rPr>
          <w:szCs w:val="22"/>
        </w:rPr>
        <w:t xml:space="preserve">generic </w:t>
      </w:r>
      <w:r w:rsidR="000513B9" w:rsidRPr="001B6970">
        <w:rPr>
          <w:szCs w:val="22"/>
        </w:rPr>
        <w:t xml:space="preserve">Allied Health </w:t>
      </w:r>
      <w:r w:rsidR="001F25E5">
        <w:rPr>
          <w:szCs w:val="22"/>
        </w:rPr>
        <w:t xml:space="preserve">Professional </w:t>
      </w:r>
      <w:r w:rsidR="00AE3670" w:rsidRPr="001B6970">
        <w:rPr>
          <w:szCs w:val="22"/>
        </w:rPr>
        <w:t xml:space="preserve">positions </w:t>
      </w:r>
      <w:r w:rsidRPr="001B6970">
        <w:rPr>
          <w:szCs w:val="22"/>
        </w:rPr>
        <w:t xml:space="preserve">in the </w:t>
      </w:r>
      <w:r w:rsidR="00A93A06" w:rsidRPr="001B6970">
        <w:rPr>
          <w:szCs w:val="22"/>
        </w:rPr>
        <w:t>Tasmanian Health Service</w:t>
      </w:r>
      <w:r w:rsidR="001F25E5">
        <w:rPr>
          <w:szCs w:val="22"/>
        </w:rPr>
        <w:t xml:space="preserve"> </w:t>
      </w:r>
      <w:r w:rsidR="00830983">
        <w:rPr>
          <w:szCs w:val="22"/>
        </w:rPr>
        <w:t>State-wide</w:t>
      </w:r>
      <w:r w:rsidRPr="001B6970">
        <w:rPr>
          <w:szCs w:val="22"/>
        </w:rPr>
        <w:t xml:space="preserve">. The purpose of this Function Statement is to give more </w:t>
      </w:r>
      <w:r w:rsidR="00AE3670" w:rsidRPr="001B6970">
        <w:rPr>
          <w:szCs w:val="22"/>
        </w:rPr>
        <w:t>information</w:t>
      </w:r>
      <w:r w:rsidRPr="001B6970">
        <w:rPr>
          <w:szCs w:val="22"/>
        </w:rPr>
        <w:t xml:space="preserve"> about the </w:t>
      </w:r>
      <w:r w:rsidR="001B6970" w:rsidRPr="001B6970">
        <w:rPr>
          <w:szCs w:val="22"/>
        </w:rPr>
        <w:t>requirements</w:t>
      </w:r>
      <w:r w:rsidRPr="001B6970">
        <w:rPr>
          <w:szCs w:val="22"/>
        </w:rPr>
        <w:t xml:space="preserve"> of this </w:t>
      </w:r>
      <w:r w:rsidR="007C7A14">
        <w:rPr>
          <w:szCs w:val="22"/>
        </w:rPr>
        <w:t>clinical</w:t>
      </w:r>
      <w:r w:rsidR="001F25E5">
        <w:rPr>
          <w:szCs w:val="22"/>
        </w:rPr>
        <w:t xml:space="preserve"> </w:t>
      </w:r>
      <w:r w:rsidRPr="001B6970">
        <w:rPr>
          <w:szCs w:val="22"/>
        </w:rPr>
        <w:t>role.</w:t>
      </w:r>
      <w:r w:rsidR="001B6970">
        <w:rPr>
          <w:szCs w:val="22"/>
        </w:rPr>
        <w:t xml:space="preserve"> </w:t>
      </w:r>
      <w:r w:rsidRPr="001B6970">
        <w:rPr>
          <w:szCs w:val="22"/>
        </w:rPr>
        <w:t>Please re</w:t>
      </w:r>
      <w:r w:rsidR="00AE3670" w:rsidRPr="001B6970">
        <w:rPr>
          <w:szCs w:val="22"/>
        </w:rPr>
        <w:t xml:space="preserve">ad this Function Statement alongside the </w:t>
      </w:r>
      <w:r w:rsidRPr="001B6970">
        <w:rPr>
          <w:szCs w:val="22"/>
        </w:rPr>
        <w:t>Statement of Duties</w:t>
      </w:r>
      <w:r w:rsidR="00AE3670" w:rsidRPr="001B6970">
        <w:rPr>
          <w:szCs w:val="22"/>
        </w:rPr>
        <w:t>.</w:t>
      </w:r>
    </w:p>
    <w:tbl>
      <w:tblPr>
        <w:tblStyle w:val="TableGrid"/>
        <w:tblW w:w="0" w:type="auto"/>
        <w:tblLook w:val="04A0" w:firstRow="1" w:lastRow="0" w:firstColumn="1" w:lastColumn="0" w:noHBand="0" w:noVBand="1"/>
      </w:tblPr>
      <w:tblGrid>
        <w:gridCol w:w="2523"/>
        <w:gridCol w:w="7665"/>
      </w:tblGrid>
      <w:tr w:rsidR="00AE148F" w:rsidRPr="001B6970" w14:paraId="0003ECB5" w14:textId="77777777" w:rsidTr="00064D21">
        <w:tc>
          <w:tcPr>
            <w:tcW w:w="2122" w:type="dxa"/>
            <w:shd w:val="clear" w:color="auto" w:fill="007479" w:themeFill="accent1"/>
          </w:tcPr>
          <w:p w14:paraId="60D21A1C" w14:textId="77777777" w:rsidR="00AE148F" w:rsidRPr="001B6970" w:rsidRDefault="00AE148F" w:rsidP="005F1C64">
            <w:pPr>
              <w:rPr>
                <w:b/>
                <w:bCs/>
                <w:color w:val="FFFFFF" w:themeColor="background1"/>
                <w:szCs w:val="22"/>
              </w:rPr>
            </w:pPr>
            <w:r w:rsidRPr="001B6970">
              <w:rPr>
                <w:b/>
                <w:bCs/>
                <w:color w:val="FFFFFF" w:themeColor="background1"/>
                <w:szCs w:val="22"/>
              </w:rPr>
              <w:t>Title</w:t>
            </w:r>
          </w:p>
        </w:tc>
        <w:tc>
          <w:tcPr>
            <w:tcW w:w="8066" w:type="dxa"/>
          </w:tcPr>
          <w:p w14:paraId="77407CE2" w14:textId="6BC60961" w:rsidR="00AE148F" w:rsidRPr="001B6970" w:rsidRDefault="00FB22FA" w:rsidP="005F1C64">
            <w:pPr>
              <w:rPr>
                <w:szCs w:val="22"/>
              </w:rPr>
            </w:pPr>
            <w:r>
              <w:rPr>
                <w:szCs w:val="22"/>
              </w:rPr>
              <w:t>Community Rapid Response</w:t>
            </w:r>
            <w:r w:rsidR="00247CAF">
              <w:rPr>
                <w:szCs w:val="22"/>
              </w:rPr>
              <w:t xml:space="preserve"> Physiotherapist</w:t>
            </w:r>
          </w:p>
        </w:tc>
      </w:tr>
      <w:tr w:rsidR="00AE148F" w:rsidRPr="001B6970" w14:paraId="03683D55" w14:textId="77777777" w:rsidTr="00064D21">
        <w:tc>
          <w:tcPr>
            <w:tcW w:w="2122" w:type="dxa"/>
            <w:shd w:val="clear" w:color="auto" w:fill="007479" w:themeFill="accent1"/>
          </w:tcPr>
          <w:p w14:paraId="319C7FF2" w14:textId="77777777" w:rsidR="00AE148F" w:rsidRPr="001B6970" w:rsidRDefault="00AE148F" w:rsidP="005F1C64">
            <w:pPr>
              <w:rPr>
                <w:b/>
                <w:bCs/>
                <w:color w:val="FFFFFF" w:themeColor="background1"/>
                <w:szCs w:val="22"/>
              </w:rPr>
            </w:pPr>
            <w:r w:rsidRPr="001B6970">
              <w:rPr>
                <w:b/>
                <w:bCs/>
                <w:color w:val="FFFFFF" w:themeColor="background1"/>
                <w:szCs w:val="22"/>
              </w:rPr>
              <w:t>Business Unit</w:t>
            </w:r>
          </w:p>
        </w:tc>
        <w:tc>
          <w:tcPr>
            <w:tcW w:w="8066" w:type="dxa"/>
          </w:tcPr>
          <w:p w14:paraId="5BE5367D" w14:textId="06E78917" w:rsidR="00AE148F" w:rsidRPr="00466AD6" w:rsidRDefault="00D46F17" w:rsidP="005F1C64">
            <w:pPr>
              <w:rPr>
                <w:rFonts w:asciiTheme="majorHAnsi" w:hAnsiTheme="majorHAnsi"/>
                <w:szCs w:val="22"/>
              </w:rPr>
            </w:pPr>
            <w:r w:rsidRPr="00466AD6">
              <w:rPr>
                <w:rFonts w:asciiTheme="majorHAnsi" w:hAnsiTheme="majorHAnsi"/>
                <w:szCs w:val="22"/>
              </w:rPr>
              <w:t xml:space="preserve">Primary Health North, Community </w:t>
            </w:r>
            <w:r w:rsidR="000F241C" w:rsidRPr="00466AD6">
              <w:rPr>
                <w:rFonts w:asciiTheme="majorHAnsi" w:hAnsiTheme="majorHAnsi"/>
                <w:szCs w:val="22"/>
              </w:rPr>
              <w:t xml:space="preserve">Rapid Response </w:t>
            </w:r>
            <w:r w:rsidR="007F1A3B" w:rsidRPr="00466AD6">
              <w:rPr>
                <w:rFonts w:asciiTheme="majorHAnsi" w:hAnsiTheme="majorHAnsi"/>
                <w:szCs w:val="22"/>
              </w:rPr>
              <w:t>Team</w:t>
            </w:r>
            <w:r w:rsidR="00F9596A" w:rsidRPr="00466AD6">
              <w:rPr>
                <w:rFonts w:asciiTheme="majorHAnsi" w:hAnsiTheme="majorHAnsi"/>
                <w:szCs w:val="22"/>
              </w:rPr>
              <w:t xml:space="preserve"> </w:t>
            </w:r>
            <w:r w:rsidR="000F241C" w:rsidRPr="00466AD6">
              <w:rPr>
                <w:rFonts w:asciiTheme="majorHAnsi" w:hAnsiTheme="majorHAnsi"/>
                <w:szCs w:val="22"/>
              </w:rPr>
              <w:t>(ComRR</w:t>
            </w:r>
            <w:r w:rsidR="00F9596A" w:rsidRPr="00466AD6">
              <w:rPr>
                <w:rFonts w:asciiTheme="majorHAnsi" w:hAnsiTheme="majorHAnsi"/>
                <w:szCs w:val="22"/>
              </w:rPr>
              <w:t>S</w:t>
            </w:r>
            <w:r w:rsidR="000F241C" w:rsidRPr="00466AD6">
              <w:rPr>
                <w:rFonts w:asciiTheme="majorHAnsi" w:hAnsiTheme="majorHAnsi"/>
                <w:szCs w:val="22"/>
              </w:rPr>
              <w:t>)</w:t>
            </w:r>
          </w:p>
        </w:tc>
      </w:tr>
      <w:tr w:rsidR="00AE148F" w:rsidRPr="001B6970" w14:paraId="51752A2D" w14:textId="77777777" w:rsidTr="00064D21">
        <w:tc>
          <w:tcPr>
            <w:tcW w:w="2122" w:type="dxa"/>
            <w:shd w:val="clear" w:color="auto" w:fill="007479" w:themeFill="accent1"/>
          </w:tcPr>
          <w:p w14:paraId="51058E7D" w14:textId="77777777" w:rsidR="00AE148F" w:rsidRPr="001B6970" w:rsidRDefault="00AE148F" w:rsidP="005F1C64">
            <w:pPr>
              <w:rPr>
                <w:b/>
                <w:bCs/>
                <w:color w:val="FFFFFF" w:themeColor="background1"/>
                <w:szCs w:val="22"/>
              </w:rPr>
            </w:pPr>
            <w:r w:rsidRPr="001B6970">
              <w:rPr>
                <w:b/>
                <w:bCs/>
                <w:color w:val="FFFFFF" w:themeColor="background1"/>
                <w:szCs w:val="22"/>
              </w:rPr>
              <w:t>Location</w:t>
            </w:r>
          </w:p>
        </w:tc>
        <w:tc>
          <w:tcPr>
            <w:tcW w:w="8066" w:type="dxa"/>
          </w:tcPr>
          <w:p w14:paraId="5D383C7B" w14:textId="472A6F74" w:rsidR="00AE148F" w:rsidRPr="00466AD6" w:rsidRDefault="000F241C" w:rsidP="3F0736B3">
            <w:pPr>
              <w:rPr>
                <w:rFonts w:asciiTheme="majorHAnsi" w:hAnsiTheme="majorHAnsi" w:cs="Times New Roman"/>
                <w:szCs w:val="22"/>
              </w:rPr>
            </w:pPr>
            <w:r w:rsidRPr="00466AD6">
              <w:rPr>
                <w:rStyle w:val="ContactChar"/>
                <w:rFonts w:asciiTheme="majorHAnsi" w:eastAsiaTheme="minorEastAsia" w:hAnsiTheme="majorHAnsi"/>
                <w:sz w:val="22"/>
                <w:szCs w:val="22"/>
              </w:rPr>
              <w:t>Primary Health North, Allambi, 33-39 Howick St, Launceston, 7250</w:t>
            </w:r>
            <w:r w:rsidR="00D46F17" w:rsidRPr="00466AD6">
              <w:rPr>
                <w:rStyle w:val="ContactChar"/>
                <w:rFonts w:asciiTheme="majorHAnsi" w:eastAsiaTheme="minorEastAsia" w:hAnsiTheme="majorHAnsi"/>
                <w:sz w:val="22"/>
                <w:szCs w:val="22"/>
              </w:rPr>
              <w:t xml:space="preserve">  </w:t>
            </w:r>
          </w:p>
        </w:tc>
      </w:tr>
      <w:tr w:rsidR="00E35225" w:rsidRPr="008546EA" w14:paraId="42CCB111" w14:textId="77777777" w:rsidTr="00064D21">
        <w:tc>
          <w:tcPr>
            <w:tcW w:w="2122" w:type="dxa"/>
            <w:shd w:val="clear" w:color="auto" w:fill="007479" w:themeFill="accent1"/>
          </w:tcPr>
          <w:p w14:paraId="16DFE4FB" w14:textId="77777777" w:rsidR="00E35225" w:rsidRPr="008546EA" w:rsidRDefault="00E35225" w:rsidP="008546EA">
            <w:pPr>
              <w:spacing w:after="100" w:afterAutospacing="1" w:line="240" w:lineRule="auto"/>
              <w:rPr>
                <w:b/>
                <w:bCs/>
                <w:color w:val="FFFFFF" w:themeColor="background1"/>
                <w:szCs w:val="22"/>
              </w:rPr>
            </w:pPr>
            <w:r w:rsidRPr="008546EA">
              <w:rPr>
                <w:b/>
                <w:bCs/>
                <w:color w:val="FFFFFF" w:themeColor="background1"/>
                <w:szCs w:val="22"/>
              </w:rPr>
              <w:t>Business Unit Description</w:t>
            </w:r>
          </w:p>
        </w:tc>
        <w:tc>
          <w:tcPr>
            <w:tcW w:w="8066" w:type="dxa"/>
          </w:tcPr>
          <w:p w14:paraId="2708C4BA" w14:textId="261A863E" w:rsidR="001D6DAD" w:rsidRPr="008546EA" w:rsidRDefault="001D6DAD" w:rsidP="008546EA">
            <w:pPr>
              <w:spacing w:after="100" w:afterAutospacing="1" w:line="240" w:lineRule="auto"/>
              <w:jc w:val="both"/>
              <w:rPr>
                <w:rFonts w:cs="Arial"/>
                <w:szCs w:val="22"/>
                <w:lang w:val="en-US"/>
              </w:rPr>
            </w:pPr>
            <w:r w:rsidRPr="008546EA">
              <w:rPr>
                <w:rFonts w:cs="Arial"/>
                <w:szCs w:val="22"/>
                <w:lang w:val="en-US"/>
              </w:rPr>
              <w:t>The Community Rapid Response Service (ComRRS) is an innovative service model that provides high acuity/high frequency intermediate care for patients with acute illness/injury or acute exacerbation of chronic and complex conditions, with t</w:t>
            </w:r>
            <w:r w:rsidR="00915799" w:rsidRPr="008546EA">
              <w:rPr>
                <w:rFonts w:cs="Arial"/>
                <w:szCs w:val="22"/>
                <w:lang w:val="en-US"/>
              </w:rPr>
              <w:t>h</w:t>
            </w:r>
            <w:r w:rsidRPr="008546EA">
              <w:rPr>
                <w:rFonts w:cs="Arial"/>
                <w:szCs w:val="22"/>
                <w:lang w:val="en-US"/>
              </w:rPr>
              <w:t>e aim of avoiding hospitalisation. The ComRRS model is based on a “shared care” relationship with the patients GP,</w:t>
            </w:r>
            <w:r w:rsidR="00915799" w:rsidRPr="008546EA">
              <w:rPr>
                <w:rFonts w:cs="Arial"/>
                <w:szCs w:val="22"/>
                <w:lang w:val="en-US"/>
              </w:rPr>
              <w:t xml:space="preserve"> and a </w:t>
            </w:r>
            <w:r w:rsidR="00915799" w:rsidRPr="008546EA">
              <w:rPr>
                <w:rFonts w:cs="Calibri"/>
                <w:szCs w:val="22"/>
                <w:shd w:val="clear" w:color="auto" w:fill="FFFFFF"/>
              </w:rPr>
              <w:t>highly collaborative approach to care need for the referred clients is essential.</w:t>
            </w:r>
          </w:p>
          <w:p w14:paraId="0CF8C619" w14:textId="69B7D9CD" w:rsidR="00915799" w:rsidRPr="008546EA" w:rsidRDefault="005A4337" w:rsidP="008546EA">
            <w:pPr>
              <w:pStyle w:val="Contact1"/>
              <w:tabs>
                <w:tab w:val="left" w:pos="1440"/>
              </w:tabs>
              <w:spacing w:after="100" w:afterAutospacing="1"/>
              <w:rPr>
                <w:rFonts w:asciiTheme="minorHAnsi" w:hAnsiTheme="minorHAnsi" w:cs="Calibri"/>
                <w:sz w:val="22"/>
                <w:szCs w:val="22"/>
                <w:shd w:val="clear" w:color="auto" w:fill="FFFFFF"/>
              </w:rPr>
            </w:pPr>
            <w:r w:rsidRPr="008546EA">
              <w:rPr>
                <w:rFonts w:asciiTheme="minorHAnsi" w:hAnsiTheme="minorHAnsi" w:cs="Calibri"/>
                <w:sz w:val="22"/>
                <w:szCs w:val="22"/>
                <w:shd w:val="clear" w:color="auto" w:fill="FFFFFF"/>
              </w:rPr>
              <w:t xml:space="preserve">The team </w:t>
            </w:r>
            <w:r w:rsidR="001D6DAD" w:rsidRPr="008546EA">
              <w:rPr>
                <w:rFonts w:asciiTheme="minorHAnsi" w:hAnsiTheme="minorHAnsi" w:cs="Calibri"/>
                <w:sz w:val="22"/>
                <w:szCs w:val="22"/>
                <w:shd w:val="clear" w:color="auto" w:fill="FFFFFF"/>
              </w:rPr>
              <w:t>are</w:t>
            </w:r>
            <w:r w:rsidRPr="008546EA">
              <w:rPr>
                <w:rFonts w:asciiTheme="minorHAnsi" w:hAnsiTheme="minorHAnsi" w:cs="Calibri"/>
                <w:sz w:val="22"/>
                <w:szCs w:val="22"/>
                <w:shd w:val="clear" w:color="auto" w:fill="FFFFFF"/>
              </w:rPr>
              <w:t xml:space="preserve"> highly </w:t>
            </w:r>
            <w:r w:rsidR="00890A16" w:rsidRPr="008546EA">
              <w:rPr>
                <w:rFonts w:asciiTheme="minorHAnsi" w:hAnsiTheme="minorHAnsi" w:cs="Calibri"/>
                <w:sz w:val="22"/>
                <w:szCs w:val="22"/>
                <w:shd w:val="clear" w:color="auto" w:fill="FFFFFF"/>
              </w:rPr>
              <w:t>skilled</w:t>
            </w:r>
            <w:r w:rsidR="00166730">
              <w:rPr>
                <w:rFonts w:asciiTheme="minorHAnsi" w:hAnsiTheme="minorHAnsi" w:cs="Calibri"/>
                <w:sz w:val="22"/>
                <w:szCs w:val="22"/>
                <w:shd w:val="clear" w:color="auto" w:fill="FFFFFF"/>
              </w:rPr>
              <w:t xml:space="preserve"> </w:t>
            </w:r>
            <w:r w:rsidRPr="008546EA">
              <w:rPr>
                <w:rFonts w:asciiTheme="minorHAnsi" w:hAnsiTheme="minorHAnsi" w:cs="Calibri"/>
                <w:sz w:val="22"/>
                <w:szCs w:val="22"/>
                <w:shd w:val="clear" w:color="auto" w:fill="FFFFFF"/>
              </w:rPr>
              <w:t>clinicians led by a nurse practitioner</w:t>
            </w:r>
            <w:r w:rsidR="00915799" w:rsidRPr="008546EA">
              <w:rPr>
                <w:rFonts w:asciiTheme="minorHAnsi" w:hAnsiTheme="minorHAnsi" w:cs="Calibri"/>
                <w:sz w:val="22"/>
                <w:szCs w:val="22"/>
                <w:shd w:val="clear" w:color="auto" w:fill="FFFFFF"/>
              </w:rPr>
              <w:t xml:space="preserve"> and have a strong focus on excellence, responsiveness, and a holistic client-centred approach. The service receives an average of 100 referrals a month and is very highly regarded. </w:t>
            </w:r>
          </w:p>
          <w:p w14:paraId="67D01DF8" w14:textId="191D516A" w:rsidR="000B3AC2" w:rsidRPr="008546EA" w:rsidRDefault="00915799" w:rsidP="008546EA">
            <w:pPr>
              <w:pStyle w:val="Contact1"/>
              <w:tabs>
                <w:tab w:val="left" w:pos="1440"/>
              </w:tabs>
              <w:spacing w:after="100" w:afterAutospacing="1"/>
              <w:rPr>
                <w:rFonts w:asciiTheme="minorHAnsi" w:hAnsiTheme="minorHAnsi" w:cs="Calibri"/>
                <w:bCs/>
                <w:sz w:val="22"/>
                <w:szCs w:val="22"/>
              </w:rPr>
            </w:pPr>
            <w:r w:rsidRPr="008546EA">
              <w:rPr>
                <w:rFonts w:asciiTheme="minorHAnsi" w:hAnsiTheme="minorHAnsi" w:cs="Calibri"/>
                <w:sz w:val="22"/>
                <w:szCs w:val="22"/>
                <w:shd w:val="clear" w:color="auto" w:fill="FFFFFF"/>
              </w:rPr>
              <w:t>The addition of allied health to ComRRS is aimed at further enhancing client outcomes and providing a valuable adjunct to the existing service delivery.</w:t>
            </w:r>
            <w:r w:rsidR="005A4337" w:rsidRPr="008546EA">
              <w:rPr>
                <w:rFonts w:asciiTheme="minorHAnsi" w:hAnsiTheme="minorHAnsi" w:cs="Calibri"/>
                <w:sz w:val="22"/>
                <w:szCs w:val="22"/>
                <w:shd w:val="clear" w:color="auto" w:fill="FFFFFF"/>
              </w:rPr>
              <w:t xml:space="preserve"> </w:t>
            </w:r>
            <w:r w:rsidR="00890A16" w:rsidRPr="008546EA">
              <w:rPr>
                <w:rStyle w:val="ContactChar"/>
                <w:rFonts w:asciiTheme="minorHAnsi" w:hAnsiTheme="minorHAnsi" w:cs="Calibri"/>
                <w:bCs/>
                <w:sz w:val="22"/>
                <w:szCs w:val="22"/>
              </w:rPr>
              <w:t>The C</w:t>
            </w:r>
            <w:r w:rsidR="00890A16" w:rsidRPr="008546EA">
              <w:rPr>
                <w:rStyle w:val="ContactChar"/>
                <w:rFonts w:asciiTheme="minorHAnsi" w:hAnsiTheme="minorHAnsi"/>
                <w:bCs/>
                <w:sz w:val="22"/>
                <w:szCs w:val="22"/>
              </w:rPr>
              <w:t>omRRS</w:t>
            </w:r>
            <w:r w:rsidR="00890A16" w:rsidRPr="008546EA">
              <w:rPr>
                <w:rStyle w:val="ContactChar"/>
                <w:rFonts w:asciiTheme="minorHAnsi" w:hAnsiTheme="minorHAnsi" w:cs="Calibri"/>
                <w:bCs/>
                <w:sz w:val="22"/>
                <w:szCs w:val="22"/>
              </w:rPr>
              <w:t xml:space="preserve"> Physiotherapist is expected to have exceptional generalist skills as a wide variety of clients and conditions are encountered in the role.</w:t>
            </w:r>
            <w:r w:rsidR="001D6DAD" w:rsidRPr="008546EA">
              <w:rPr>
                <w:rStyle w:val="ContactChar"/>
                <w:rFonts w:asciiTheme="minorHAnsi" w:hAnsiTheme="minorHAnsi" w:cs="Calibri"/>
                <w:bCs/>
                <w:sz w:val="22"/>
                <w:szCs w:val="22"/>
              </w:rPr>
              <w:t xml:space="preserve"> </w:t>
            </w:r>
            <w:r w:rsidR="001D6DAD" w:rsidRPr="008546EA">
              <w:rPr>
                <w:rStyle w:val="ContactChar"/>
                <w:rFonts w:asciiTheme="minorHAnsi" w:hAnsiTheme="minorHAnsi"/>
                <w:bCs/>
                <w:sz w:val="22"/>
                <w:szCs w:val="22"/>
              </w:rPr>
              <w:t xml:space="preserve">An occupational therapy </w:t>
            </w:r>
            <w:r w:rsidR="00C376E4" w:rsidRPr="008546EA">
              <w:rPr>
                <w:rStyle w:val="ContactChar"/>
                <w:rFonts w:asciiTheme="minorHAnsi" w:hAnsiTheme="minorHAnsi"/>
                <w:bCs/>
                <w:sz w:val="22"/>
                <w:szCs w:val="22"/>
              </w:rPr>
              <w:t xml:space="preserve">(OT) </w:t>
            </w:r>
            <w:r w:rsidR="001D6DAD" w:rsidRPr="008546EA">
              <w:rPr>
                <w:rStyle w:val="ContactChar"/>
                <w:rFonts w:asciiTheme="minorHAnsi" w:hAnsiTheme="minorHAnsi"/>
                <w:bCs/>
                <w:sz w:val="22"/>
                <w:szCs w:val="22"/>
              </w:rPr>
              <w:t>position has also recently been established within ComRRS and it is expected that the OT and Physio</w:t>
            </w:r>
            <w:r w:rsidR="00C376E4" w:rsidRPr="008546EA">
              <w:rPr>
                <w:rStyle w:val="ContactChar"/>
                <w:rFonts w:asciiTheme="minorHAnsi" w:hAnsiTheme="minorHAnsi"/>
                <w:bCs/>
                <w:sz w:val="22"/>
                <w:szCs w:val="22"/>
              </w:rPr>
              <w:t>therapist</w:t>
            </w:r>
            <w:r w:rsidR="001D6DAD" w:rsidRPr="008546EA">
              <w:rPr>
                <w:rStyle w:val="ContactChar"/>
                <w:rFonts w:asciiTheme="minorHAnsi" w:hAnsiTheme="minorHAnsi"/>
                <w:bCs/>
                <w:sz w:val="22"/>
                <w:szCs w:val="22"/>
              </w:rPr>
              <w:t xml:space="preserve"> </w:t>
            </w:r>
            <w:r w:rsidRPr="008546EA">
              <w:rPr>
                <w:rStyle w:val="ContactChar"/>
                <w:rFonts w:asciiTheme="minorHAnsi" w:hAnsiTheme="minorHAnsi"/>
                <w:bCs/>
                <w:sz w:val="22"/>
                <w:szCs w:val="22"/>
              </w:rPr>
              <w:t>w</w:t>
            </w:r>
            <w:r w:rsidR="001D6DAD" w:rsidRPr="008546EA">
              <w:rPr>
                <w:rStyle w:val="ContactChar"/>
                <w:rFonts w:asciiTheme="minorHAnsi" w:hAnsiTheme="minorHAnsi"/>
                <w:bCs/>
                <w:sz w:val="22"/>
                <w:szCs w:val="22"/>
              </w:rPr>
              <w:t xml:space="preserve">ould work together to support provision of </w:t>
            </w:r>
            <w:r w:rsidR="00C376E4" w:rsidRPr="008546EA">
              <w:rPr>
                <w:rStyle w:val="ContactChar"/>
                <w:rFonts w:asciiTheme="minorHAnsi" w:hAnsiTheme="minorHAnsi"/>
                <w:bCs/>
                <w:sz w:val="22"/>
                <w:szCs w:val="22"/>
              </w:rPr>
              <w:t>high-quality</w:t>
            </w:r>
            <w:r w:rsidR="001D6DAD" w:rsidRPr="008546EA">
              <w:rPr>
                <w:rStyle w:val="ContactChar"/>
                <w:rFonts w:asciiTheme="minorHAnsi" w:hAnsiTheme="minorHAnsi"/>
                <w:bCs/>
                <w:sz w:val="22"/>
                <w:szCs w:val="22"/>
              </w:rPr>
              <w:t xml:space="preserve"> care and optimise recovery whenever appropriate. </w:t>
            </w:r>
          </w:p>
          <w:p w14:paraId="71FA4BB5" w14:textId="5838E105" w:rsidR="00890A16" w:rsidRPr="008546EA" w:rsidRDefault="00D57A72" w:rsidP="008546EA">
            <w:p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 xml:space="preserve">Being a </w:t>
            </w:r>
            <w:r w:rsidR="001D6DAD" w:rsidRPr="008546EA">
              <w:rPr>
                <w:rFonts w:eastAsia="Times New Roman" w:cs="Calibri"/>
                <w:szCs w:val="22"/>
                <w:lang w:eastAsia="en-AU"/>
              </w:rPr>
              <w:t>R</w:t>
            </w:r>
            <w:r w:rsidRPr="008546EA">
              <w:rPr>
                <w:rFonts w:eastAsia="Times New Roman" w:cs="Calibri"/>
                <w:szCs w:val="22"/>
                <w:lang w:eastAsia="en-AU"/>
              </w:rPr>
              <w:t xml:space="preserve">apid Response Service, </w:t>
            </w:r>
            <w:r w:rsidR="001D6DAD" w:rsidRPr="008546EA">
              <w:rPr>
                <w:rFonts w:eastAsia="Times New Roman" w:cs="Calibri"/>
                <w:szCs w:val="22"/>
                <w:lang w:eastAsia="en-AU"/>
              </w:rPr>
              <w:t>the aim is the provision of</w:t>
            </w:r>
            <w:r w:rsidRPr="008546EA">
              <w:rPr>
                <w:rFonts w:eastAsia="Times New Roman" w:cs="Calibri"/>
                <w:szCs w:val="22"/>
                <w:lang w:eastAsia="en-AU"/>
              </w:rPr>
              <w:t xml:space="preserve"> ‘high intensity, </w:t>
            </w:r>
            <w:r w:rsidR="001D6DAD" w:rsidRPr="008546EA">
              <w:rPr>
                <w:rFonts w:eastAsia="Times New Roman" w:cs="Calibri"/>
                <w:szCs w:val="22"/>
                <w:lang w:eastAsia="en-AU"/>
              </w:rPr>
              <w:t xml:space="preserve">fairly </w:t>
            </w:r>
            <w:r w:rsidRPr="008546EA">
              <w:rPr>
                <w:rFonts w:eastAsia="Times New Roman" w:cs="Calibri"/>
                <w:szCs w:val="22"/>
                <w:lang w:eastAsia="en-AU"/>
              </w:rPr>
              <w:t xml:space="preserve">immediate intervention’.  The ComRRs Physiotherapy service </w:t>
            </w:r>
            <w:r w:rsidR="001D6DAD" w:rsidRPr="008546EA">
              <w:rPr>
                <w:rFonts w:eastAsia="Times New Roman" w:cs="Calibri"/>
                <w:szCs w:val="22"/>
                <w:lang w:eastAsia="en-AU"/>
              </w:rPr>
              <w:t>will have a maximum response time of four business days and</w:t>
            </w:r>
            <w:r w:rsidRPr="008546EA">
              <w:rPr>
                <w:rFonts w:eastAsia="Times New Roman" w:cs="Calibri"/>
                <w:szCs w:val="22"/>
                <w:lang w:eastAsia="en-AU"/>
              </w:rPr>
              <w:t xml:space="preserve"> a maximum of six weeks of intervention.</w:t>
            </w:r>
          </w:p>
          <w:p w14:paraId="263EA54A" w14:textId="1CA49BD0" w:rsidR="00890A16" w:rsidRPr="008546EA" w:rsidRDefault="00890A16" w:rsidP="008546EA">
            <w:p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Clients will be seen based on a priority system based on risk of deterioration.</w:t>
            </w:r>
          </w:p>
          <w:p w14:paraId="21D580D7" w14:textId="504D25F4" w:rsidR="00D57A72" w:rsidRPr="008546EA" w:rsidRDefault="00D57A72" w:rsidP="008546EA">
            <w:p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Referrals to the service would be received directly from the G</w:t>
            </w:r>
            <w:r w:rsidR="00B81794" w:rsidRPr="008546EA">
              <w:rPr>
                <w:rFonts w:eastAsia="Times New Roman" w:cs="Calibri"/>
                <w:szCs w:val="22"/>
                <w:lang w:eastAsia="en-AU"/>
              </w:rPr>
              <w:t>P</w:t>
            </w:r>
            <w:r w:rsidRPr="008546EA">
              <w:rPr>
                <w:rFonts w:eastAsia="Times New Roman" w:cs="Calibri"/>
                <w:szCs w:val="22"/>
                <w:lang w:eastAsia="en-AU"/>
              </w:rPr>
              <w:t xml:space="preserve"> based on the ComRRS eligibility criteria, as well as internal referral</w:t>
            </w:r>
            <w:r w:rsidR="001D6DAD" w:rsidRPr="008546EA">
              <w:rPr>
                <w:rFonts w:eastAsia="Times New Roman" w:cs="Calibri"/>
                <w:szCs w:val="22"/>
                <w:lang w:eastAsia="en-AU"/>
              </w:rPr>
              <w:t>s</w:t>
            </w:r>
            <w:r w:rsidRPr="008546EA">
              <w:rPr>
                <w:rFonts w:eastAsia="Times New Roman" w:cs="Calibri"/>
                <w:szCs w:val="22"/>
                <w:lang w:eastAsia="en-AU"/>
              </w:rPr>
              <w:t xml:space="preserve"> from within the team. </w:t>
            </w:r>
            <w:r w:rsidR="00915799" w:rsidRPr="008546EA">
              <w:rPr>
                <w:rFonts w:eastAsia="Times New Roman" w:cs="Calibri"/>
                <w:szCs w:val="22"/>
                <w:lang w:eastAsia="en-AU"/>
              </w:rPr>
              <w:t>While some clients may receive both nursing and allied health services others will only receive allied health support.</w:t>
            </w:r>
          </w:p>
          <w:p w14:paraId="711694ED" w14:textId="42A5AF14" w:rsidR="00F9596A" w:rsidRPr="008546EA" w:rsidRDefault="00F9596A" w:rsidP="008546EA">
            <w:p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lastRenderedPageBreak/>
              <w:t>Health conditions treated by ComRRS include (but are not limited to):</w:t>
            </w:r>
          </w:p>
          <w:p w14:paraId="0A5C4801" w14:textId="77777777" w:rsidR="00F9596A" w:rsidRPr="008546EA" w:rsidRDefault="00F9596A" w:rsidP="008546EA">
            <w:pPr>
              <w:numPr>
                <w:ilvl w:val="0"/>
                <w:numId w:val="36"/>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Acute injury or illness (for example, falls, influenza, gastro)</w:t>
            </w:r>
          </w:p>
          <w:p w14:paraId="1143043D" w14:textId="77777777" w:rsidR="00F9596A" w:rsidRPr="008546EA" w:rsidRDefault="00F9596A" w:rsidP="008546EA">
            <w:pPr>
              <w:numPr>
                <w:ilvl w:val="0"/>
                <w:numId w:val="36"/>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Exacerbation of chronic health conditions (for example, Chronic Obstructive Pulmonary Disease, heart failure, diabetes)</w:t>
            </w:r>
          </w:p>
          <w:p w14:paraId="530662A3" w14:textId="77777777" w:rsidR="00F9596A" w:rsidRPr="008546EA" w:rsidRDefault="00F9596A" w:rsidP="008546EA">
            <w:pPr>
              <w:numPr>
                <w:ilvl w:val="0"/>
                <w:numId w:val="36"/>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Infections (for example, respiratory tract, cellulitis, urinary)</w:t>
            </w:r>
          </w:p>
          <w:p w14:paraId="3702F62F" w14:textId="77777777" w:rsidR="00F9596A" w:rsidRPr="008546EA" w:rsidRDefault="00F9596A" w:rsidP="008546EA">
            <w:pPr>
              <w:numPr>
                <w:ilvl w:val="0"/>
                <w:numId w:val="36"/>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Nutritional deficiencies (for example, anaemia, dehydration)</w:t>
            </w:r>
          </w:p>
          <w:p w14:paraId="07AB434B" w14:textId="77777777" w:rsidR="00F9596A" w:rsidRPr="008546EA" w:rsidRDefault="00F9596A" w:rsidP="008546EA">
            <w:pPr>
              <w:numPr>
                <w:ilvl w:val="0"/>
                <w:numId w:val="36"/>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Acute renal or urinary conditions (for example, acute urinary retention)</w:t>
            </w:r>
          </w:p>
          <w:p w14:paraId="36FD0AFE" w14:textId="2227496F" w:rsidR="00466AD6" w:rsidRPr="008546EA" w:rsidRDefault="00F9596A" w:rsidP="008546EA">
            <w:pPr>
              <w:numPr>
                <w:ilvl w:val="0"/>
                <w:numId w:val="36"/>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palliative care.</w:t>
            </w:r>
          </w:p>
          <w:p w14:paraId="71A8EA0D" w14:textId="4F09688F" w:rsidR="00F9596A" w:rsidRPr="008546EA" w:rsidRDefault="00F9596A" w:rsidP="008546EA">
            <w:p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 xml:space="preserve">Types of </w:t>
            </w:r>
            <w:r w:rsidR="005A4337" w:rsidRPr="008546EA">
              <w:rPr>
                <w:rFonts w:eastAsia="Times New Roman" w:cs="Calibri"/>
                <w:szCs w:val="22"/>
                <w:lang w:eastAsia="en-AU"/>
              </w:rPr>
              <w:t xml:space="preserve">nursing </w:t>
            </w:r>
            <w:r w:rsidRPr="008546EA">
              <w:rPr>
                <w:rFonts w:eastAsia="Times New Roman" w:cs="Calibri"/>
                <w:szCs w:val="22"/>
                <w:lang w:eastAsia="en-AU"/>
              </w:rPr>
              <w:t>treatments performed include (but are not limited to):</w:t>
            </w:r>
          </w:p>
          <w:p w14:paraId="7827EB2E" w14:textId="77777777" w:rsidR="00F9596A" w:rsidRPr="008546EA" w:rsidRDefault="00F9596A" w:rsidP="008546EA">
            <w:pPr>
              <w:numPr>
                <w:ilvl w:val="0"/>
                <w:numId w:val="37"/>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rapid assessment with direct feedback to the GP</w:t>
            </w:r>
          </w:p>
          <w:p w14:paraId="2E764AA8" w14:textId="77777777" w:rsidR="00F9596A" w:rsidRPr="008546EA" w:rsidRDefault="00F9596A" w:rsidP="008546EA">
            <w:pPr>
              <w:numPr>
                <w:ilvl w:val="0"/>
                <w:numId w:val="37"/>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intravenous antibiotics</w:t>
            </w:r>
          </w:p>
          <w:p w14:paraId="0B1AEE1E" w14:textId="77777777" w:rsidR="00F9596A" w:rsidRPr="008546EA" w:rsidRDefault="00F9596A" w:rsidP="008546EA">
            <w:pPr>
              <w:numPr>
                <w:ilvl w:val="0"/>
                <w:numId w:val="37"/>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medication management or infusions</w:t>
            </w:r>
          </w:p>
          <w:p w14:paraId="232DBBA2" w14:textId="77777777" w:rsidR="00F9596A" w:rsidRPr="008546EA" w:rsidRDefault="00F9596A" w:rsidP="008546EA">
            <w:pPr>
              <w:numPr>
                <w:ilvl w:val="0"/>
                <w:numId w:val="37"/>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intravenous or subcutaneous fluid</w:t>
            </w:r>
          </w:p>
          <w:p w14:paraId="385CDE10" w14:textId="7F8B88D6" w:rsidR="005A4337" w:rsidRPr="008546EA" w:rsidRDefault="00F9596A" w:rsidP="008546EA">
            <w:pPr>
              <w:numPr>
                <w:ilvl w:val="0"/>
                <w:numId w:val="37"/>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central venous access device management and support (for example, PICC, Hickmans, Infusaport)</w:t>
            </w:r>
          </w:p>
          <w:p w14:paraId="7F499B78" w14:textId="38B162AF" w:rsidR="00466AD6" w:rsidRPr="008546EA" w:rsidRDefault="00F9596A" w:rsidP="008546EA">
            <w:pPr>
              <w:numPr>
                <w:ilvl w:val="0"/>
                <w:numId w:val="37"/>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urinary catheter management.</w:t>
            </w:r>
          </w:p>
          <w:p w14:paraId="492C002F" w14:textId="249B9255" w:rsidR="005A4337" w:rsidRPr="008546EA" w:rsidRDefault="005A4337" w:rsidP="008546EA">
            <w:p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Types of Physiotherapy interventions undertaken (but are not limited to):</w:t>
            </w:r>
          </w:p>
          <w:p w14:paraId="7AB59133" w14:textId="3813281C" w:rsidR="005A4337" w:rsidRPr="008546EA" w:rsidRDefault="005A4337" w:rsidP="008546EA">
            <w:pPr>
              <w:pStyle w:val="ListParagraph"/>
              <w:numPr>
                <w:ilvl w:val="0"/>
                <w:numId w:val="38"/>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Falls risk assessments</w:t>
            </w:r>
          </w:p>
          <w:p w14:paraId="51F6816E" w14:textId="56A22A58" w:rsidR="005A4337" w:rsidRPr="008546EA" w:rsidRDefault="005A4337" w:rsidP="008546EA">
            <w:pPr>
              <w:pStyle w:val="ListParagraph"/>
              <w:numPr>
                <w:ilvl w:val="0"/>
                <w:numId w:val="38"/>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Acute injury management for falls</w:t>
            </w:r>
          </w:p>
          <w:p w14:paraId="67AC1C8E" w14:textId="7142EF8D" w:rsidR="005A4337" w:rsidRPr="008546EA" w:rsidRDefault="005A4337" w:rsidP="008546EA">
            <w:pPr>
              <w:pStyle w:val="ListParagraph"/>
              <w:numPr>
                <w:ilvl w:val="0"/>
                <w:numId w:val="38"/>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Environmental assessment for falls</w:t>
            </w:r>
          </w:p>
          <w:p w14:paraId="0A742905" w14:textId="4C69A812" w:rsidR="00466AD6" w:rsidRPr="008546EA" w:rsidRDefault="005A4337" w:rsidP="008546EA">
            <w:pPr>
              <w:pStyle w:val="ListParagraph"/>
              <w:numPr>
                <w:ilvl w:val="0"/>
                <w:numId w:val="38"/>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Respiratory interventions (</w:t>
            </w:r>
            <w:r w:rsidR="00A073C4" w:rsidRPr="008546EA">
              <w:rPr>
                <w:rFonts w:eastAsia="Times New Roman" w:cs="Calibri"/>
                <w:szCs w:val="22"/>
                <w:lang w:eastAsia="en-AU"/>
              </w:rPr>
              <w:t>techniques to assist with breathlessness and sputum clearance methods, use of simple respiratory devices)</w:t>
            </w:r>
          </w:p>
          <w:p w14:paraId="4806BFCD" w14:textId="2BA7206A" w:rsidR="005A4337" w:rsidRPr="008546EA" w:rsidRDefault="00466AD6" w:rsidP="008546EA">
            <w:p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C</w:t>
            </w:r>
            <w:r w:rsidR="00D57A72" w:rsidRPr="008546EA">
              <w:rPr>
                <w:rFonts w:eastAsia="Times New Roman" w:cs="Calibri"/>
                <w:szCs w:val="22"/>
                <w:lang w:eastAsia="en-AU"/>
              </w:rPr>
              <w:t xml:space="preserve">lients can be seen where it best meets client’s needs:  </w:t>
            </w:r>
          </w:p>
          <w:p w14:paraId="40A3DB81" w14:textId="74790A3D" w:rsidR="00D57A72" w:rsidRPr="008546EA" w:rsidRDefault="005A4337" w:rsidP="008546EA">
            <w:pPr>
              <w:numPr>
                <w:ilvl w:val="0"/>
                <w:numId w:val="35"/>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home</w:t>
            </w:r>
            <w:r w:rsidR="00A073C4" w:rsidRPr="008546EA">
              <w:rPr>
                <w:rFonts w:eastAsia="Times New Roman" w:cs="Calibri"/>
                <w:szCs w:val="22"/>
                <w:lang w:eastAsia="en-AU"/>
              </w:rPr>
              <w:t xml:space="preserve"> based settings</w:t>
            </w:r>
          </w:p>
          <w:p w14:paraId="7ADC5040" w14:textId="77777777" w:rsidR="005A4337" w:rsidRPr="008546EA" w:rsidRDefault="005A4337" w:rsidP="008546EA">
            <w:pPr>
              <w:numPr>
                <w:ilvl w:val="0"/>
                <w:numId w:val="35"/>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residential aged care facility</w:t>
            </w:r>
          </w:p>
          <w:p w14:paraId="70FF911F" w14:textId="77777777" w:rsidR="005A4337" w:rsidRPr="008546EA" w:rsidRDefault="005A4337" w:rsidP="008546EA">
            <w:pPr>
              <w:numPr>
                <w:ilvl w:val="0"/>
                <w:numId w:val="35"/>
              </w:numPr>
              <w:shd w:val="clear" w:color="auto" w:fill="FFFFFF"/>
              <w:spacing w:after="100" w:afterAutospacing="1" w:line="240" w:lineRule="auto"/>
              <w:rPr>
                <w:rFonts w:eastAsia="Times New Roman" w:cs="Calibri"/>
                <w:szCs w:val="22"/>
                <w:lang w:eastAsia="en-AU"/>
              </w:rPr>
            </w:pPr>
            <w:r w:rsidRPr="008546EA">
              <w:rPr>
                <w:rFonts w:eastAsia="Times New Roman" w:cs="Calibri"/>
                <w:szCs w:val="22"/>
                <w:lang w:eastAsia="en-AU"/>
              </w:rPr>
              <w:t>another appropriate setting in the community</w:t>
            </w:r>
          </w:p>
          <w:p w14:paraId="3757D390" w14:textId="1EC5DE54" w:rsidR="000B3AC2" w:rsidRPr="008546EA" w:rsidRDefault="00A073C4" w:rsidP="008546EA">
            <w:pPr>
              <w:pStyle w:val="Contact1"/>
              <w:tabs>
                <w:tab w:val="left" w:pos="1440"/>
              </w:tabs>
              <w:spacing w:after="100" w:afterAutospacing="1"/>
              <w:rPr>
                <w:rStyle w:val="ContactChar"/>
                <w:rFonts w:asciiTheme="minorHAnsi" w:hAnsiTheme="minorHAnsi" w:cs="Calibri"/>
                <w:bCs/>
                <w:sz w:val="22"/>
                <w:szCs w:val="22"/>
              </w:rPr>
            </w:pPr>
            <w:r w:rsidRPr="008546EA">
              <w:rPr>
                <w:rStyle w:val="ContactChar"/>
                <w:rFonts w:asciiTheme="minorHAnsi" w:hAnsiTheme="minorHAnsi" w:cs="Calibri"/>
                <w:bCs/>
                <w:sz w:val="22"/>
                <w:szCs w:val="22"/>
              </w:rPr>
              <w:t xml:space="preserve">The role is expected to be a Rapid Response, and assessment directly feedback to the referring GP as well as the ComRRS team.  Referral on for ongoing support is also an expectation for this role.  </w:t>
            </w:r>
          </w:p>
          <w:p w14:paraId="439E22B5" w14:textId="4C1A727F" w:rsidR="00A073C4" w:rsidRPr="008546EA" w:rsidRDefault="00890A16" w:rsidP="008546EA">
            <w:pPr>
              <w:pStyle w:val="Contact1"/>
              <w:tabs>
                <w:tab w:val="left" w:pos="1440"/>
              </w:tabs>
              <w:spacing w:after="100" w:afterAutospacing="1"/>
              <w:rPr>
                <w:rStyle w:val="ContactChar"/>
                <w:rFonts w:asciiTheme="minorHAnsi" w:hAnsiTheme="minorHAnsi" w:cs="Calibri"/>
                <w:bCs/>
                <w:sz w:val="22"/>
                <w:szCs w:val="22"/>
              </w:rPr>
            </w:pPr>
            <w:r w:rsidRPr="008546EA">
              <w:rPr>
                <w:rStyle w:val="ContactChar"/>
                <w:rFonts w:asciiTheme="minorHAnsi" w:hAnsiTheme="minorHAnsi" w:cs="Calibri"/>
                <w:bCs/>
                <w:sz w:val="22"/>
                <w:szCs w:val="22"/>
              </w:rPr>
              <w:t>C</w:t>
            </w:r>
            <w:r w:rsidRPr="008546EA">
              <w:rPr>
                <w:rStyle w:val="ContactChar"/>
                <w:rFonts w:asciiTheme="minorHAnsi" w:hAnsiTheme="minorHAnsi"/>
                <w:bCs/>
                <w:sz w:val="22"/>
                <w:szCs w:val="22"/>
              </w:rPr>
              <w:t xml:space="preserve">linical Governance and any discipline specific concerns are directed to </w:t>
            </w:r>
            <w:r w:rsidRPr="008546EA">
              <w:rPr>
                <w:rStyle w:val="ContactChar"/>
                <w:rFonts w:asciiTheme="minorHAnsi" w:hAnsiTheme="minorHAnsi" w:cs="Calibri"/>
                <w:bCs/>
                <w:sz w:val="22"/>
                <w:szCs w:val="22"/>
              </w:rPr>
              <w:t xml:space="preserve">the Community Team Lead Physiotherapist </w:t>
            </w:r>
            <w:r w:rsidR="009E575A">
              <w:rPr>
                <w:rStyle w:val="ContactChar"/>
                <w:rFonts w:asciiTheme="minorHAnsi" w:hAnsiTheme="minorHAnsi" w:cs="Calibri"/>
                <w:bCs/>
                <w:sz w:val="22"/>
                <w:szCs w:val="22"/>
              </w:rPr>
              <w:t>a</w:t>
            </w:r>
            <w:r w:rsidR="009E575A">
              <w:rPr>
                <w:rStyle w:val="ContactChar"/>
                <w:rFonts w:cs="Calibri"/>
                <w:bCs/>
                <w:sz w:val="22"/>
                <w:szCs w:val="22"/>
              </w:rPr>
              <w:t>nd</w:t>
            </w:r>
            <w:r w:rsidRPr="008546EA">
              <w:rPr>
                <w:rStyle w:val="ContactChar"/>
                <w:rFonts w:asciiTheme="minorHAnsi" w:hAnsiTheme="minorHAnsi" w:cs="Calibri"/>
                <w:bCs/>
                <w:sz w:val="22"/>
                <w:szCs w:val="22"/>
              </w:rPr>
              <w:t xml:space="preserve"> any operational</w:t>
            </w:r>
            <w:r w:rsidRPr="008546EA">
              <w:rPr>
                <w:rStyle w:val="ContactChar"/>
                <w:rFonts w:asciiTheme="minorHAnsi" w:hAnsiTheme="minorHAnsi"/>
                <w:bCs/>
                <w:sz w:val="22"/>
                <w:szCs w:val="22"/>
              </w:rPr>
              <w:t xml:space="preserve"> concerns</w:t>
            </w:r>
            <w:r w:rsidR="009E575A">
              <w:rPr>
                <w:rStyle w:val="ContactChar"/>
                <w:rFonts w:asciiTheme="minorHAnsi" w:hAnsiTheme="minorHAnsi"/>
                <w:bCs/>
                <w:sz w:val="22"/>
                <w:szCs w:val="22"/>
              </w:rPr>
              <w:t xml:space="preserve"> are </w:t>
            </w:r>
            <w:r w:rsidR="00B43876" w:rsidRPr="008546EA">
              <w:rPr>
                <w:rStyle w:val="ContactChar"/>
                <w:rFonts w:asciiTheme="minorHAnsi" w:hAnsiTheme="minorHAnsi" w:cs="Calibri"/>
                <w:bCs/>
                <w:sz w:val="22"/>
                <w:szCs w:val="22"/>
              </w:rPr>
              <w:t>report</w:t>
            </w:r>
            <w:r w:rsidR="009E575A">
              <w:rPr>
                <w:rStyle w:val="ContactChar"/>
                <w:rFonts w:asciiTheme="minorHAnsi" w:hAnsiTheme="minorHAnsi" w:cs="Calibri"/>
                <w:bCs/>
                <w:sz w:val="22"/>
                <w:szCs w:val="22"/>
              </w:rPr>
              <w:t>ed</w:t>
            </w:r>
            <w:r w:rsidR="00B43876" w:rsidRPr="008546EA">
              <w:rPr>
                <w:rStyle w:val="ContactChar"/>
                <w:rFonts w:asciiTheme="minorHAnsi" w:hAnsiTheme="minorHAnsi" w:cs="Calibri"/>
                <w:bCs/>
                <w:sz w:val="22"/>
                <w:szCs w:val="22"/>
              </w:rPr>
              <w:t xml:space="preserve"> to the </w:t>
            </w:r>
            <w:r w:rsidR="00A073C4" w:rsidRPr="008546EA">
              <w:rPr>
                <w:rStyle w:val="ContactChar"/>
                <w:rFonts w:asciiTheme="minorHAnsi" w:hAnsiTheme="minorHAnsi" w:cs="Calibri"/>
                <w:bCs/>
                <w:sz w:val="22"/>
                <w:szCs w:val="22"/>
              </w:rPr>
              <w:t>ComRRS Nurse Practitioner</w:t>
            </w:r>
            <w:r w:rsidRPr="008546EA">
              <w:rPr>
                <w:rStyle w:val="ContactChar"/>
                <w:rFonts w:asciiTheme="minorHAnsi" w:hAnsiTheme="minorHAnsi" w:cs="Calibri"/>
                <w:bCs/>
                <w:sz w:val="22"/>
                <w:szCs w:val="22"/>
              </w:rPr>
              <w:t xml:space="preserve">.  </w:t>
            </w:r>
            <w:r w:rsidR="00A073C4" w:rsidRPr="008546EA">
              <w:rPr>
                <w:rStyle w:val="ContactChar"/>
                <w:rFonts w:asciiTheme="minorHAnsi" w:hAnsiTheme="minorHAnsi" w:cs="Calibri"/>
                <w:bCs/>
                <w:sz w:val="22"/>
                <w:szCs w:val="22"/>
              </w:rPr>
              <w:t>They will attend</w:t>
            </w:r>
            <w:r w:rsidR="00B6144E" w:rsidRPr="008546EA">
              <w:rPr>
                <w:rStyle w:val="ContactChar"/>
                <w:rFonts w:asciiTheme="minorHAnsi" w:hAnsiTheme="minorHAnsi" w:cs="Calibri"/>
                <w:bCs/>
                <w:sz w:val="22"/>
                <w:szCs w:val="22"/>
              </w:rPr>
              <w:t xml:space="preserve"> </w:t>
            </w:r>
            <w:r w:rsidR="00C861CD" w:rsidRPr="008546EA">
              <w:rPr>
                <w:rStyle w:val="ContactChar"/>
                <w:rFonts w:asciiTheme="minorHAnsi" w:hAnsiTheme="minorHAnsi" w:cs="Calibri"/>
                <w:bCs/>
                <w:sz w:val="22"/>
                <w:szCs w:val="22"/>
              </w:rPr>
              <w:t xml:space="preserve">Community </w:t>
            </w:r>
            <w:r w:rsidR="008747F8" w:rsidRPr="008546EA">
              <w:rPr>
                <w:rStyle w:val="ContactChar"/>
                <w:rFonts w:asciiTheme="minorHAnsi" w:hAnsiTheme="minorHAnsi" w:cs="Calibri"/>
                <w:bCs/>
                <w:sz w:val="22"/>
                <w:szCs w:val="22"/>
              </w:rPr>
              <w:t>P</w:t>
            </w:r>
            <w:r w:rsidR="008747F8" w:rsidRPr="008546EA">
              <w:rPr>
                <w:rStyle w:val="ContactChar"/>
                <w:rFonts w:asciiTheme="minorHAnsi" w:hAnsiTheme="minorHAnsi"/>
                <w:bCs/>
                <w:sz w:val="22"/>
                <w:szCs w:val="22"/>
              </w:rPr>
              <w:t xml:space="preserve">hysiotherapy </w:t>
            </w:r>
            <w:r w:rsidR="00C861CD" w:rsidRPr="008546EA">
              <w:rPr>
                <w:rStyle w:val="ContactChar"/>
                <w:rFonts w:asciiTheme="minorHAnsi" w:hAnsiTheme="minorHAnsi" w:cs="Calibri"/>
                <w:bCs/>
                <w:sz w:val="22"/>
                <w:szCs w:val="22"/>
              </w:rPr>
              <w:t>team</w:t>
            </w:r>
            <w:r w:rsidR="00B43876" w:rsidRPr="008546EA">
              <w:rPr>
                <w:rStyle w:val="ContactChar"/>
                <w:rFonts w:asciiTheme="minorHAnsi" w:hAnsiTheme="minorHAnsi" w:cs="Calibri"/>
                <w:bCs/>
                <w:sz w:val="22"/>
                <w:szCs w:val="22"/>
              </w:rPr>
              <w:t xml:space="preserve"> meetings and education</w:t>
            </w:r>
            <w:r w:rsidR="00C861CD" w:rsidRPr="008546EA">
              <w:rPr>
                <w:rStyle w:val="ContactChar"/>
                <w:rFonts w:asciiTheme="minorHAnsi" w:hAnsiTheme="minorHAnsi" w:cs="Calibri"/>
                <w:bCs/>
                <w:sz w:val="22"/>
                <w:szCs w:val="22"/>
              </w:rPr>
              <w:t>.</w:t>
            </w:r>
            <w:r w:rsidR="003E2377" w:rsidRPr="008546EA">
              <w:rPr>
                <w:rStyle w:val="ContactChar"/>
                <w:rFonts w:asciiTheme="minorHAnsi" w:hAnsiTheme="minorHAnsi" w:cs="Calibri"/>
                <w:bCs/>
                <w:sz w:val="22"/>
                <w:szCs w:val="22"/>
              </w:rPr>
              <w:t xml:space="preserve"> </w:t>
            </w:r>
          </w:p>
          <w:p w14:paraId="259A0BF8" w14:textId="116114F8" w:rsidR="004841EC" w:rsidRPr="008546EA" w:rsidRDefault="00A073C4" w:rsidP="008546EA">
            <w:pPr>
              <w:pStyle w:val="Contact1"/>
              <w:tabs>
                <w:tab w:val="left" w:pos="1440"/>
              </w:tabs>
              <w:spacing w:after="100" w:afterAutospacing="1"/>
              <w:rPr>
                <w:rStyle w:val="ContactChar"/>
                <w:rFonts w:asciiTheme="minorHAnsi" w:hAnsiTheme="minorHAnsi"/>
                <w:bCs/>
                <w:sz w:val="22"/>
                <w:szCs w:val="22"/>
              </w:rPr>
            </w:pPr>
            <w:r w:rsidRPr="008546EA">
              <w:rPr>
                <w:rStyle w:val="ContactChar"/>
                <w:rFonts w:asciiTheme="minorHAnsi" w:hAnsiTheme="minorHAnsi"/>
                <w:bCs/>
                <w:sz w:val="22"/>
                <w:szCs w:val="22"/>
              </w:rPr>
              <w:t xml:space="preserve">ComRRS will undertake a risk assessment with all clients.  This will ensure the home environment is safe for staff and clients for the duration of their admission to ComRRs. </w:t>
            </w:r>
          </w:p>
          <w:p w14:paraId="7EC363FA" w14:textId="5B6EB4C7" w:rsidR="004841EC" w:rsidRPr="008546EA" w:rsidRDefault="004841EC" w:rsidP="008546EA">
            <w:pPr>
              <w:pStyle w:val="Contact1"/>
              <w:tabs>
                <w:tab w:val="left" w:pos="1440"/>
              </w:tabs>
              <w:spacing w:after="100" w:afterAutospacing="1"/>
              <w:rPr>
                <w:rStyle w:val="ContactChar"/>
                <w:rFonts w:asciiTheme="minorHAnsi" w:hAnsiTheme="minorHAnsi"/>
                <w:bCs/>
                <w:sz w:val="22"/>
                <w:szCs w:val="22"/>
              </w:rPr>
            </w:pPr>
            <w:r w:rsidRPr="008546EA">
              <w:rPr>
                <w:rStyle w:val="ContactChar"/>
                <w:rFonts w:asciiTheme="minorHAnsi" w:hAnsiTheme="minorHAnsi"/>
                <w:bCs/>
                <w:sz w:val="22"/>
                <w:szCs w:val="22"/>
              </w:rPr>
              <w:t xml:space="preserve">A proportion of the northern Tasmania population has socio-economic disadvantage, high levels of chronic disease and low health literacy. Clients often </w:t>
            </w:r>
            <w:r w:rsidRPr="008546EA">
              <w:rPr>
                <w:rStyle w:val="ContactChar"/>
                <w:rFonts w:asciiTheme="minorHAnsi" w:hAnsiTheme="minorHAnsi"/>
                <w:bCs/>
                <w:sz w:val="22"/>
                <w:szCs w:val="22"/>
              </w:rPr>
              <w:lastRenderedPageBreak/>
              <w:t>only seek health support once they are in a difficult situation and struggling to remain functioning in their home.</w:t>
            </w:r>
          </w:p>
          <w:p w14:paraId="19C557F9" w14:textId="18B9CE19" w:rsidR="00B43876" w:rsidRPr="008546EA" w:rsidRDefault="00B43876" w:rsidP="008546EA">
            <w:pPr>
              <w:pStyle w:val="Contact1"/>
              <w:tabs>
                <w:tab w:val="left" w:pos="1440"/>
              </w:tabs>
              <w:spacing w:after="100" w:afterAutospacing="1"/>
              <w:rPr>
                <w:rFonts w:asciiTheme="minorHAnsi" w:hAnsiTheme="minorHAnsi"/>
                <w:bCs/>
                <w:sz w:val="22"/>
                <w:szCs w:val="22"/>
              </w:rPr>
            </w:pPr>
          </w:p>
        </w:tc>
      </w:tr>
      <w:tr w:rsidR="00AE148F" w:rsidRPr="008546EA" w14:paraId="52B962F7" w14:textId="77777777" w:rsidTr="00064D21">
        <w:trPr>
          <w:trHeight w:val="1134"/>
        </w:trPr>
        <w:tc>
          <w:tcPr>
            <w:tcW w:w="2122" w:type="dxa"/>
            <w:shd w:val="clear" w:color="auto" w:fill="007479" w:themeFill="accent1"/>
          </w:tcPr>
          <w:p w14:paraId="41B1A933" w14:textId="77777777" w:rsidR="00AE148F" w:rsidRPr="008546EA" w:rsidRDefault="00AE148F" w:rsidP="008546EA">
            <w:pPr>
              <w:spacing w:after="100" w:afterAutospacing="1" w:line="240" w:lineRule="auto"/>
              <w:rPr>
                <w:b/>
                <w:bCs/>
                <w:color w:val="FFFFFF" w:themeColor="background1"/>
                <w:szCs w:val="22"/>
              </w:rPr>
            </w:pPr>
            <w:r w:rsidRPr="008546EA">
              <w:rPr>
                <w:b/>
                <w:bCs/>
                <w:color w:val="FFFFFF" w:themeColor="background1"/>
                <w:szCs w:val="22"/>
              </w:rPr>
              <w:lastRenderedPageBreak/>
              <w:t>Specific Duties/Responsibilities</w:t>
            </w:r>
          </w:p>
        </w:tc>
        <w:tc>
          <w:tcPr>
            <w:tcW w:w="8066" w:type="dxa"/>
          </w:tcPr>
          <w:p w14:paraId="479B1311" w14:textId="5E28860E" w:rsidR="006204F8" w:rsidRPr="008546EA" w:rsidRDefault="006204F8" w:rsidP="008546EA">
            <w:pPr>
              <w:autoSpaceDE w:val="0"/>
              <w:autoSpaceDN w:val="0"/>
              <w:adjustRightInd w:val="0"/>
              <w:spacing w:after="100" w:afterAutospacing="1" w:line="240" w:lineRule="auto"/>
              <w:rPr>
                <w:szCs w:val="22"/>
              </w:rPr>
            </w:pPr>
            <w:r w:rsidRPr="008546EA">
              <w:rPr>
                <w:szCs w:val="22"/>
              </w:rPr>
              <w:t xml:space="preserve">The primary client target groups for the </w:t>
            </w:r>
            <w:r w:rsidR="00C376E4" w:rsidRPr="008546EA">
              <w:rPr>
                <w:szCs w:val="22"/>
              </w:rPr>
              <w:t xml:space="preserve">ComRRS </w:t>
            </w:r>
            <w:r w:rsidR="00C376E4" w:rsidRPr="008546EA">
              <w:rPr>
                <w:rStyle w:val="ContactChar"/>
                <w:rFonts w:asciiTheme="minorHAnsi" w:eastAsiaTheme="minorHAnsi" w:hAnsiTheme="minorHAnsi"/>
                <w:bCs/>
                <w:sz w:val="22"/>
                <w:szCs w:val="22"/>
              </w:rPr>
              <w:t>Physiotherapist</w:t>
            </w:r>
            <w:r w:rsidRPr="008546EA">
              <w:rPr>
                <w:szCs w:val="22"/>
              </w:rPr>
              <w:t xml:space="preserve"> are those who are </w:t>
            </w:r>
            <w:r w:rsidR="00177744" w:rsidRPr="008546EA">
              <w:rPr>
                <w:szCs w:val="22"/>
              </w:rPr>
              <w:t>directly</w:t>
            </w:r>
            <w:r w:rsidRPr="008546EA">
              <w:rPr>
                <w:szCs w:val="22"/>
              </w:rPr>
              <w:t xml:space="preserve"> referred to the service by GP</w:t>
            </w:r>
            <w:r w:rsidR="00177744" w:rsidRPr="008546EA">
              <w:rPr>
                <w:szCs w:val="22"/>
              </w:rPr>
              <w:t xml:space="preserve"> or by the ComRRS team, who with rapid and immediate support, can</w:t>
            </w:r>
            <w:r w:rsidRPr="008546EA">
              <w:rPr>
                <w:szCs w:val="22"/>
              </w:rPr>
              <w:t xml:space="preserve"> avoid hospital</w:t>
            </w:r>
            <w:r w:rsidR="00177744" w:rsidRPr="008546EA">
              <w:rPr>
                <w:szCs w:val="22"/>
              </w:rPr>
              <w:t>isation.</w:t>
            </w:r>
          </w:p>
          <w:p w14:paraId="6196935E" w14:textId="401F71E4" w:rsidR="004241B0" w:rsidRPr="008546EA" w:rsidRDefault="00275323" w:rsidP="008546EA">
            <w:pPr>
              <w:pStyle w:val="Contact1"/>
              <w:tabs>
                <w:tab w:val="left" w:pos="1440"/>
              </w:tabs>
              <w:spacing w:after="100" w:afterAutospacing="1"/>
              <w:rPr>
                <w:rStyle w:val="ContactChar"/>
                <w:rFonts w:asciiTheme="minorHAnsi" w:hAnsiTheme="minorHAnsi"/>
                <w:sz w:val="22"/>
                <w:szCs w:val="22"/>
              </w:rPr>
            </w:pPr>
            <w:r w:rsidRPr="008546EA">
              <w:rPr>
                <w:rStyle w:val="ContactChar"/>
                <w:rFonts w:asciiTheme="minorHAnsi" w:hAnsiTheme="minorHAnsi"/>
                <w:bCs/>
                <w:sz w:val="22"/>
                <w:szCs w:val="22"/>
              </w:rPr>
              <w:t xml:space="preserve">The </w:t>
            </w:r>
            <w:r w:rsidR="00DC07DE" w:rsidRPr="008546EA">
              <w:rPr>
                <w:rStyle w:val="ContactChar"/>
                <w:rFonts w:asciiTheme="minorHAnsi" w:hAnsiTheme="minorHAnsi"/>
                <w:bCs/>
                <w:sz w:val="22"/>
                <w:szCs w:val="22"/>
              </w:rPr>
              <w:t>Com</w:t>
            </w:r>
            <w:r w:rsidRPr="008546EA">
              <w:rPr>
                <w:rStyle w:val="ContactChar"/>
                <w:rFonts w:asciiTheme="minorHAnsi" w:hAnsiTheme="minorHAnsi"/>
                <w:bCs/>
                <w:sz w:val="22"/>
                <w:szCs w:val="22"/>
              </w:rPr>
              <w:t>RRS</w:t>
            </w:r>
            <w:r w:rsidR="00DC07DE" w:rsidRPr="008546EA">
              <w:rPr>
                <w:rStyle w:val="ContactChar"/>
                <w:rFonts w:asciiTheme="minorHAnsi" w:hAnsiTheme="minorHAnsi"/>
                <w:bCs/>
                <w:sz w:val="22"/>
                <w:szCs w:val="22"/>
              </w:rPr>
              <w:t xml:space="preserve"> </w:t>
            </w:r>
            <w:r w:rsidR="004241B0" w:rsidRPr="008546EA">
              <w:rPr>
                <w:rFonts w:asciiTheme="minorHAnsi" w:hAnsiTheme="minorHAnsi"/>
                <w:sz w:val="22"/>
                <w:szCs w:val="22"/>
              </w:rPr>
              <w:t>Physiotherapist</w:t>
            </w:r>
            <w:r w:rsidRPr="008546EA">
              <w:rPr>
                <w:rFonts w:asciiTheme="minorHAnsi" w:hAnsiTheme="minorHAnsi"/>
                <w:sz w:val="22"/>
                <w:szCs w:val="22"/>
              </w:rPr>
              <w:t xml:space="preserve"> is </w:t>
            </w:r>
            <w:r w:rsidR="004241B0" w:rsidRPr="008546EA">
              <w:rPr>
                <w:rFonts w:asciiTheme="minorHAnsi" w:hAnsiTheme="minorHAnsi"/>
                <w:sz w:val="22"/>
                <w:szCs w:val="22"/>
              </w:rPr>
              <w:t>responsible for triaging referrals and assigning priority based on the potential to avoid further deterioration in the client’s medical condition or care arrangements, risk of hospital presentation or need for emergency care.</w:t>
            </w:r>
          </w:p>
          <w:p w14:paraId="3D42F784" w14:textId="77777777" w:rsidR="00275323" w:rsidRPr="008546EA" w:rsidRDefault="00275323" w:rsidP="008546EA">
            <w:pPr>
              <w:autoSpaceDE w:val="0"/>
              <w:autoSpaceDN w:val="0"/>
              <w:adjustRightInd w:val="0"/>
              <w:spacing w:after="100" w:afterAutospacing="1" w:line="240" w:lineRule="auto"/>
              <w:rPr>
                <w:szCs w:val="22"/>
              </w:rPr>
            </w:pPr>
            <w:r w:rsidRPr="008546EA">
              <w:rPr>
                <w:szCs w:val="22"/>
              </w:rPr>
              <w:t>ComRRS</w:t>
            </w:r>
            <w:r w:rsidR="00DC07DE" w:rsidRPr="008546EA">
              <w:rPr>
                <w:rStyle w:val="ContactChar"/>
                <w:rFonts w:asciiTheme="minorHAnsi" w:eastAsiaTheme="minorHAnsi" w:hAnsiTheme="minorHAnsi"/>
                <w:bCs/>
                <w:sz w:val="22"/>
                <w:szCs w:val="22"/>
              </w:rPr>
              <w:t xml:space="preserve"> </w:t>
            </w:r>
            <w:r w:rsidR="00865BE1" w:rsidRPr="008546EA">
              <w:rPr>
                <w:szCs w:val="22"/>
              </w:rPr>
              <w:t xml:space="preserve">Physiotherapist operate geographically </w:t>
            </w:r>
            <w:r w:rsidRPr="008546EA">
              <w:rPr>
                <w:szCs w:val="22"/>
              </w:rPr>
              <w:t>in and around Launceston.</w:t>
            </w:r>
          </w:p>
          <w:p w14:paraId="5F1304E6" w14:textId="62106A37" w:rsidR="00F73852" w:rsidRPr="008546EA" w:rsidRDefault="00275323" w:rsidP="008546EA">
            <w:pPr>
              <w:autoSpaceDE w:val="0"/>
              <w:autoSpaceDN w:val="0"/>
              <w:adjustRightInd w:val="0"/>
              <w:spacing w:after="100" w:afterAutospacing="1" w:line="240" w:lineRule="auto"/>
              <w:rPr>
                <w:szCs w:val="22"/>
              </w:rPr>
            </w:pPr>
            <w:r w:rsidRPr="008546EA">
              <w:rPr>
                <w:szCs w:val="22"/>
              </w:rPr>
              <w:t>Cl</w:t>
            </w:r>
            <w:r w:rsidR="000068DB" w:rsidRPr="008546EA">
              <w:rPr>
                <w:szCs w:val="22"/>
              </w:rPr>
              <w:t xml:space="preserve">ients are generally seen in short episodes of care </w:t>
            </w:r>
            <w:r w:rsidRPr="008546EA">
              <w:rPr>
                <w:szCs w:val="22"/>
              </w:rPr>
              <w:t xml:space="preserve">(maximum 6 weeks) </w:t>
            </w:r>
            <w:r w:rsidR="000068DB" w:rsidRPr="008546EA">
              <w:rPr>
                <w:szCs w:val="22"/>
              </w:rPr>
              <w:t>to address specific goals</w:t>
            </w:r>
            <w:r w:rsidR="00F73852" w:rsidRPr="008546EA">
              <w:rPr>
                <w:szCs w:val="22"/>
              </w:rPr>
              <w:t xml:space="preserve"> with a focus on </w:t>
            </w:r>
            <w:r w:rsidRPr="008546EA">
              <w:rPr>
                <w:szCs w:val="22"/>
              </w:rPr>
              <w:t>hospital avoidance, and</w:t>
            </w:r>
            <w:r w:rsidR="00F73852" w:rsidRPr="008546EA">
              <w:rPr>
                <w:szCs w:val="22"/>
              </w:rPr>
              <w:t xml:space="preserve"> self-management.</w:t>
            </w:r>
          </w:p>
          <w:p w14:paraId="73322E3C" w14:textId="426AE498" w:rsidR="00981DD7" w:rsidRPr="008546EA" w:rsidRDefault="00D57A72" w:rsidP="008546EA">
            <w:pPr>
              <w:autoSpaceDE w:val="0"/>
              <w:autoSpaceDN w:val="0"/>
              <w:adjustRightInd w:val="0"/>
              <w:spacing w:after="100" w:afterAutospacing="1" w:line="240" w:lineRule="auto"/>
              <w:rPr>
                <w:szCs w:val="22"/>
              </w:rPr>
            </w:pPr>
            <w:r w:rsidRPr="008546EA">
              <w:rPr>
                <w:szCs w:val="22"/>
              </w:rPr>
              <w:t>ComRRs</w:t>
            </w:r>
            <w:r w:rsidR="00DC07DE" w:rsidRPr="008546EA">
              <w:rPr>
                <w:rStyle w:val="ContactChar"/>
                <w:rFonts w:asciiTheme="minorHAnsi" w:eastAsiaTheme="minorHAnsi" w:hAnsiTheme="minorHAnsi"/>
                <w:bCs/>
                <w:sz w:val="22"/>
                <w:szCs w:val="22"/>
              </w:rPr>
              <w:t xml:space="preserve"> </w:t>
            </w:r>
            <w:r w:rsidR="00B2464A" w:rsidRPr="008546EA">
              <w:rPr>
                <w:szCs w:val="22"/>
              </w:rPr>
              <w:t>Physiotherapist</w:t>
            </w:r>
            <w:r w:rsidR="00F73852" w:rsidRPr="008546EA">
              <w:rPr>
                <w:szCs w:val="22"/>
              </w:rPr>
              <w:t>s</w:t>
            </w:r>
            <w:r w:rsidR="00B2464A" w:rsidRPr="008546EA">
              <w:rPr>
                <w:szCs w:val="22"/>
              </w:rPr>
              <w:t xml:space="preserve"> </w:t>
            </w:r>
            <w:r w:rsidR="000068DB" w:rsidRPr="008546EA">
              <w:rPr>
                <w:szCs w:val="22"/>
              </w:rPr>
              <w:t>acts as</w:t>
            </w:r>
            <w:r w:rsidR="00B2464A" w:rsidRPr="008546EA">
              <w:rPr>
                <w:szCs w:val="22"/>
              </w:rPr>
              <w:t xml:space="preserve"> a reference </w:t>
            </w:r>
            <w:r w:rsidR="00F73852" w:rsidRPr="008546EA">
              <w:rPr>
                <w:szCs w:val="22"/>
              </w:rPr>
              <w:t>point</w:t>
            </w:r>
            <w:r w:rsidR="00B2464A" w:rsidRPr="008546EA">
              <w:rPr>
                <w:szCs w:val="22"/>
              </w:rPr>
              <w:t xml:space="preserve"> </w:t>
            </w:r>
            <w:r w:rsidR="000068DB" w:rsidRPr="008546EA">
              <w:rPr>
                <w:szCs w:val="22"/>
              </w:rPr>
              <w:t xml:space="preserve">for staff within </w:t>
            </w:r>
            <w:r w:rsidR="00111301" w:rsidRPr="008546EA">
              <w:rPr>
                <w:szCs w:val="22"/>
              </w:rPr>
              <w:t xml:space="preserve">THS-North </w:t>
            </w:r>
            <w:r w:rsidR="000068DB" w:rsidRPr="008546EA">
              <w:rPr>
                <w:szCs w:val="22"/>
              </w:rPr>
              <w:t xml:space="preserve">department and helps support </w:t>
            </w:r>
            <w:r w:rsidR="00865BE1" w:rsidRPr="008546EA">
              <w:rPr>
                <w:szCs w:val="22"/>
              </w:rPr>
              <w:t xml:space="preserve">decision making </w:t>
            </w:r>
            <w:r w:rsidR="00E42BFE" w:rsidRPr="008546EA">
              <w:rPr>
                <w:szCs w:val="22"/>
              </w:rPr>
              <w:t xml:space="preserve">and planning for </w:t>
            </w:r>
            <w:r w:rsidR="00F73852" w:rsidRPr="008546EA">
              <w:rPr>
                <w:szCs w:val="22"/>
              </w:rPr>
              <w:t xml:space="preserve">client </w:t>
            </w:r>
            <w:r w:rsidR="00E42BFE" w:rsidRPr="008546EA">
              <w:rPr>
                <w:szCs w:val="22"/>
              </w:rPr>
              <w:t>management in the community.</w:t>
            </w:r>
          </w:p>
          <w:p w14:paraId="1F9FDBA1" w14:textId="49E2FB36" w:rsidR="0074573B" w:rsidRPr="008546EA" w:rsidRDefault="00F73852" w:rsidP="008546EA">
            <w:pPr>
              <w:autoSpaceDE w:val="0"/>
              <w:autoSpaceDN w:val="0"/>
              <w:adjustRightInd w:val="0"/>
              <w:spacing w:after="100" w:afterAutospacing="1" w:line="240" w:lineRule="auto"/>
              <w:rPr>
                <w:szCs w:val="22"/>
              </w:rPr>
            </w:pPr>
            <w:r w:rsidRPr="008546EA">
              <w:rPr>
                <w:szCs w:val="22"/>
              </w:rPr>
              <w:t>A</w:t>
            </w:r>
            <w:r w:rsidR="00D57A72" w:rsidRPr="008546EA">
              <w:rPr>
                <w:szCs w:val="22"/>
              </w:rPr>
              <w:t>ctively</w:t>
            </w:r>
            <w:r w:rsidR="000D24FD" w:rsidRPr="008546EA">
              <w:rPr>
                <w:szCs w:val="22"/>
              </w:rPr>
              <w:t xml:space="preserve"> participate in </w:t>
            </w:r>
            <w:r w:rsidR="00E42BFE" w:rsidRPr="008546EA">
              <w:rPr>
                <w:szCs w:val="22"/>
              </w:rPr>
              <w:t xml:space="preserve">service analysis and design, </w:t>
            </w:r>
            <w:r w:rsidR="000D24FD" w:rsidRPr="008546EA">
              <w:rPr>
                <w:szCs w:val="22"/>
              </w:rPr>
              <w:t xml:space="preserve">departmental education, </w:t>
            </w:r>
            <w:r w:rsidR="00E42BFE" w:rsidRPr="008546EA">
              <w:rPr>
                <w:szCs w:val="22"/>
              </w:rPr>
              <w:t>and quality improvement projects.</w:t>
            </w:r>
          </w:p>
        </w:tc>
      </w:tr>
      <w:tr w:rsidR="00AE148F" w:rsidRPr="008546EA" w14:paraId="6EB2226C" w14:textId="77777777" w:rsidTr="00064D21">
        <w:trPr>
          <w:trHeight w:val="723"/>
        </w:trPr>
        <w:tc>
          <w:tcPr>
            <w:tcW w:w="2122" w:type="dxa"/>
            <w:shd w:val="clear" w:color="auto" w:fill="007479" w:themeFill="accent1"/>
          </w:tcPr>
          <w:p w14:paraId="2D166F67" w14:textId="77777777" w:rsidR="00AE148F" w:rsidRPr="008546EA" w:rsidRDefault="00AE148F" w:rsidP="008546EA">
            <w:pPr>
              <w:spacing w:after="100" w:afterAutospacing="1" w:line="240" w:lineRule="auto"/>
              <w:rPr>
                <w:b/>
                <w:bCs/>
                <w:color w:val="FFFFFF" w:themeColor="background1"/>
                <w:szCs w:val="22"/>
              </w:rPr>
            </w:pPr>
            <w:r w:rsidRPr="008546EA">
              <w:rPr>
                <w:b/>
                <w:bCs/>
                <w:color w:val="FFFFFF" w:themeColor="background1"/>
                <w:szCs w:val="22"/>
              </w:rPr>
              <w:t>Preferred Experience</w:t>
            </w:r>
          </w:p>
        </w:tc>
        <w:tc>
          <w:tcPr>
            <w:tcW w:w="8066" w:type="dxa"/>
          </w:tcPr>
          <w:p w14:paraId="5BAF281D" w14:textId="04040360" w:rsidR="00120043" w:rsidRPr="008546EA" w:rsidRDefault="00120043" w:rsidP="008546EA">
            <w:pPr>
              <w:pStyle w:val="DP1"/>
              <w:spacing w:after="100" w:afterAutospacing="1" w:line="240" w:lineRule="auto"/>
              <w:rPr>
                <w:szCs w:val="22"/>
              </w:rPr>
            </w:pPr>
            <w:r w:rsidRPr="008546EA">
              <w:rPr>
                <w:szCs w:val="22"/>
              </w:rPr>
              <w:t xml:space="preserve">Minimum five years’ experience as a physiotherapist. </w:t>
            </w:r>
            <w:r w:rsidR="00111301" w:rsidRPr="008546EA">
              <w:rPr>
                <w:szCs w:val="22"/>
              </w:rPr>
              <w:t xml:space="preserve"> </w:t>
            </w:r>
          </w:p>
          <w:p w14:paraId="69A2C6E3" w14:textId="11C71A62" w:rsidR="00120043" w:rsidRPr="008546EA" w:rsidRDefault="00120043" w:rsidP="008546EA">
            <w:pPr>
              <w:pStyle w:val="DP1"/>
              <w:spacing w:after="100" w:afterAutospacing="1" w:line="240" w:lineRule="auto"/>
              <w:rPr>
                <w:szCs w:val="22"/>
              </w:rPr>
            </w:pPr>
            <w:r w:rsidRPr="008546EA">
              <w:rPr>
                <w:szCs w:val="22"/>
              </w:rPr>
              <w:t xml:space="preserve">Post-graduate qualification in relevant field or working towards. </w:t>
            </w:r>
          </w:p>
          <w:p w14:paraId="50BC9BCF" w14:textId="4A9D23ED" w:rsidR="00AE148F" w:rsidRPr="008546EA" w:rsidRDefault="00120043" w:rsidP="008546EA">
            <w:pPr>
              <w:pStyle w:val="DP1"/>
              <w:spacing w:after="100" w:afterAutospacing="1" w:line="240" w:lineRule="auto"/>
              <w:rPr>
                <w:szCs w:val="22"/>
              </w:rPr>
            </w:pPr>
            <w:r w:rsidRPr="008546EA">
              <w:rPr>
                <w:szCs w:val="22"/>
              </w:rPr>
              <w:t>Diverse and recent experience in the public healthcare setting</w:t>
            </w:r>
            <w:r w:rsidR="000D24FD" w:rsidRPr="008546EA">
              <w:rPr>
                <w:szCs w:val="22"/>
              </w:rPr>
              <w:t>.</w:t>
            </w:r>
          </w:p>
        </w:tc>
      </w:tr>
      <w:tr w:rsidR="00AE148F" w:rsidRPr="008546EA" w14:paraId="3DA1ACC9" w14:textId="77777777" w:rsidTr="00064D21">
        <w:trPr>
          <w:trHeight w:val="1134"/>
        </w:trPr>
        <w:tc>
          <w:tcPr>
            <w:tcW w:w="2122" w:type="dxa"/>
            <w:shd w:val="clear" w:color="auto" w:fill="007479" w:themeFill="accent1"/>
          </w:tcPr>
          <w:p w14:paraId="78DBE923" w14:textId="77777777" w:rsidR="00AE148F" w:rsidRPr="008546EA" w:rsidRDefault="00AE148F" w:rsidP="008546EA">
            <w:pPr>
              <w:spacing w:after="100" w:afterAutospacing="1" w:line="240" w:lineRule="auto"/>
              <w:rPr>
                <w:b/>
                <w:bCs/>
                <w:color w:val="FFFFFF" w:themeColor="background1"/>
                <w:szCs w:val="22"/>
              </w:rPr>
            </w:pPr>
            <w:r w:rsidRPr="008546EA">
              <w:rPr>
                <w:b/>
                <w:bCs/>
                <w:color w:val="FFFFFF" w:themeColor="background1"/>
                <w:szCs w:val="22"/>
              </w:rPr>
              <w:t xml:space="preserve">Preferred Skills </w:t>
            </w:r>
          </w:p>
          <w:p w14:paraId="42DF7B5A" w14:textId="49B89992" w:rsidR="001B6970" w:rsidRPr="008546EA" w:rsidRDefault="001B6970" w:rsidP="008546EA">
            <w:pPr>
              <w:spacing w:after="100" w:afterAutospacing="1" w:line="240" w:lineRule="auto"/>
              <w:rPr>
                <w:b/>
                <w:bCs/>
                <w:color w:val="FFFFFF" w:themeColor="background1"/>
                <w:szCs w:val="22"/>
              </w:rPr>
            </w:pPr>
            <w:r w:rsidRPr="008546EA">
              <w:rPr>
                <w:b/>
                <w:color w:val="FFFFFF" w:themeColor="background1"/>
                <w:szCs w:val="22"/>
              </w:rPr>
              <w:t>(</w:t>
            </w:r>
            <w:proofErr w:type="gramStart"/>
            <w:r w:rsidRPr="008546EA">
              <w:rPr>
                <w:b/>
                <w:color w:val="FFFFFF" w:themeColor="background1"/>
                <w:szCs w:val="22"/>
              </w:rPr>
              <w:t>see</w:t>
            </w:r>
            <w:proofErr w:type="gramEnd"/>
            <w:r w:rsidRPr="008546EA">
              <w:rPr>
                <w:b/>
                <w:color w:val="FFFFFF" w:themeColor="background1"/>
                <w:szCs w:val="22"/>
              </w:rPr>
              <w:t xml:space="preserve"> Statement of Duties)</w:t>
            </w:r>
          </w:p>
        </w:tc>
        <w:tc>
          <w:tcPr>
            <w:tcW w:w="8066" w:type="dxa"/>
          </w:tcPr>
          <w:p w14:paraId="53602A58" w14:textId="735997F4" w:rsidR="000B75FC" w:rsidRPr="008546EA" w:rsidRDefault="000B75FC" w:rsidP="008546EA">
            <w:pPr>
              <w:pStyle w:val="ListParagraph"/>
              <w:spacing w:after="100" w:afterAutospacing="1" w:line="240" w:lineRule="auto"/>
              <w:rPr>
                <w:rFonts w:cs="Calibri"/>
                <w:szCs w:val="22"/>
              </w:rPr>
            </w:pPr>
            <w:r w:rsidRPr="008546EA">
              <w:rPr>
                <w:rFonts w:cs="Calibri"/>
                <w:szCs w:val="22"/>
              </w:rPr>
              <w:t>Current driver’s licence</w:t>
            </w:r>
            <w:r w:rsidRPr="008546EA">
              <w:rPr>
                <w:szCs w:val="22"/>
              </w:rPr>
              <w:t xml:space="preserve"> </w:t>
            </w:r>
          </w:p>
          <w:p w14:paraId="3B6E5F43" w14:textId="4E89C4F9" w:rsidR="008F52D1" w:rsidRPr="008546EA" w:rsidRDefault="00064D21" w:rsidP="008546EA">
            <w:pPr>
              <w:pStyle w:val="ListParagraph"/>
              <w:spacing w:after="100" w:afterAutospacing="1" w:line="240" w:lineRule="auto"/>
              <w:rPr>
                <w:rFonts w:cs="Calibri"/>
                <w:szCs w:val="22"/>
              </w:rPr>
            </w:pPr>
            <w:r w:rsidRPr="008546EA">
              <w:rPr>
                <w:rFonts w:cs="Calibri"/>
                <w:szCs w:val="22"/>
              </w:rPr>
              <w:t xml:space="preserve">Extensive general physiotherapist experience and significant experience </w:t>
            </w:r>
            <w:r w:rsidR="00A16F91" w:rsidRPr="008546EA">
              <w:rPr>
                <w:rFonts w:cs="Calibri"/>
                <w:szCs w:val="22"/>
              </w:rPr>
              <w:t>in Community settings.</w:t>
            </w:r>
          </w:p>
          <w:p w14:paraId="18711181" w14:textId="77777777" w:rsidR="008F52D1" w:rsidRPr="008546EA" w:rsidRDefault="00D67E2E" w:rsidP="008546EA">
            <w:pPr>
              <w:pStyle w:val="ListParagraph"/>
              <w:spacing w:after="100" w:afterAutospacing="1" w:line="240" w:lineRule="auto"/>
              <w:rPr>
                <w:rFonts w:cs="Calibri"/>
                <w:szCs w:val="22"/>
              </w:rPr>
            </w:pPr>
            <w:r w:rsidRPr="008546EA">
              <w:rPr>
                <w:rFonts w:cs="Calibri"/>
                <w:szCs w:val="22"/>
              </w:rPr>
              <w:t xml:space="preserve">Experience working with </w:t>
            </w:r>
            <w:r w:rsidR="00C7682A" w:rsidRPr="008546EA">
              <w:rPr>
                <w:rFonts w:cs="Calibri"/>
                <w:szCs w:val="22"/>
              </w:rPr>
              <w:t xml:space="preserve">people </w:t>
            </w:r>
            <w:r w:rsidR="00D6128E" w:rsidRPr="008546EA">
              <w:rPr>
                <w:rFonts w:cs="Calibri"/>
                <w:szCs w:val="22"/>
              </w:rPr>
              <w:t>and supporting carers</w:t>
            </w:r>
            <w:r w:rsidR="008F52D1" w:rsidRPr="008546EA">
              <w:rPr>
                <w:rFonts w:cs="Calibri"/>
                <w:szCs w:val="22"/>
              </w:rPr>
              <w:t>:</w:t>
            </w:r>
          </w:p>
          <w:p w14:paraId="236E5D77" w14:textId="77777777" w:rsidR="008F52D1" w:rsidRPr="008546EA" w:rsidRDefault="00C7682A" w:rsidP="008546EA">
            <w:pPr>
              <w:pStyle w:val="ListParagraph"/>
              <w:numPr>
                <w:ilvl w:val="1"/>
                <w:numId w:val="14"/>
              </w:numPr>
              <w:spacing w:after="100" w:afterAutospacing="1" w:line="240" w:lineRule="auto"/>
              <w:rPr>
                <w:rFonts w:cs="Calibri"/>
                <w:szCs w:val="22"/>
              </w:rPr>
            </w:pPr>
            <w:r w:rsidRPr="008546EA">
              <w:rPr>
                <w:rFonts w:cs="Calibri"/>
                <w:szCs w:val="22"/>
              </w:rPr>
              <w:t xml:space="preserve">from diverse cultural, </w:t>
            </w:r>
            <w:proofErr w:type="gramStart"/>
            <w:r w:rsidRPr="008546EA">
              <w:rPr>
                <w:rFonts w:cs="Calibri"/>
                <w:szCs w:val="22"/>
              </w:rPr>
              <w:t>linguistic</w:t>
            </w:r>
            <w:proofErr w:type="gramEnd"/>
            <w:r w:rsidRPr="008546EA">
              <w:rPr>
                <w:rFonts w:cs="Calibri"/>
                <w:szCs w:val="22"/>
              </w:rPr>
              <w:t xml:space="preserve"> and socioeconomic backgrounds </w:t>
            </w:r>
          </w:p>
          <w:p w14:paraId="4A76B6CA" w14:textId="69F06544" w:rsidR="00D67E2E" w:rsidRPr="008546EA" w:rsidRDefault="00C7682A" w:rsidP="008546EA">
            <w:pPr>
              <w:pStyle w:val="ListParagraph"/>
              <w:numPr>
                <w:ilvl w:val="1"/>
                <w:numId w:val="14"/>
              </w:numPr>
              <w:spacing w:after="100" w:afterAutospacing="1" w:line="240" w:lineRule="auto"/>
              <w:rPr>
                <w:rFonts w:cs="Calibri"/>
                <w:szCs w:val="22"/>
              </w:rPr>
            </w:pPr>
            <w:r w:rsidRPr="008546EA">
              <w:rPr>
                <w:rFonts w:cs="Calibri"/>
                <w:szCs w:val="22"/>
              </w:rPr>
              <w:t>and understanding of the unique challenges these groups face when accessing health care</w:t>
            </w:r>
          </w:p>
          <w:p w14:paraId="1A7DECB1" w14:textId="77777777" w:rsidR="006E0E31" w:rsidRPr="008546EA" w:rsidRDefault="006E0E31" w:rsidP="008546EA">
            <w:pPr>
              <w:pStyle w:val="ListParagraph"/>
              <w:spacing w:after="100" w:afterAutospacing="1" w:line="240" w:lineRule="auto"/>
              <w:rPr>
                <w:rFonts w:cs="Calibri"/>
                <w:szCs w:val="22"/>
              </w:rPr>
            </w:pPr>
            <w:r w:rsidRPr="008546EA">
              <w:rPr>
                <w:rFonts w:cs="Calibri"/>
                <w:szCs w:val="22"/>
              </w:rPr>
              <w:t>Proven skills in risk appraisal, ability to recognise and respond to medical deterioration interpersonal relationship, communication, negotiation, de-escalation, and conflict resolution.</w:t>
            </w:r>
          </w:p>
          <w:p w14:paraId="21F5C55D" w14:textId="77777777" w:rsidR="00B70190" w:rsidRPr="008546EA" w:rsidRDefault="00B70190" w:rsidP="008546EA">
            <w:pPr>
              <w:pStyle w:val="ListParagraph"/>
              <w:spacing w:after="100" w:afterAutospacing="1" w:line="240" w:lineRule="auto"/>
              <w:rPr>
                <w:szCs w:val="22"/>
              </w:rPr>
            </w:pPr>
            <w:r w:rsidRPr="008546EA">
              <w:rPr>
                <w:rFonts w:cs="Calibri"/>
                <w:szCs w:val="22"/>
              </w:rPr>
              <w:t>Adaptability and flexibility in working style, with an ability to:</w:t>
            </w:r>
          </w:p>
          <w:p w14:paraId="022D5FAF" w14:textId="77777777" w:rsidR="00B70190" w:rsidRPr="008546EA" w:rsidRDefault="00B70190" w:rsidP="008546EA">
            <w:pPr>
              <w:pStyle w:val="ListParagraph"/>
              <w:numPr>
                <w:ilvl w:val="1"/>
                <w:numId w:val="14"/>
              </w:numPr>
              <w:spacing w:after="100" w:afterAutospacing="1" w:line="240" w:lineRule="auto"/>
              <w:rPr>
                <w:szCs w:val="22"/>
              </w:rPr>
            </w:pPr>
            <w:r w:rsidRPr="008546EA">
              <w:rPr>
                <w:rFonts w:cs="Calibri"/>
                <w:szCs w:val="22"/>
              </w:rPr>
              <w:t xml:space="preserve"> work both independently as a sole practitioner, and </w:t>
            </w:r>
          </w:p>
          <w:p w14:paraId="230B7624" w14:textId="77777777" w:rsidR="00B70190" w:rsidRPr="008546EA" w:rsidRDefault="00B70190" w:rsidP="008546EA">
            <w:pPr>
              <w:pStyle w:val="ListParagraph"/>
              <w:numPr>
                <w:ilvl w:val="1"/>
                <w:numId w:val="14"/>
              </w:numPr>
              <w:spacing w:after="100" w:afterAutospacing="1" w:line="240" w:lineRule="auto"/>
              <w:rPr>
                <w:szCs w:val="22"/>
              </w:rPr>
            </w:pPr>
            <w:r w:rsidRPr="008546EA">
              <w:rPr>
                <w:rFonts w:cs="Calibri"/>
                <w:szCs w:val="22"/>
              </w:rPr>
              <w:t xml:space="preserve">work collaboratively as part of a wider multidisciplinary team </w:t>
            </w:r>
          </w:p>
          <w:p w14:paraId="28BDC515" w14:textId="133E75F2" w:rsidR="00B70190" w:rsidRPr="008546EA" w:rsidRDefault="00D6128E" w:rsidP="008546EA">
            <w:pPr>
              <w:pStyle w:val="ListParagraph"/>
              <w:numPr>
                <w:ilvl w:val="1"/>
                <w:numId w:val="14"/>
              </w:numPr>
              <w:spacing w:after="100" w:afterAutospacing="1" w:line="240" w:lineRule="auto"/>
              <w:rPr>
                <w:szCs w:val="22"/>
              </w:rPr>
            </w:pPr>
            <w:r w:rsidRPr="008546EA">
              <w:rPr>
                <w:rFonts w:cs="Calibri"/>
                <w:szCs w:val="22"/>
              </w:rPr>
              <w:t xml:space="preserve">make decisions independently </w:t>
            </w:r>
          </w:p>
          <w:p w14:paraId="575D9ECB" w14:textId="2C874F38" w:rsidR="00064D21" w:rsidRPr="008546EA" w:rsidRDefault="00C634D7" w:rsidP="008546EA">
            <w:pPr>
              <w:pStyle w:val="ListParagraph"/>
              <w:numPr>
                <w:ilvl w:val="1"/>
                <w:numId w:val="14"/>
              </w:numPr>
              <w:spacing w:after="100" w:afterAutospacing="1" w:line="240" w:lineRule="auto"/>
              <w:rPr>
                <w:szCs w:val="22"/>
              </w:rPr>
            </w:pPr>
            <w:r w:rsidRPr="008546EA">
              <w:rPr>
                <w:rFonts w:cs="Calibri"/>
                <w:szCs w:val="22"/>
              </w:rPr>
              <w:t>collaborate</w:t>
            </w:r>
            <w:r w:rsidR="00C7682A" w:rsidRPr="008546EA">
              <w:rPr>
                <w:rFonts w:cs="Calibri"/>
                <w:szCs w:val="22"/>
              </w:rPr>
              <w:t xml:space="preserve"> with </w:t>
            </w:r>
            <w:r w:rsidRPr="008546EA">
              <w:rPr>
                <w:rFonts w:cs="Calibri"/>
                <w:szCs w:val="22"/>
              </w:rPr>
              <w:t xml:space="preserve">a broad range of </w:t>
            </w:r>
            <w:r w:rsidR="00C7682A" w:rsidRPr="008546EA">
              <w:rPr>
                <w:rFonts w:cs="Calibri"/>
                <w:szCs w:val="22"/>
              </w:rPr>
              <w:t xml:space="preserve">services </w:t>
            </w:r>
            <w:r w:rsidRPr="008546EA">
              <w:rPr>
                <w:rFonts w:cs="Calibri"/>
                <w:szCs w:val="22"/>
              </w:rPr>
              <w:t xml:space="preserve">both </w:t>
            </w:r>
            <w:r w:rsidR="00C7682A" w:rsidRPr="008546EA">
              <w:rPr>
                <w:rFonts w:cs="Calibri"/>
                <w:szCs w:val="22"/>
              </w:rPr>
              <w:t>within and outside the public health system to best support clients with complex needs</w:t>
            </w:r>
          </w:p>
        </w:tc>
      </w:tr>
    </w:tbl>
    <w:p w14:paraId="7E6E6917" w14:textId="77777777" w:rsidR="00D46F09" w:rsidRPr="008546EA" w:rsidRDefault="00D46F09" w:rsidP="008546EA">
      <w:pPr>
        <w:pStyle w:val="DP1"/>
        <w:numPr>
          <w:ilvl w:val="0"/>
          <w:numId w:val="0"/>
        </w:numPr>
        <w:spacing w:after="100" w:afterAutospacing="1" w:line="240" w:lineRule="auto"/>
        <w:rPr>
          <w:szCs w:val="22"/>
        </w:rPr>
      </w:pPr>
    </w:p>
    <w:sectPr w:rsidR="00D46F09" w:rsidRPr="008546EA" w:rsidSect="00A4631D">
      <w:headerReference w:type="even" r:id="rId11"/>
      <w:headerReference w:type="default" r:id="rId12"/>
      <w:footerReference w:type="even" r:id="rId13"/>
      <w:footerReference w:type="default" r:id="rId14"/>
      <w:headerReference w:type="first" r:id="rId15"/>
      <w:footerReference w:type="first" r:id="rId16"/>
      <w:pgSz w:w="11900" w:h="16840"/>
      <w:pgMar w:top="851" w:right="851" w:bottom="2269"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0922" w14:textId="77777777" w:rsidR="002C1283" w:rsidRDefault="002C1283" w:rsidP="00F420E2">
      <w:pPr>
        <w:spacing w:after="0" w:line="240" w:lineRule="auto"/>
      </w:pPr>
      <w:r>
        <w:separator/>
      </w:r>
    </w:p>
  </w:endnote>
  <w:endnote w:type="continuationSeparator" w:id="0">
    <w:p w14:paraId="1719C82B" w14:textId="77777777" w:rsidR="002C1283" w:rsidRDefault="002C128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99C7"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0ADA" w14:textId="4B63BD73" w:rsidR="007E4B28" w:rsidRPr="00BF5739" w:rsidRDefault="00922257" w:rsidP="00BF5739">
    <w:pPr>
      <w:spacing w:before="240"/>
      <w:jc w:val="center"/>
    </w:pPr>
    <w:r>
      <w:rPr>
        <w:sz w:val="18"/>
        <w:szCs w:val="18"/>
      </w:rPr>
      <w:t>C</w:t>
    </w:r>
    <w:r w:rsidR="001B3DB5">
      <w:rPr>
        <w:sz w:val="18"/>
        <w:szCs w:val="18"/>
      </w:rPr>
      <w:t>ommunity Rapid Response</w:t>
    </w:r>
    <w:r>
      <w:rPr>
        <w:sz w:val="18"/>
        <w:szCs w:val="18"/>
      </w:rPr>
      <w:t xml:space="preserve"> - Physiotherapy</w:t>
    </w:r>
    <w:r w:rsidR="00BF5739">
      <w:rPr>
        <w:sz w:val="18"/>
        <w:szCs w:val="18"/>
      </w:rPr>
      <w:t xml:space="preserve"> </w:t>
    </w:r>
    <w:r w:rsidR="00BF5739" w:rsidRPr="00B772DA">
      <w:rPr>
        <w:rFonts w:ascii="Gill Sans MT" w:eastAsia="Calibri" w:hAnsi="Gill Sans MT"/>
        <w:noProof/>
        <w:color w:val="007479" w:themeColor="accent1"/>
      </w:rPr>
      <w:t>|</w:t>
    </w:r>
    <w:r w:rsidR="00BF5739">
      <w:rPr>
        <w:sz w:val="18"/>
        <w:szCs w:val="18"/>
      </w:rPr>
      <w:t xml:space="preserve"> </w:t>
    </w:r>
    <w:r w:rsidR="00BF5739" w:rsidRPr="00032D46">
      <w:rPr>
        <w:rStyle w:val="FootnoteTextChar"/>
        <w:sz w:val="18"/>
        <w:szCs w:val="18"/>
        <w:lang w:val="en-US"/>
      </w:rPr>
      <w:t xml:space="preserve">PAGE </w:t>
    </w:r>
    <w:r w:rsidR="00BF5739" w:rsidRPr="00032D46">
      <w:rPr>
        <w:rStyle w:val="FootnoteTextChar"/>
        <w:sz w:val="18"/>
        <w:szCs w:val="18"/>
        <w:lang w:val="en-US"/>
      </w:rPr>
      <w:fldChar w:fldCharType="begin"/>
    </w:r>
    <w:r w:rsidR="00BF5739" w:rsidRPr="00032D46">
      <w:rPr>
        <w:rStyle w:val="FootnoteTextChar"/>
        <w:sz w:val="18"/>
        <w:szCs w:val="18"/>
        <w:lang w:val="en-US"/>
      </w:rPr>
      <w:instrText xml:space="preserve"> PAGE </w:instrText>
    </w:r>
    <w:r w:rsidR="00BF5739" w:rsidRPr="00032D46">
      <w:rPr>
        <w:rStyle w:val="FootnoteTextChar"/>
        <w:sz w:val="18"/>
        <w:szCs w:val="18"/>
      </w:rPr>
      <w:fldChar w:fldCharType="separate"/>
    </w:r>
    <w:r w:rsidR="00BF5739">
      <w:rPr>
        <w:rStyle w:val="FootnoteTextChar"/>
        <w:sz w:val="18"/>
        <w:szCs w:val="18"/>
      </w:rPr>
      <w:t>2</w:t>
    </w:r>
    <w:r w:rsidR="00BF5739" w:rsidRPr="00032D46">
      <w:rPr>
        <w:rStyle w:val="FootnoteTextChar"/>
        <w:sz w:val="18"/>
        <w:szCs w:val="18"/>
        <w:lang w:val="en-US"/>
      </w:rPr>
      <w:fldChar w:fldCharType="end"/>
    </w:r>
    <w:r w:rsidR="00BF5739" w:rsidRPr="00032D46">
      <w:rPr>
        <w:rStyle w:val="FootnoteTextChar"/>
        <w:sz w:val="18"/>
        <w:szCs w:val="18"/>
        <w:lang w:val="en-US"/>
      </w:rPr>
      <w:t xml:space="preserve"> of </w:t>
    </w:r>
    <w:r w:rsidR="00BF5739" w:rsidRPr="00032D46">
      <w:rPr>
        <w:rStyle w:val="FootnoteTextChar"/>
        <w:sz w:val="18"/>
        <w:szCs w:val="18"/>
        <w:lang w:val="en-US"/>
      </w:rPr>
      <w:fldChar w:fldCharType="begin"/>
    </w:r>
    <w:r w:rsidR="00BF5739" w:rsidRPr="00032D46">
      <w:rPr>
        <w:rStyle w:val="FootnoteTextChar"/>
        <w:sz w:val="18"/>
        <w:szCs w:val="18"/>
        <w:lang w:val="en-US"/>
      </w:rPr>
      <w:instrText xml:space="preserve"> NUMPAGES </w:instrText>
    </w:r>
    <w:r w:rsidR="00BF5739" w:rsidRPr="00032D46">
      <w:rPr>
        <w:rStyle w:val="FootnoteTextChar"/>
        <w:sz w:val="18"/>
        <w:szCs w:val="18"/>
      </w:rPr>
      <w:fldChar w:fldCharType="separate"/>
    </w:r>
    <w:r w:rsidR="00BF5739">
      <w:rPr>
        <w:rStyle w:val="FootnoteTextChar"/>
        <w:sz w:val="18"/>
        <w:szCs w:val="18"/>
      </w:rPr>
      <w:t>2</w:t>
    </w:r>
    <w:r w:rsidR="00BF5739" w:rsidRPr="00032D46">
      <w:rPr>
        <w:rStyle w:val="FootnoteTextChar"/>
        <w:sz w:val="18"/>
        <w:szCs w:val="18"/>
        <w:lang w:val="en-US"/>
      </w:rPr>
      <w:fldChar w:fldCharType="end"/>
    </w:r>
    <w:r w:rsidR="00BF5739" w:rsidRPr="00032D46">
      <w:rPr>
        <w:noProof/>
        <w:sz w:val="18"/>
        <w:szCs w:val="18"/>
        <w:lang w:val="en-US"/>
      </w:rPr>
      <w:drawing>
        <wp:anchor distT="0" distB="0" distL="114300" distR="114300" simplePos="0" relativeHeight="251684864" behindDoc="1" locked="1" layoutInCell="1" allowOverlap="1" wp14:anchorId="4BE4A203" wp14:editId="1D283A7D">
          <wp:simplePos x="0" y="0"/>
          <wp:positionH relativeFrom="page">
            <wp:posOffset>552450</wp:posOffset>
          </wp:positionH>
          <wp:positionV relativeFrom="page">
            <wp:posOffset>9635490</wp:posOffset>
          </wp:positionV>
          <wp:extent cx="7552690" cy="105791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24BB" w14:textId="77777777" w:rsidR="007E4B28" w:rsidRDefault="007E4B28" w:rsidP="005F1C64">
    <w:pPr>
      <w:pStyle w:val="TasGovDepartmentName"/>
      <w:spacing w:before="1680" w:after="0"/>
      <w:ind w:left="-283"/>
    </w:pPr>
    <w:r>
      <w:rPr>
        <w:noProof/>
      </w:rPr>
      <w:drawing>
        <wp:anchor distT="0" distB="0" distL="114300" distR="114300" simplePos="0" relativeHeight="251673600" behindDoc="1" locked="1" layoutInCell="1" allowOverlap="1" wp14:anchorId="6157B32B" wp14:editId="7C816C62">
          <wp:simplePos x="0" y="0"/>
          <wp:positionH relativeFrom="page">
            <wp:align>center</wp:align>
          </wp:positionH>
          <wp:positionV relativeFrom="page">
            <wp:align>bottom</wp:align>
          </wp:positionV>
          <wp:extent cx="7552800" cy="1512000"/>
          <wp:effectExtent l="0" t="0" r="3810" b="0"/>
          <wp:wrapNone/>
          <wp:docPr id="13" name="Picture 13"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smanian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51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1" layoutInCell="1" allowOverlap="1" wp14:anchorId="0C27DDCC" wp14:editId="707487B0">
          <wp:simplePos x="0" y="0"/>
          <wp:positionH relativeFrom="page">
            <wp:posOffset>0</wp:posOffset>
          </wp:positionH>
          <wp:positionV relativeFrom="page">
            <wp:posOffset>0</wp:posOffset>
          </wp:positionV>
          <wp:extent cx="7551420" cy="918400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b="38268"/>
                  <a:stretch/>
                </pic:blipFill>
                <pic:spPr bwMode="auto">
                  <a:xfrm>
                    <a:off x="0" y="0"/>
                    <a:ext cx="7551420" cy="9184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Department of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B750" w14:textId="77777777" w:rsidR="002C1283" w:rsidRDefault="002C1283" w:rsidP="00F420E2">
      <w:pPr>
        <w:spacing w:after="0" w:line="240" w:lineRule="auto"/>
      </w:pPr>
      <w:r>
        <w:separator/>
      </w:r>
    </w:p>
  </w:footnote>
  <w:footnote w:type="continuationSeparator" w:id="0">
    <w:p w14:paraId="2F22B650" w14:textId="77777777" w:rsidR="002C1283" w:rsidRDefault="002C128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50E4" w14:textId="361619B2" w:rsidR="00A05FF5" w:rsidRDefault="00890AD9">
    <w:pPr>
      <w:pStyle w:val="Header"/>
    </w:pPr>
    <w:r>
      <w:rPr>
        <w:noProof/>
      </w:rPr>
      <w:drawing>
        <wp:anchor distT="0" distB="0" distL="114300" distR="114300" simplePos="0" relativeHeight="251667456" behindDoc="0" locked="1" layoutInCell="1" allowOverlap="1" wp14:anchorId="7E3C5A60" wp14:editId="6C6409FC">
          <wp:simplePos x="0" y="0"/>
          <wp:positionH relativeFrom="column">
            <wp:posOffset>3810</wp:posOffset>
          </wp:positionH>
          <wp:positionV relativeFrom="page">
            <wp:posOffset>4468495</wp:posOffset>
          </wp:positionV>
          <wp:extent cx="1162685" cy="1079500"/>
          <wp:effectExtent l="0" t="0" r="571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62685" cy="1079500"/>
                  </a:xfrm>
                  <a:prstGeom prst="rect">
                    <a:avLst/>
                  </a:prstGeom>
                </pic:spPr>
              </pic:pic>
            </a:graphicData>
          </a:graphic>
          <wp14:sizeRelH relativeFrom="margin">
            <wp14:pctWidth>0</wp14:pctWidth>
          </wp14:sizeRelH>
          <wp14:sizeRelV relativeFrom="margin">
            <wp14:pctHeight>0</wp14:pctHeight>
          </wp14:sizeRelV>
        </wp:anchor>
      </w:drawing>
    </w:r>
    <w:r w:rsidR="00A05FF5">
      <w:rPr>
        <w:noProof/>
      </w:rPr>
      <w:drawing>
        <wp:anchor distT="0" distB="0" distL="114300" distR="114300" simplePos="0" relativeHeight="251663360" behindDoc="1" locked="1" layoutInCell="1" allowOverlap="1" wp14:anchorId="54E00527" wp14:editId="313285B5">
          <wp:simplePos x="0" y="0"/>
          <wp:positionH relativeFrom="page">
            <wp:align>left</wp:align>
          </wp:positionH>
          <wp:positionV relativeFrom="page">
            <wp:align>top</wp:align>
          </wp:positionV>
          <wp:extent cx="7552055" cy="10674350"/>
          <wp:effectExtent l="0" t="0" r="4445"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2440" cy="1067496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B7EB" w14:textId="08E488ED" w:rsidR="007E4B28" w:rsidRPr="00BF5739" w:rsidRDefault="00BF5739" w:rsidP="00BF5739">
    <w:pPr>
      <w:pStyle w:val="Header"/>
      <w:spacing w:after="480"/>
      <w:jc w:val="right"/>
    </w:pPr>
    <w:r>
      <w:rPr>
        <w:noProof/>
      </w:rPr>
      <w:drawing>
        <wp:anchor distT="0" distB="0" distL="114300" distR="114300" simplePos="0" relativeHeight="251686912" behindDoc="1" locked="1" layoutInCell="1" allowOverlap="1" wp14:anchorId="7A4030BD" wp14:editId="0B9AC783">
          <wp:simplePos x="0" y="0"/>
          <wp:positionH relativeFrom="column">
            <wp:posOffset>-342265</wp:posOffset>
          </wp:positionH>
          <wp:positionV relativeFrom="page">
            <wp:posOffset>-685800</wp:posOffset>
          </wp:positionV>
          <wp:extent cx="1562100" cy="1486535"/>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1486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173" w14:textId="64AF59D4" w:rsidR="007E4B28" w:rsidRPr="00D5279C" w:rsidRDefault="00D5279C" w:rsidP="00D5279C">
    <w:pPr>
      <w:pStyle w:val="Header"/>
    </w:pPr>
    <w:r>
      <w:rPr>
        <w:noProof/>
      </w:rPr>
      <w:drawing>
        <wp:anchor distT="0" distB="0" distL="114300" distR="114300" simplePos="0" relativeHeight="251678720" behindDoc="0" locked="1" layoutInCell="1" allowOverlap="1" wp14:anchorId="2B588861" wp14:editId="7E74C933">
          <wp:simplePos x="0" y="0"/>
          <wp:positionH relativeFrom="column">
            <wp:posOffset>4574540</wp:posOffset>
          </wp:positionH>
          <wp:positionV relativeFrom="page">
            <wp:posOffset>0</wp:posOffset>
          </wp:positionV>
          <wp:extent cx="1864360" cy="1911985"/>
          <wp:effectExtent l="0" t="0" r="2540" b="5715"/>
          <wp:wrapNone/>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4360" cy="1911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C633E6"/>
    <w:multiLevelType w:val="hybridMultilevel"/>
    <w:tmpl w:val="CFAE2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626AC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7A45E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9A91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43A827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5D494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C980F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CA51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EA50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AA05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D2BB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953CA6"/>
    <w:multiLevelType w:val="hybridMultilevel"/>
    <w:tmpl w:val="F230D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0361D3A"/>
    <w:multiLevelType w:val="hybridMultilevel"/>
    <w:tmpl w:val="312494AE"/>
    <w:lvl w:ilvl="0" w:tplc="DE66B188">
      <w:start w:val="39"/>
      <w:numFmt w:val="bullet"/>
      <w:lvlText w:val="-"/>
      <w:lvlJc w:val="left"/>
      <w:pPr>
        <w:ind w:left="720" w:hanging="360"/>
      </w:pPr>
      <w:rPr>
        <w:rFonts w:ascii="Gill Sans MT" w:eastAsia="Times New Roman" w:hAnsi="Gill Sans M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602CE"/>
    <w:multiLevelType w:val="multilevel"/>
    <w:tmpl w:val="88B6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D750A"/>
    <w:multiLevelType w:val="multilevel"/>
    <w:tmpl w:val="BBB4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A5F7D"/>
    <w:multiLevelType w:val="hybridMultilevel"/>
    <w:tmpl w:val="EE5E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768B8"/>
    <w:multiLevelType w:val="multilevel"/>
    <w:tmpl w:val="A54CFBFE"/>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307A69DA"/>
    <w:multiLevelType w:val="hybridMultilevel"/>
    <w:tmpl w:val="9D96F8B2"/>
    <w:lvl w:ilvl="0" w:tplc="5620873C">
      <w:start w:val="5"/>
      <w:numFmt w:val="decimal"/>
      <w:lvlText w:val="%1."/>
      <w:lvlJc w:val="left"/>
      <w:pPr>
        <w:ind w:left="360" w:hanging="360"/>
      </w:pPr>
      <w:rPr>
        <w:rFonts w:asciiTheme="minorHAnsi" w:hAnsiTheme="minorHAnsi" w:cs="Times New Roman (Body CS)" w:hint="default"/>
        <w:color w:val="auto"/>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0714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B44CDB"/>
    <w:multiLevelType w:val="hybridMultilevel"/>
    <w:tmpl w:val="849CC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AF4CD6"/>
    <w:multiLevelType w:val="hybridMultilevel"/>
    <w:tmpl w:val="EB8E343E"/>
    <w:lvl w:ilvl="0" w:tplc="A462DF46">
      <w:start w:val="1"/>
      <w:numFmt w:val="decimal"/>
      <w:lvlText w:val="%1."/>
      <w:lvlJc w:val="left"/>
      <w:pPr>
        <w:ind w:left="685" w:hanging="567"/>
      </w:pPr>
      <w:rPr>
        <w:rFonts w:ascii="Gill Sans MT" w:eastAsia="Gill Sans MT" w:hAnsi="Gill Sans MT" w:cs="Gill Sans MT" w:hint="default"/>
        <w:spacing w:val="-7"/>
        <w:w w:val="100"/>
        <w:sz w:val="24"/>
        <w:szCs w:val="24"/>
      </w:rPr>
    </w:lvl>
    <w:lvl w:ilvl="1" w:tplc="01BA8FE8">
      <w:numFmt w:val="bullet"/>
      <w:lvlText w:val=""/>
      <w:lvlJc w:val="left"/>
      <w:pPr>
        <w:ind w:left="793" w:hanging="567"/>
      </w:pPr>
      <w:rPr>
        <w:rFonts w:ascii="Symbol" w:eastAsia="Symbol" w:hAnsi="Symbol" w:cs="Symbol" w:hint="default"/>
        <w:w w:val="100"/>
        <w:sz w:val="24"/>
        <w:szCs w:val="24"/>
      </w:rPr>
    </w:lvl>
    <w:lvl w:ilvl="2" w:tplc="607E4C2E">
      <w:numFmt w:val="bullet"/>
      <w:lvlText w:val="•"/>
      <w:lvlJc w:val="left"/>
      <w:pPr>
        <w:ind w:left="1776" w:hanging="567"/>
      </w:pPr>
      <w:rPr>
        <w:rFonts w:hint="default"/>
      </w:rPr>
    </w:lvl>
    <w:lvl w:ilvl="3" w:tplc="CF72DBF8">
      <w:numFmt w:val="bullet"/>
      <w:lvlText w:val="•"/>
      <w:lvlJc w:val="left"/>
      <w:pPr>
        <w:ind w:left="2752" w:hanging="567"/>
      </w:pPr>
      <w:rPr>
        <w:rFonts w:hint="default"/>
      </w:rPr>
    </w:lvl>
    <w:lvl w:ilvl="4" w:tplc="37DEAF0E">
      <w:numFmt w:val="bullet"/>
      <w:lvlText w:val="•"/>
      <w:lvlJc w:val="left"/>
      <w:pPr>
        <w:ind w:left="3728" w:hanging="567"/>
      </w:pPr>
      <w:rPr>
        <w:rFonts w:hint="default"/>
      </w:rPr>
    </w:lvl>
    <w:lvl w:ilvl="5" w:tplc="4AF29BBC">
      <w:numFmt w:val="bullet"/>
      <w:lvlText w:val="•"/>
      <w:lvlJc w:val="left"/>
      <w:pPr>
        <w:ind w:left="4705" w:hanging="567"/>
      </w:pPr>
      <w:rPr>
        <w:rFonts w:hint="default"/>
      </w:rPr>
    </w:lvl>
    <w:lvl w:ilvl="6" w:tplc="E5CEC996">
      <w:numFmt w:val="bullet"/>
      <w:lvlText w:val="•"/>
      <w:lvlJc w:val="left"/>
      <w:pPr>
        <w:ind w:left="5681" w:hanging="567"/>
      </w:pPr>
      <w:rPr>
        <w:rFonts w:hint="default"/>
      </w:rPr>
    </w:lvl>
    <w:lvl w:ilvl="7" w:tplc="F2F09C78">
      <w:numFmt w:val="bullet"/>
      <w:lvlText w:val="•"/>
      <w:lvlJc w:val="left"/>
      <w:pPr>
        <w:ind w:left="6657" w:hanging="567"/>
      </w:pPr>
      <w:rPr>
        <w:rFonts w:hint="default"/>
      </w:rPr>
    </w:lvl>
    <w:lvl w:ilvl="8" w:tplc="1F08D082">
      <w:numFmt w:val="bullet"/>
      <w:lvlText w:val="•"/>
      <w:lvlJc w:val="left"/>
      <w:pPr>
        <w:ind w:left="7633" w:hanging="567"/>
      </w:pPr>
      <w:rPr>
        <w:rFonts w:hint="default"/>
      </w:rPr>
    </w:lvl>
  </w:abstractNum>
  <w:abstractNum w:abstractNumId="22" w15:restartNumberingAfterBreak="0">
    <w:nsid w:val="431427B0"/>
    <w:multiLevelType w:val="hybridMultilevel"/>
    <w:tmpl w:val="9BA8F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8D1168"/>
    <w:multiLevelType w:val="hybridMultilevel"/>
    <w:tmpl w:val="F9306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F71C4"/>
    <w:multiLevelType w:val="multilevel"/>
    <w:tmpl w:val="8E8C0FDC"/>
    <w:numStyleLink w:val="NL1"/>
  </w:abstractNum>
  <w:abstractNum w:abstractNumId="25" w15:restartNumberingAfterBreak="0">
    <w:nsid w:val="57D30864"/>
    <w:multiLevelType w:val="hybridMultilevel"/>
    <w:tmpl w:val="1232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A42FFC"/>
    <w:multiLevelType w:val="hybridMultilevel"/>
    <w:tmpl w:val="88FC8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A10815"/>
    <w:multiLevelType w:val="hybridMultilevel"/>
    <w:tmpl w:val="7B54C7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0D3E18"/>
    <w:multiLevelType w:val="hybridMultilevel"/>
    <w:tmpl w:val="FD6A4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6F0CD2"/>
    <w:multiLevelType w:val="hybridMultilevel"/>
    <w:tmpl w:val="3D1A629A"/>
    <w:lvl w:ilvl="0" w:tplc="7E0E4FAA">
      <w:numFmt w:val="bullet"/>
      <w:lvlText w:val=""/>
      <w:lvlJc w:val="left"/>
      <w:pPr>
        <w:ind w:left="685" w:hanging="567"/>
      </w:pPr>
      <w:rPr>
        <w:rFonts w:ascii="Symbol" w:eastAsia="Symbol" w:hAnsi="Symbol" w:cs="Symbol" w:hint="default"/>
        <w:w w:val="100"/>
        <w:sz w:val="24"/>
        <w:szCs w:val="24"/>
      </w:rPr>
    </w:lvl>
    <w:lvl w:ilvl="1" w:tplc="A42827AA">
      <w:numFmt w:val="bullet"/>
      <w:lvlText w:val="•"/>
      <w:lvlJc w:val="left"/>
      <w:pPr>
        <w:ind w:left="1582" w:hanging="567"/>
      </w:pPr>
      <w:rPr>
        <w:rFonts w:hint="default"/>
      </w:rPr>
    </w:lvl>
    <w:lvl w:ilvl="2" w:tplc="12F47E4E">
      <w:numFmt w:val="bullet"/>
      <w:lvlText w:val="•"/>
      <w:lvlJc w:val="left"/>
      <w:pPr>
        <w:ind w:left="2485" w:hanging="567"/>
      </w:pPr>
      <w:rPr>
        <w:rFonts w:hint="default"/>
      </w:rPr>
    </w:lvl>
    <w:lvl w:ilvl="3" w:tplc="EB12A3A2">
      <w:numFmt w:val="bullet"/>
      <w:lvlText w:val="•"/>
      <w:lvlJc w:val="left"/>
      <w:pPr>
        <w:ind w:left="3387" w:hanging="567"/>
      </w:pPr>
      <w:rPr>
        <w:rFonts w:hint="default"/>
      </w:rPr>
    </w:lvl>
    <w:lvl w:ilvl="4" w:tplc="F63AA72A">
      <w:numFmt w:val="bullet"/>
      <w:lvlText w:val="•"/>
      <w:lvlJc w:val="left"/>
      <w:pPr>
        <w:ind w:left="4290" w:hanging="567"/>
      </w:pPr>
      <w:rPr>
        <w:rFonts w:hint="default"/>
      </w:rPr>
    </w:lvl>
    <w:lvl w:ilvl="5" w:tplc="7C28698E">
      <w:numFmt w:val="bullet"/>
      <w:lvlText w:val="•"/>
      <w:lvlJc w:val="left"/>
      <w:pPr>
        <w:ind w:left="5193" w:hanging="567"/>
      </w:pPr>
      <w:rPr>
        <w:rFonts w:hint="default"/>
      </w:rPr>
    </w:lvl>
    <w:lvl w:ilvl="6" w:tplc="0C427DB6">
      <w:numFmt w:val="bullet"/>
      <w:lvlText w:val="•"/>
      <w:lvlJc w:val="left"/>
      <w:pPr>
        <w:ind w:left="6095" w:hanging="567"/>
      </w:pPr>
      <w:rPr>
        <w:rFonts w:hint="default"/>
      </w:rPr>
    </w:lvl>
    <w:lvl w:ilvl="7" w:tplc="23DAADE2">
      <w:numFmt w:val="bullet"/>
      <w:lvlText w:val="•"/>
      <w:lvlJc w:val="left"/>
      <w:pPr>
        <w:ind w:left="6998" w:hanging="567"/>
      </w:pPr>
      <w:rPr>
        <w:rFonts w:hint="default"/>
      </w:rPr>
    </w:lvl>
    <w:lvl w:ilvl="8" w:tplc="52AE3BF8">
      <w:numFmt w:val="bullet"/>
      <w:lvlText w:val="•"/>
      <w:lvlJc w:val="left"/>
      <w:pPr>
        <w:ind w:left="7901" w:hanging="567"/>
      </w:pPr>
      <w:rPr>
        <w:rFonts w:hint="default"/>
      </w:rPr>
    </w:lvl>
  </w:abstractNum>
  <w:abstractNum w:abstractNumId="30" w15:restartNumberingAfterBreak="0">
    <w:nsid w:val="65F815F7"/>
    <w:multiLevelType w:val="hybridMultilevel"/>
    <w:tmpl w:val="C34A7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4C6666"/>
    <w:multiLevelType w:val="hybridMultilevel"/>
    <w:tmpl w:val="42004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777B1"/>
    <w:multiLevelType w:val="hybridMultilevel"/>
    <w:tmpl w:val="FF8EA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864723"/>
    <w:multiLevelType w:val="multilevel"/>
    <w:tmpl w:val="B3F4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4F5B8F"/>
    <w:multiLevelType w:val="hybridMultilevel"/>
    <w:tmpl w:val="77A6A6D8"/>
    <w:lvl w:ilvl="0" w:tplc="2A0C90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46F61"/>
    <w:multiLevelType w:val="hybridMultilevel"/>
    <w:tmpl w:val="0A442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2B7072"/>
    <w:multiLevelType w:val="hybridMultilevel"/>
    <w:tmpl w:val="4228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187291">
    <w:abstractNumId w:val="15"/>
  </w:num>
  <w:num w:numId="2" w16cid:durableId="1152601649">
    <w:abstractNumId w:val="1"/>
  </w:num>
  <w:num w:numId="3" w16cid:durableId="1173565501">
    <w:abstractNumId w:val="2"/>
  </w:num>
  <w:num w:numId="4" w16cid:durableId="727343712">
    <w:abstractNumId w:val="3"/>
  </w:num>
  <w:num w:numId="5" w16cid:durableId="1289973965">
    <w:abstractNumId w:val="4"/>
  </w:num>
  <w:num w:numId="6" w16cid:durableId="11809144">
    <w:abstractNumId w:val="9"/>
  </w:num>
  <w:num w:numId="7" w16cid:durableId="1875192660">
    <w:abstractNumId w:val="5"/>
  </w:num>
  <w:num w:numId="8" w16cid:durableId="1126971946">
    <w:abstractNumId w:val="6"/>
  </w:num>
  <w:num w:numId="9" w16cid:durableId="67583626">
    <w:abstractNumId w:val="7"/>
  </w:num>
  <w:num w:numId="10" w16cid:durableId="1666782278">
    <w:abstractNumId w:val="8"/>
  </w:num>
  <w:num w:numId="11" w16cid:durableId="836119622">
    <w:abstractNumId w:val="10"/>
  </w:num>
  <w:num w:numId="12" w16cid:durableId="111437832">
    <w:abstractNumId w:val="31"/>
  </w:num>
  <w:num w:numId="13" w16cid:durableId="1028869407">
    <w:abstractNumId w:val="34"/>
  </w:num>
  <w:num w:numId="14" w16cid:durableId="591621131">
    <w:abstractNumId w:val="18"/>
  </w:num>
  <w:num w:numId="15" w16cid:durableId="365057303">
    <w:abstractNumId w:val="19"/>
  </w:num>
  <w:num w:numId="16" w16cid:durableId="1403142048">
    <w:abstractNumId w:val="24"/>
  </w:num>
  <w:num w:numId="17" w16cid:durableId="19655800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5710337">
    <w:abstractNumId w:val="26"/>
  </w:num>
  <w:num w:numId="19" w16cid:durableId="1028601837">
    <w:abstractNumId w:val="30"/>
  </w:num>
  <w:num w:numId="20" w16cid:durableId="2055348350">
    <w:abstractNumId w:val="20"/>
  </w:num>
  <w:num w:numId="21" w16cid:durableId="1990397476">
    <w:abstractNumId w:val="28"/>
  </w:num>
  <w:num w:numId="22" w16cid:durableId="709109729">
    <w:abstractNumId w:val="36"/>
  </w:num>
  <w:num w:numId="23" w16cid:durableId="1664703399">
    <w:abstractNumId w:val="25"/>
  </w:num>
  <w:num w:numId="24" w16cid:durableId="1368330995">
    <w:abstractNumId w:val="11"/>
  </w:num>
  <w:num w:numId="25" w16cid:durableId="1862932652">
    <w:abstractNumId w:val="16"/>
  </w:num>
  <w:num w:numId="26" w16cid:durableId="1110006658">
    <w:abstractNumId w:val="21"/>
  </w:num>
  <w:num w:numId="27" w16cid:durableId="1686204058">
    <w:abstractNumId w:val="29"/>
  </w:num>
  <w:num w:numId="28" w16cid:durableId="1168904509">
    <w:abstractNumId w:val="0"/>
  </w:num>
  <w:num w:numId="29" w16cid:durableId="1195534793">
    <w:abstractNumId w:val="23"/>
  </w:num>
  <w:num w:numId="30" w16cid:durableId="1955748607">
    <w:abstractNumId w:val="32"/>
  </w:num>
  <w:num w:numId="31" w16cid:durableId="677195750">
    <w:abstractNumId w:val="27"/>
  </w:num>
  <w:num w:numId="32" w16cid:durableId="83117292">
    <w:abstractNumId w:val="17"/>
  </w:num>
  <w:num w:numId="33" w16cid:durableId="595096487">
    <w:abstractNumId w:val="35"/>
  </w:num>
  <w:num w:numId="34" w16cid:durableId="2008433771">
    <w:abstractNumId w:val="12"/>
  </w:num>
  <w:num w:numId="35" w16cid:durableId="1899778273">
    <w:abstractNumId w:val="13"/>
  </w:num>
  <w:num w:numId="36" w16cid:durableId="228149768">
    <w:abstractNumId w:val="33"/>
  </w:num>
  <w:num w:numId="37" w16cid:durableId="1779595801">
    <w:abstractNumId w:val="14"/>
  </w:num>
  <w:num w:numId="38" w16cid:durableId="8847572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2F"/>
    <w:rsid w:val="000068DB"/>
    <w:rsid w:val="000158A7"/>
    <w:rsid w:val="00022008"/>
    <w:rsid w:val="0002655E"/>
    <w:rsid w:val="00031514"/>
    <w:rsid w:val="00033AA3"/>
    <w:rsid w:val="00043464"/>
    <w:rsid w:val="000465A3"/>
    <w:rsid w:val="000513B9"/>
    <w:rsid w:val="00064D21"/>
    <w:rsid w:val="00090F2A"/>
    <w:rsid w:val="000B3AC2"/>
    <w:rsid w:val="000B75FC"/>
    <w:rsid w:val="000C082A"/>
    <w:rsid w:val="000C3DA0"/>
    <w:rsid w:val="000D02B5"/>
    <w:rsid w:val="000D1008"/>
    <w:rsid w:val="000D1AB9"/>
    <w:rsid w:val="000D24FD"/>
    <w:rsid w:val="000D73E4"/>
    <w:rsid w:val="000E0FFC"/>
    <w:rsid w:val="000E31CA"/>
    <w:rsid w:val="000E5162"/>
    <w:rsid w:val="000F241C"/>
    <w:rsid w:val="00111301"/>
    <w:rsid w:val="00120043"/>
    <w:rsid w:val="00152473"/>
    <w:rsid w:val="001554D6"/>
    <w:rsid w:val="00161D2E"/>
    <w:rsid w:val="00166730"/>
    <w:rsid w:val="00167119"/>
    <w:rsid w:val="00177744"/>
    <w:rsid w:val="00177CD7"/>
    <w:rsid w:val="001840A4"/>
    <w:rsid w:val="0019724B"/>
    <w:rsid w:val="001B3DB5"/>
    <w:rsid w:val="001B46F1"/>
    <w:rsid w:val="001B6970"/>
    <w:rsid w:val="001C50C1"/>
    <w:rsid w:val="001D302E"/>
    <w:rsid w:val="001D6DAD"/>
    <w:rsid w:val="001D6F4F"/>
    <w:rsid w:val="001E2C3D"/>
    <w:rsid w:val="001F25E5"/>
    <w:rsid w:val="00247CAF"/>
    <w:rsid w:val="00253A45"/>
    <w:rsid w:val="002629D9"/>
    <w:rsid w:val="00275323"/>
    <w:rsid w:val="00275F14"/>
    <w:rsid w:val="002806C2"/>
    <w:rsid w:val="00284040"/>
    <w:rsid w:val="002B144A"/>
    <w:rsid w:val="002C1283"/>
    <w:rsid w:val="002D72E4"/>
    <w:rsid w:val="002F5AAE"/>
    <w:rsid w:val="003073E0"/>
    <w:rsid w:val="00312429"/>
    <w:rsid w:val="00325022"/>
    <w:rsid w:val="00326F12"/>
    <w:rsid w:val="003270AC"/>
    <w:rsid w:val="003317E1"/>
    <w:rsid w:val="00341FBA"/>
    <w:rsid w:val="00371445"/>
    <w:rsid w:val="00374075"/>
    <w:rsid w:val="00374BED"/>
    <w:rsid w:val="003962EF"/>
    <w:rsid w:val="003A23BE"/>
    <w:rsid w:val="003C69D5"/>
    <w:rsid w:val="003C72BB"/>
    <w:rsid w:val="003D7734"/>
    <w:rsid w:val="003E2377"/>
    <w:rsid w:val="003E4FA2"/>
    <w:rsid w:val="003F1AD0"/>
    <w:rsid w:val="0041154D"/>
    <w:rsid w:val="004241B0"/>
    <w:rsid w:val="00430AC4"/>
    <w:rsid w:val="00431588"/>
    <w:rsid w:val="0043230C"/>
    <w:rsid w:val="00436F63"/>
    <w:rsid w:val="004374AA"/>
    <w:rsid w:val="004411AC"/>
    <w:rsid w:val="00445839"/>
    <w:rsid w:val="00451C75"/>
    <w:rsid w:val="00451FC5"/>
    <w:rsid w:val="00466AD6"/>
    <w:rsid w:val="0048114E"/>
    <w:rsid w:val="004841EC"/>
    <w:rsid w:val="00493E8A"/>
    <w:rsid w:val="004A14EE"/>
    <w:rsid w:val="004A5CE4"/>
    <w:rsid w:val="004C055B"/>
    <w:rsid w:val="004C69B7"/>
    <w:rsid w:val="004F4491"/>
    <w:rsid w:val="00524F30"/>
    <w:rsid w:val="00526FBC"/>
    <w:rsid w:val="00533C2F"/>
    <w:rsid w:val="0053694F"/>
    <w:rsid w:val="00557B73"/>
    <w:rsid w:val="00562084"/>
    <w:rsid w:val="0058698F"/>
    <w:rsid w:val="005A4337"/>
    <w:rsid w:val="005A52A6"/>
    <w:rsid w:val="005B0392"/>
    <w:rsid w:val="005F02A4"/>
    <w:rsid w:val="005F1C64"/>
    <w:rsid w:val="005F6C8C"/>
    <w:rsid w:val="006043D9"/>
    <w:rsid w:val="00606CC8"/>
    <w:rsid w:val="006204F8"/>
    <w:rsid w:val="00620B2E"/>
    <w:rsid w:val="00646082"/>
    <w:rsid w:val="006620BD"/>
    <w:rsid w:val="006674E8"/>
    <w:rsid w:val="00671C5D"/>
    <w:rsid w:val="00685C17"/>
    <w:rsid w:val="006940ED"/>
    <w:rsid w:val="006A0812"/>
    <w:rsid w:val="006A1A2A"/>
    <w:rsid w:val="006C3245"/>
    <w:rsid w:val="006D31AA"/>
    <w:rsid w:val="006E0E31"/>
    <w:rsid w:val="00720B7D"/>
    <w:rsid w:val="00724132"/>
    <w:rsid w:val="0074573B"/>
    <w:rsid w:val="00793E83"/>
    <w:rsid w:val="00795154"/>
    <w:rsid w:val="007A158D"/>
    <w:rsid w:val="007A5511"/>
    <w:rsid w:val="007B6A74"/>
    <w:rsid w:val="007B6C0B"/>
    <w:rsid w:val="007C6E49"/>
    <w:rsid w:val="007C7A14"/>
    <w:rsid w:val="007E4B28"/>
    <w:rsid w:val="007F1A3B"/>
    <w:rsid w:val="007F4833"/>
    <w:rsid w:val="008008AF"/>
    <w:rsid w:val="00812BD4"/>
    <w:rsid w:val="00830983"/>
    <w:rsid w:val="0084091E"/>
    <w:rsid w:val="008546EA"/>
    <w:rsid w:val="00854B16"/>
    <w:rsid w:val="00865BE1"/>
    <w:rsid w:val="008747F8"/>
    <w:rsid w:val="00890A16"/>
    <w:rsid w:val="00890AD9"/>
    <w:rsid w:val="008A0C04"/>
    <w:rsid w:val="008D0D52"/>
    <w:rsid w:val="008D2FB8"/>
    <w:rsid w:val="008D719D"/>
    <w:rsid w:val="008E4732"/>
    <w:rsid w:val="008F4C51"/>
    <w:rsid w:val="008F52D1"/>
    <w:rsid w:val="008F6856"/>
    <w:rsid w:val="00912EDC"/>
    <w:rsid w:val="00912F44"/>
    <w:rsid w:val="00915799"/>
    <w:rsid w:val="00922257"/>
    <w:rsid w:val="009259E8"/>
    <w:rsid w:val="00936443"/>
    <w:rsid w:val="00945D7E"/>
    <w:rsid w:val="00960081"/>
    <w:rsid w:val="00965BAE"/>
    <w:rsid w:val="00981DD7"/>
    <w:rsid w:val="00990F46"/>
    <w:rsid w:val="009A58E3"/>
    <w:rsid w:val="009B27BE"/>
    <w:rsid w:val="009D1E6D"/>
    <w:rsid w:val="009E575A"/>
    <w:rsid w:val="009F4FA7"/>
    <w:rsid w:val="00A020CD"/>
    <w:rsid w:val="00A0395C"/>
    <w:rsid w:val="00A05FF5"/>
    <w:rsid w:val="00A073C4"/>
    <w:rsid w:val="00A16F91"/>
    <w:rsid w:val="00A27DDD"/>
    <w:rsid w:val="00A425DF"/>
    <w:rsid w:val="00A4631D"/>
    <w:rsid w:val="00A77339"/>
    <w:rsid w:val="00A93A06"/>
    <w:rsid w:val="00AA3525"/>
    <w:rsid w:val="00AA6DBD"/>
    <w:rsid w:val="00AB2929"/>
    <w:rsid w:val="00AB66FF"/>
    <w:rsid w:val="00AC3AF7"/>
    <w:rsid w:val="00AD029D"/>
    <w:rsid w:val="00AD6DC1"/>
    <w:rsid w:val="00AE148F"/>
    <w:rsid w:val="00AE2E51"/>
    <w:rsid w:val="00AE3670"/>
    <w:rsid w:val="00AF5EFB"/>
    <w:rsid w:val="00B11B86"/>
    <w:rsid w:val="00B231B2"/>
    <w:rsid w:val="00B2464A"/>
    <w:rsid w:val="00B43876"/>
    <w:rsid w:val="00B4730A"/>
    <w:rsid w:val="00B6144E"/>
    <w:rsid w:val="00B70190"/>
    <w:rsid w:val="00B7077B"/>
    <w:rsid w:val="00B713EC"/>
    <w:rsid w:val="00B809BE"/>
    <w:rsid w:val="00B81794"/>
    <w:rsid w:val="00B92986"/>
    <w:rsid w:val="00B930ED"/>
    <w:rsid w:val="00BA4D80"/>
    <w:rsid w:val="00BB42B3"/>
    <w:rsid w:val="00BE2775"/>
    <w:rsid w:val="00BF5739"/>
    <w:rsid w:val="00BF778F"/>
    <w:rsid w:val="00C049E3"/>
    <w:rsid w:val="00C1263F"/>
    <w:rsid w:val="00C376E4"/>
    <w:rsid w:val="00C55F9B"/>
    <w:rsid w:val="00C634D7"/>
    <w:rsid w:val="00C64AB6"/>
    <w:rsid w:val="00C6617C"/>
    <w:rsid w:val="00C66AF0"/>
    <w:rsid w:val="00C726D0"/>
    <w:rsid w:val="00C7682A"/>
    <w:rsid w:val="00C861CD"/>
    <w:rsid w:val="00C86DEA"/>
    <w:rsid w:val="00CD13C8"/>
    <w:rsid w:val="00CE2BFE"/>
    <w:rsid w:val="00D34775"/>
    <w:rsid w:val="00D41EA2"/>
    <w:rsid w:val="00D46179"/>
    <w:rsid w:val="00D46C41"/>
    <w:rsid w:val="00D46F09"/>
    <w:rsid w:val="00D46F17"/>
    <w:rsid w:val="00D5279C"/>
    <w:rsid w:val="00D57A72"/>
    <w:rsid w:val="00D6128E"/>
    <w:rsid w:val="00D67E2E"/>
    <w:rsid w:val="00D737E0"/>
    <w:rsid w:val="00D9014F"/>
    <w:rsid w:val="00D91EFE"/>
    <w:rsid w:val="00D969AA"/>
    <w:rsid w:val="00DA5474"/>
    <w:rsid w:val="00DA5A1E"/>
    <w:rsid w:val="00DC07DE"/>
    <w:rsid w:val="00DC1548"/>
    <w:rsid w:val="00E35225"/>
    <w:rsid w:val="00E40C70"/>
    <w:rsid w:val="00E42BFE"/>
    <w:rsid w:val="00E45051"/>
    <w:rsid w:val="00E6769F"/>
    <w:rsid w:val="00E71834"/>
    <w:rsid w:val="00E74679"/>
    <w:rsid w:val="00E75C50"/>
    <w:rsid w:val="00E86405"/>
    <w:rsid w:val="00E921A8"/>
    <w:rsid w:val="00E94617"/>
    <w:rsid w:val="00EA58C4"/>
    <w:rsid w:val="00EB2704"/>
    <w:rsid w:val="00EE2011"/>
    <w:rsid w:val="00F05CEF"/>
    <w:rsid w:val="00F1321C"/>
    <w:rsid w:val="00F200EC"/>
    <w:rsid w:val="00F374BE"/>
    <w:rsid w:val="00F420E2"/>
    <w:rsid w:val="00F457BB"/>
    <w:rsid w:val="00F6432B"/>
    <w:rsid w:val="00F73852"/>
    <w:rsid w:val="00F9596A"/>
    <w:rsid w:val="00FB22FA"/>
    <w:rsid w:val="00FD25C5"/>
    <w:rsid w:val="00FD5FE4"/>
    <w:rsid w:val="00FE1AB2"/>
    <w:rsid w:val="024B4130"/>
    <w:rsid w:val="028E675A"/>
    <w:rsid w:val="04AA2B6B"/>
    <w:rsid w:val="05C6081C"/>
    <w:rsid w:val="068C4B76"/>
    <w:rsid w:val="0B4323FF"/>
    <w:rsid w:val="0BE44627"/>
    <w:rsid w:val="0E063B28"/>
    <w:rsid w:val="124F97E6"/>
    <w:rsid w:val="14370992"/>
    <w:rsid w:val="1441F8D7"/>
    <w:rsid w:val="15B1578A"/>
    <w:rsid w:val="1840A9A8"/>
    <w:rsid w:val="191BBA2E"/>
    <w:rsid w:val="197AE8F1"/>
    <w:rsid w:val="1B0D3EEA"/>
    <w:rsid w:val="1BE89B43"/>
    <w:rsid w:val="1C535AF0"/>
    <w:rsid w:val="1F39F839"/>
    <w:rsid w:val="23EA71B8"/>
    <w:rsid w:val="25BBF98E"/>
    <w:rsid w:val="27679FEC"/>
    <w:rsid w:val="28174D61"/>
    <w:rsid w:val="2971BE3B"/>
    <w:rsid w:val="2B27B21D"/>
    <w:rsid w:val="2DE50381"/>
    <w:rsid w:val="303C3E2D"/>
    <w:rsid w:val="32A0F4E7"/>
    <w:rsid w:val="32FF7824"/>
    <w:rsid w:val="35C08C77"/>
    <w:rsid w:val="380EE339"/>
    <w:rsid w:val="3B297526"/>
    <w:rsid w:val="3C887A71"/>
    <w:rsid w:val="3E0A380E"/>
    <w:rsid w:val="3E46D233"/>
    <w:rsid w:val="3EB065D9"/>
    <w:rsid w:val="3F0736B3"/>
    <w:rsid w:val="3F138EC6"/>
    <w:rsid w:val="41AB18DB"/>
    <w:rsid w:val="421E9AEB"/>
    <w:rsid w:val="4435FDCF"/>
    <w:rsid w:val="464E9D4D"/>
    <w:rsid w:val="475DA8B6"/>
    <w:rsid w:val="47D2DA0C"/>
    <w:rsid w:val="49040C0A"/>
    <w:rsid w:val="4AB9D92F"/>
    <w:rsid w:val="4E35EEFD"/>
    <w:rsid w:val="4FAB7640"/>
    <w:rsid w:val="51377F2A"/>
    <w:rsid w:val="51E63894"/>
    <w:rsid w:val="538208F5"/>
    <w:rsid w:val="547EE763"/>
    <w:rsid w:val="54CAB747"/>
    <w:rsid w:val="551DD956"/>
    <w:rsid w:val="59FB7508"/>
    <w:rsid w:val="5A02537A"/>
    <w:rsid w:val="5A0C9106"/>
    <w:rsid w:val="5A19F58A"/>
    <w:rsid w:val="5A1E3084"/>
    <w:rsid w:val="5B288C1E"/>
    <w:rsid w:val="5B79D768"/>
    <w:rsid w:val="5C654B6B"/>
    <w:rsid w:val="5CE7416C"/>
    <w:rsid w:val="5D15A7C9"/>
    <w:rsid w:val="5D39F43C"/>
    <w:rsid w:val="5D863A79"/>
    <w:rsid w:val="6183F524"/>
    <w:rsid w:val="63C9D3B0"/>
    <w:rsid w:val="646A8C0B"/>
    <w:rsid w:val="686AB362"/>
    <w:rsid w:val="695ABBF8"/>
    <w:rsid w:val="6A61865D"/>
    <w:rsid w:val="6B694F8A"/>
    <w:rsid w:val="6D234076"/>
    <w:rsid w:val="6E7E884B"/>
    <w:rsid w:val="6EDDE88B"/>
    <w:rsid w:val="70AB8358"/>
    <w:rsid w:val="70AF8418"/>
    <w:rsid w:val="7162535E"/>
    <w:rsid w:val="72F48F8A"/>
    <w:rsid w:val="756EDED9"/>
    <w:rsid w:val="7CD7FD85"/>
    <w:rsid w:val="7D1F88F8"/>
    <w:rsid w:val="7DACE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930DB"/>
  <w14:defaultImageDpi w14:val="32767"/>
  <w15:chartTrackingRefBased/>
  <w15:docId w15:val="{11C3647C-1A66-4BD9-BE46-D3FEEC01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6AF0"/>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326F12"/>
    <w:pPr>
      <w:keepNext/>
      <w:keepLines/>
      <w:spacing w:before="28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F1321C"/>
    <w:pPr>
      <w:keepNext/>
      <w:keepLines/>
      <w:spacing w:before="280" w:line="240" w:lineRule="auto"/>
      <w:outlineLvl w:val="3"/>
    </w:pPr>
    <w:rPr>
      <w:rFonts w:asciiTheme="majorHAnsi" w:eastAsiaTheme="majorEastAsia" w:hAnsiTheme="majorHAnsi" w:cs="Times New Roman (Headings CS)"/>
      <w:b/>
      <w:iCs/>
      <w:caps/>
      <w:color w:val="000000" w:themeColor="text1"/>
      <w:sz w:val="28"/>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0B2E"/>
    <w:pPr>
      <w:spacing w:after="0" w:line="240" w:lineRule="auto"/>
      <w:contextualSpacing/>
    </w:pPr>
    <w:rPr>
      <w:rFonts w:asciiTheme="majorHAnsi" w:eastAsiaTheme="majorEastAsia" w:hAnsiTheme="majorHAnsi" w:cstheme="majorBidi"/>
      <w:b/>
      <w:spacing w:val="-10"/>
      <w:kern w:val="28"/>
      <w:sz w:val="76"/>
      <w:szCs w:val="76"/>
    </w:rPr>
  </w:style>
  <w:style w:type="character" w:customStyle="1" w:styleId="TitleChar">
    <w:name w:val="Title Char"/>
    <w:basedOn w:val="DefaultParagraphFont"/>
    <w:link w:val="Title"/>
    <w:uiPriority w:val="10"/>
    <w:rsid w:val="00620B2E"/>
    <w:rPr>
      <w:rFonts w:asciiTheme="majorHAnsi" w:eastAsiaTheme="majorEastAsia" w:hAnsiTheme="majorHAnsi" w:cstheme="majorBidi"/>
      <w:b/>
      <w:spacing w:val="-10"/>
      <w:kern w:val="28"/>
      <w:sz w:val="76"/>
      <w:szCs w:val="7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DP1"/>
    <w:link w:val="ListParagraphChar"/>
    <w:uiPriority w:val="1"/>
    <w:qFormat/>
    <w:rsid w:val="00795154"/>
    <w:p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326F12"/>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F1321C"/>
    <w:rPr>
      <w:rFonts w:asciiTheme="majorHAnsi" w:eastAsiaTheme="majorEastAsia" w:hAnsiTheme="majorHAnsi" w:cs="Times New Roman (Headings CS)"/>
      <w:b/>
      <w:iCs/>
      <w:caps/>
      <w:color w:val="000000" w:themeColor="text1"/>
      <w:sz w:val="28"/>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41FBA"/>
    <w:rPr>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DP1">
    <w:name w:val="DP 1"/>
    <w:basedOn w:val="Normal"/>
    <w:rsid w:val="00795154"/>
    <w:pPr>
      <w:numPr>
        <w:numId w:val="14"/>
      </w:numPr>
    </w:pPr>
  </w:style>
  <w:style w:type="numbering" w:customStyle="1" w:styleId="NL1">
    <w:name w:val="NL 1"/>
    <w:uiPriority w:val="99"/>
    <w:rsid w:val="00912F44"/>
    <w:pPr>
      <w:numPr>
        <w:numId w:val="15"/>
      </w:numPr>
    </w:pPr>
  </w:style>
  <w:style w:type="paragraph" w:customStyle="1" w:styleId="ListNumbered">
    <w:name w:val="List Numbered"/>
    <w:basedOn w:val="ListParagraph"/>
    <w:link w:val="ListNumberedChar"/>
    <w:qFormat/>
    <w:rsid w:val="00912F44"/>
    <w:pPr>
      <w:numPr>
        <w:numId w:val="16"/>
      </w:numPr>
    </w:pPr>
  </w:style>
  <w:style w:type="character" w:customStyle="1" w:styleId="ListNumberedChar">
    <w:name w:val="List Numbered Char"/>
    <w:basedOn w:val="DefaultParagraphFont"/>
    <w:link w:val="ListNumbered"/>
    <w:rsid w:val="00912F44"/>
    <w:rPr>
      <w:rFonts w:cs="Times New Roman (Body CS)"/>
      <w:sz w:val="22"/>
      <w:lang w:val="en-AU"/>
    </w:rPr>
  </w:style>
  <w:style w:type="table" w:customStyle="1" w:styleId="Style1">
    <w:name w:val="Style1"/>
    <w:basedOn w:val="TableNormal"/>
    <w:uiPriority w:val="99"/>
    <w:rsid w:val="00D46F09"/>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wordWrap/>
        <w:spacing w:beforeLines="0" w:before="40" w:beforeAutospacing="0" w:afterLines="0" w:after="40" w:afterAutospacing="0" w:line="300" w:lineRule="atLeast"/>
        <w:ind w:leftChars="0" w:left="0" w:rightChars="0" w:right="0" w:firstLineChars="0" w:firstLine="0"/>
        <w:jc w:val="left"/>
      </w:pPr>
      <w:rPr>
        <w:rFonts w:ascii="Gill Sans MT" w:hAnsi="Gill Sans MT"/>
        <w:b/>
        <w:color w:val="FFFFFF" w:themeColor="background1"/>
        <w:sz w:val="22"/>
      </w:rPr>
      <w:tblPr/>
      <w:tcPr>
        <w:shd w:val="clear" w:color="auto" w:fill="007479" w:themeFill="accent1"/>
      </w:tcPr>
    </w:tblStylePr>
  </w:style>
  <w:style w:type="paragraph" w:customStyle="1" w:styleId="TableText">
    <w:name w:val="Table Text"/>
    <w:qFormat/>
    <w:rsid w:val="00E921A8"/>
    <w:pPr>
      <w:spacing w:before="40" w:after="40" w:line="300" w:lineRule="atLeast"/>
    </w:pPr>
    <w:rPr>
      <w:rFonts w:cs="Times New Roman (Body CS)"/>
      <w:sz w:val="22"/>
      <w:lang w:val="en-AU"/>
    </w:rPr>
  </w:style>
  <w:style w:type="paragraph" w:customStyle="1" w:styleId="Contact">
    <w:name w:val="Contact"/>
    <w:link w:val="ContactChar"/>
    <w:semiHidden/>
    <w:rsid w:val="00AE148F"/>
    <w:pPr>
      <w:spacing w:before="40" w:after="40"/>
    </w:pPr>
    <w:rPr>
      <w:rFonts w:ascii="Gill Sans MT" w:eastAsia="Times New Roman" w:hAnsi="Gill Sans MT" w:cs="Times New Roman"/>
      <w:sz w:val="20"/>
      <w:lang w:val="en-AU"/>
    </w:rPr>
  </w:style>
  <w:style w:type="paragraph" w:customStyle="1" w:styleId="Contact1">
    <w:name w:val="Contact 1"/>
    <w:semiHidden/>
    <w:rsid w:val="00AE148F"/>
    <w:rPr>
      <w:rFonts w:ascii="Gill Sans MT" w:eastAsia="Times New Roman" w:hAnsi="Gill Sans MT" w:cs="Times New Roman"/>
      <w:sz w:val="20"/>
      <w:lang w:val="en-AU"/>
    </w:rPr>
  </w:style>
  <w:style w:type="character" w:customStyle="1" w:styleId="ContactChar">
    <w:name w:val="Contact Char"/>
    <w:basedOn w:val="DefaultParagraphFont"/>
    <w:link w:val="Contact"/>
    <w:semiHidden/>
    <w:locked/>
    <w:rsid w:val="00AE148F"/>
    <w:rPr>
      <w:rFonts w:ascii="Gill Sans MT" w:eastAsia="Times New Roman" w:hAnsi="Gill Sans MT" w:cs="Times New Roman"/>
      <w:sz w:val="20"/>
      <w:lang w:val="en-AU"/>
    </w:rPr>
  </w:style>
  <w:style w:type="table" w:styleId="TableGrid">
    <w:name w:val="Table Grid"/>
    <w:basedOn w:val="TableNormal"/>
    <w:rsid w:val="00AE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A93A06"/>
    <w:pPr>
      <w:tabs>
        <w:tab w:val="left" w:pos="567"/>
      </w:tabs>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A93A06"/>
    <w:rPr>
      <w:rFonts w:ascii="Courier New" w:eastAsia="Times New Roman" w:hAnsi="Courier New" w:cs="Courier New"/>
      <w:sz w:val="20"/>
      <w:szCs w:val="20"/>
      <w:lang w:val="en-AU"/>
    </w:rPr>
  </w:style>
  <w:style w:type="paragraph" w:customStyle="1" w:styleId="InformationBlock">
    <w:name w:val="Information Block"/>
    <w:link w:val="InformationBlockChar"/>
    <w:semiHidden/>
    <w:rsid w:val="007C7A14"/>
    <w:pPr>
      <w:spacing w:before="40" w:after="40"/>
    </w:pPr>
    <w:rPr>
      <w:rFonts w:ascii="Gill Sans MT" w:eastAsia="Times New Roman" w:hAnsi="Gill Sans MT" w:cs="Times New Roman"/>
      <w:b/>
      <w:sz w:val="22"/>
      <w:szCs w:val="22"/>
      <w:lang w:val="en-AU"/>
    </w:rPr>
  </w:style>
  <w:style w:type="character" w:customStyle="1" w:styleId="InformationBlockChar">
    <w:name w:val="Information Block Char"/>
    <w:link w:val="InformationBlock"/>
    <w:semiHidden/>
    <w:locked/>
    <w:rsid w:val="007C7A14"/>
    <w:rPr>
      <w:rFonts w:ascii="Gill Sans MT" w:eastAsia="Times New Roman" w:hAnsi="Gill Sans MT" w:cs="Times New Roman"/>
      <w:b/>
      <w:sz w:val="22"/>
      <w:szCs w:val="22"/>
      <w:lang w:val="en-AU"/>
    </w:rPr>
  </w:style>
  <w:style w:type="character" w:customStyle="1" w:styleId="ListParagraphChar">
    <w:name w:val="List Paragraph Char"/>
    <w:basedOn w:val="DefaultParagraphFont"/>
    <w:link w:val="ListParagraph"/>
    <w:uiPriority w:val="34"/>
    <w:rsid w:val="007C7A14"/>
    <w:rPr>
      <w:rFonts w:cs="Times New Roman (Body CS)"/>
      <w:sz w:val="22"/>
      <w:lang w:val="en-AU"/>
    </w:rPr>
  </w:style>
  <w:style w:type="paragraph" w:customStyle="1" w:styleId="Default">
    <w:name w:val="Default"/>
    <w:rsid w:val="00120043"/>
    <w:pPr>
      <w:autoSpaceDE w:val="0"/>
      <w:autoSpaceDN w:val="0"/>
      <w:adjustRightInd w:val="0"/>
    </w:pPr>
    <w:rPr>
      <w:rFonts w:ascii="Symbol" w:hAnsi="Symbol" w:cs="Symbol"/>
      <w:color w:val="000000"/>
      <w:lang w:val="en-AU"/>
    </w:rPr>
  </w:style>
  <w:style w:type="character" w:styleId="CommentReference">
    <w:name w:val="annotation reference"/>
    <w:basedOn w:val="DefaultParagraphFont"/>
    <w:uiPriority w:val="99"/>
    <w:semiHidden/>
    <w:unhideWhenUsed/>
    <w:rsid w:val="006674E8"/>
    <w:rPr>
      <w:sz w:val="16"/>
      <w:szCs w:val="16"/>
    </w:rPr>
  </w:style>
  <w:style w:type="paragraph" w:styleId="CommentText">
    <w:name w:val="annotation text"/>
    <w:basedOn w:val="Normal"/>
    <w:link w:val="CommentTextChar"/>
    <w:uiPriority w:val="99"/>
    <w:semiHidden/>
    <w:unhideWhenUsed/>
    <w:rsid w:val="006674E8"/>
    <w:pPr>
      <w:spacing w:line="240" w:lineRule="auto"/>
    </w:pPr>
    <w:rPr>
      <w:sz w:val="20"/>
      <w:szCs w:val="20"/>
    </w:rPr>
  </w:style>
  <w:style w:type="character" w:customStyle="1" w:styleId="CommentTextChar">
    <w:name w:val="Comment Text Char"/>
    <w:basedOn w:val="DefaultParagraphFont"/>
    <w:link w:val="CommentText"/>
    <w:uiPriority w:val="99"/>
    <w:semiHidden/>
    <w:rsid w:val="006674E8"/>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6674E8"/>
    <w:rPr>
      <w:b/>
      <w:bCs/>
    </w:rPr>
  </w:style>
  <w:style w:type="character" w:customStyle="1" w:styleId="CommentSubjectChar">
    <w:name w:val="Comment Subject Char"/>
    <w:basedOn w:val="CommentTextChar"/>
    <w:link w:val="CommentSubject"/>
    <w:uiPriority w:val="99"/>
    <w:semiHidden/>
    <w:rsid w:val="006674E8"/>
    <w:rPr>
      <w:rFonts w:cs="Times New Roman (Body CS)"/>
      <w:b/>
      <w:bCs/>
      <w:sz w:val="20"/>
      <w:szCs w:val="20"/>
      <w:lang w:val="en-AU"/>
    </w:rPr>
  </w:style>
  <w:style w:type="paragraph" w:styleId="Revision">
    <w:name w:val="Revision"/>
    <w:hidden/>
    <w:uiPriority w:val="99"/>
    <w:semiHidden/>
    <w:rsid w:val="004A5CE4"/>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4118">
      <w:bodyDiv w:val="1"/>
      <w:marLeft w:val="0"/>
      <w:marRight w:val="0"/>
      <w:marTop w:val="0"/>
      <w:marBottom w:val="0"/>
      <w:divBdr>
        <w:top w:val="none" w:sz="0" w:space="0" w:color="auto"/>
        <w:left w:val="none" w:sz="0" w:space="0" w:color="auto"/>
        <w:bottom w:val="none" w:sz="0" w:space="0" w:color="auto"/>
        <w:right w:val="none" w:sz="0" w:space="0" w:color="auto"/>
      </w:divBdr>
    </w:div>
    <w:div w:id="1685324916">
      <w:bodyDiv w:val="1"/>
      <w:marLeft w:val="0"/>
      <w:marRight w:val="0"/>
      <w:marTop w:val="0"/>
      <w:marBottom w:val="0"/>
      <w:divBdr>
        <w:top w:val="none" w:sz="0" w:space="0" w:color="auto"/>
        <w:left w:val="none" w:sz="0" w:space="0" w:color="auto"/>
        <w:bottom w:val="none" w:sz="0" w:space="0" w:color="auto"/>
        <w:right w:val="none" w:sz="0" w:space="0" w:color="auto"/>
      </w:divBdr>
    </w:div>
    <w:div w:id="17979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ddingham1\AppData\Local\Microsoft\Windows\INetCache\Content.Outlook\U1ADQUBJ\TEMPLATE%20Function%20Statement%20-%20August%202021%20(003).dotx" TargetMode="External"/></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139F92015A784595D6E30E3C1F5FDF" ma:contentTypeVersion="6" ma:contentTypeDescription="Create a new document." ma:contentTypeScope="" ma:versionID="b61e2ec20139cae0a79d1d1b05e52a91">
  <xsd:schema xmlns:xsd="http://www.w3.org/2001/XMLSchema" xmlns:xs="http://www.w3.org/2001/XMLSchema" xmlns:p="http://schemas.microsoft.com/office/2006/metadata/properties" xmlns:ns2="a6fc7611-ab13-400b-aa8a-9df542a053cb" xmlns:ns3="9683dfbc-e61a-4680-8961-d17ea2268000" targetNamespace="http://schemas.microsoft.com/office/2006/metadata/properties" ma:root="true" ma:fieldsID="6bd51c172bf89c6f96e8ebdc4006ace8" ns2:_="" ns3:_="">
    <xsd:import namespace="a6fc7611-ab13-400b-aa8a-9df542a053cb"/>
    <xsd:import namespace="9683dfbc-e61a-4680-8961-d17ea22680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c7611-ab13-400b-aa8a-9df542a05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3dfbc-e61a-4680-8961-d17ea22680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8A9DA-F4B1-4CA1-A75E-4B6ACB6B5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61253-4A72-4487-8860-12362F0A9238}">
  <ds:schemaRefs>
    <ds:schemaRef ds:uri="http://schemas.microsoft.com/sharepoint/v3/contenttype/forms"/>
  </ds:schemaRefs>
</ds:datastoreItem>
</file>

<file path=customXml/itemProps3.xml><?xml version="1.0" encoding="utf-8"?>
<ds:datastoreItem xmlns:ds="http://schemas.openxmlformats.org/officeDocument/2006/customXml" ds:itemID="{EC3F5AA3-BF52-4478-BF35-050172F4F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c7611-ab13-400b-aa8a-9df542a053cb"/>
    <ds:schemaRef ds:uri="9683dfbc-e61a-4680-8961-d17ea2268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Function Statement - August 2021 (003).dotx</Template>
  <TotalTime>1</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swaddingham1</dc:creator>
  <cp:keywords/>
  <dc:description/>
  <cp:lastModifiedBy>Mitchell, Liv</cp:lastModifiedBy>
  <cp:revision>2</cp:revision>
  <cp:lastPrinted>2021-09-15T00:31:00Z</cp:lastPrinted>
  <dcterms:created xsi:type="dcterms:W3CDTF">2023-05-17T06:02:00Z</dcterms:created>
  <dcterms:modified xsi:type="dcterms:W3CDTF">2023-05-17T06:02:00Z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0x01010056139F92015A784595D6E30E3C1F5FDF</vt:lpwstr>
  </property>
</Properties>
</file>