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E7FE" w14:textId="77777777" w:rsidR="006971AB" w:rsidRPr="005C4B2A" w:rsidRDefault="00402ABE" w:rsidP="00764890">
      <w:pPr>
        <w:pStyle w:val="Header"/>
        <w:rPr>
          <w:rFonts w:cs="Arial"/>
          <w:b/>
          <w:bCs/>
          <w:color w:val="365F91"/>
          <w:sz w:val="28"/>
          <w:szCs w:val="28"/>
          <w:u w:val="single"/>
        </w:rPr>
      </w:pPr>
      <w:r>
        <w:rPr>
          <w:rFonts w:cs="Arial"/>
          <w:b/>
          <w:bCs/>
          <w:color w:val="365F91"/>
          <w:sz w:val="28"/>
          <w:szCs w:val="28"/>
        </w:rPr>
        <w:t xml:space="preserve">Regulatory </w:t>
      </w:r>
      <w:r w:rsidR="00297251">
        <w:rPr>
          <w:rFonts w:cs="Arial"/>
          <w:b/>
          <w:bCs/>
          <w:color w:val="365F91"/>
          <w:sz w:val="28"/>
          <w:szCs w:val="28"/>
        </w:rPr>
        <w:t>Assistant</w:t>
      </w:r>
      <w:r>
        <w:rPr>
          <w:rFonts w:cs="Arial"/>
          <w:b/>
          <w:bCs/>
          <w:color w:val="365F91"/>
          <w:sz w:val="28"/>
          <w:szCs w:val="28"/>
        </w:rPr>
        <w:t xml:space="preserve"> </w:t>
      </w:r>
      <w:r w:rsidR="006971AB" w:rsidRPr="005C4B2A">
        <w:rPr>
          <w:rFonts w:cs="Arial"/>
          <w:b/>
          <w:bCs/>
          <w:color w:val="365F91"/>
          <w:sz w:val="28"/>
          <w:szCs w:val="28"/>
        </w:rPr>
        <w:t>– Registration</w:t>
      </w:r>
      <w:r w:rsidR="00297251">
        <w:rPr>
          <w:rFonts w:cs="Arial"/>
          <w:b/>
          <w:bCs/>
          <w:color w:val="365F91"/>
          <w:sz w:val="28"/>
          <w:szCs w:val="28"/>
        </w:rPr>
        <w:t xml:space="preserve"> (Exams)</w:t>
      </w:r>
    </w:p>
    <w:p w14:paraId="1C16E7FF" w14:textId="77777777" w:rsidR="006971AB" w:rsidRPr="005C4B2A" w:rsidRDefault="007801EE" w:rsidP="00764890">
      <w:pPr>
        <w:pStyle w:val="Header"/>
        <w:rPr>
          <w:rFonts w:cs="Arial"/>
          <w:b/>
          <w:bCs/>
          <w:color w:val="365F91"/>
          <w:sz w:val="28"/>
          <w:szCs w:val="28"/>
        </w:rPr>
      </w:pPr>
      <w:r>
        <w:rPr>
          <w:rFonts w:cs="Arial"/>
          <w:b/>
          <w:bCs/>
          <w:color w:val="365F91"/>
          <w:sz w:val="28"/>
          <w:szCs w:val="28"/>
        </w:rPr>
        <w:t>Role</w:t>
      </w:r>
      <w:r w:rsidR="006971AB" w:rsidRPr="005C4B2A">
        <w:rPr>
          <w:rFonts w:cs="Arial"/>
          <w:b/>
          <w:bCs/>
          <w:color w:val="365F91"/>
          <w:sz w:val="28"/>
          <w:szCs w:val="28"/>
        </w:rPr>
        <w:t xml:space="preserve"> data</w:t>
      </w:r>
    </w:p>
    <w:tbl>
      <w:tblPr>
        <w:tblStyle w:val="TableGrid"/>
        <w:tblW w:w="4949" w:type="pct"/>
        <w:tblInd w:w="108" w:type="dxa"/>
        <w:tblLook w:val="04A0" w:firstRow="1" w:lastRow="0" w:firstColumn="1" w:lastColumn="0" w:noHBand="0" w:noVBand="1"/>
      </w:tblPr>
      <w:tblGrid>
        <w:gridCol w:w="1994"/>
        <w:gridCol w:w="3110"/>
        <w:gridCol w:w="2408"/>
        <w:gridCol w:w="2349"/>
      </w:tblGrid>
      <w:tr w:rsidR="006971AB" w:rsidRPr="005C4B2A" w14:paraId="1C16E804" w14:textId="77777777" w:rsidTr="006C24A6">
        <w:tc>
          <w:tcPr>
            <w:tcW w:w="1011" w:type="pct"/>
            <w:vAlign w:val="center"/>
          </w:tcPr>
          <w:p w14:paraId="1C16E800" w14:textId="77777777" w:rsidR="006971AB" w:rsidRPr="005C4B2A" w:rsidRDefault="002872BD" w:rsidP="002872BD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 xml:space="preserve">Position </w:t>
            </w:r>
            <w:r w:rsidR="006971AB" w:rsidRPr="005C4B2A">
              <w:rPr>
                <w:rFonts w:cs="Arial"/>
                <w:b/>
                <w:color w:val="365F91"/>
                <w:sz w:val="20"/>
                <w:szCs w:val="20"/>
              </w:rPr>
              <w:t>no.</w:t>
            </w:r>
          </w:p>
        </w:tc>
        <w:tc>
          <w:tcPr>
            <w:tcW w:w="1577" w:type="pct"/>
            <w:vAlign w:val="center"/>
          </w:tcPr>
          <w:p w14:paraId="1C16E801" w14:textId="77777777" w:rsidR="006971AB" w:rsidRPr="005C4B2A" w:rsidRDefault="006971AB" w:rsidP="0076489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C4B2A">
              <w:rPr>
                <w:rFonts w:cs="Arial"/>
                <w:sz w:val="20"/>
                <w:szCs w:val="20"/>
              </w:rPr>
              <w:t>TBC</w:t>
            </w:r>
          </w:p>
        </w:tc>
        <w:tc>
          <w:tcPr>
            <w:tcW w:w="1221" w:type="pct"/>
            <w:vAlign w:val="center"/>
          </w:tcPr>
          <w:p w14:paraId="1C16E802" w14:textId="77777777" w:rsidR="006971AB" w:rsidRPr="005C4B2A" w:rsidRDefault="002872BD" w:rsidP="00764890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>Work Area Profile</w:t>
            </w:r>
          </w:p>
        </w:tc>
        <w:tc>
          <w:tcPr>
            <w:tcW w:w="1191" w:type="pct"/>
            <w:vAlign w:val="center"/>
          </w:tcPr>
          <w:p w14:paraId="1C16E803" w14:textId="77777777" w:rsidR="006971AB" w:rsidRPr="005C4B2A" w:rsidRDefault="00326080" w:rsidP="0076489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</w:t>
            </w:r>
          </w:p>
        </w:tc>
      </w:tr>
      <w:tr w:rsidR="006971AB" w:rsidRPr="005C4B2A" w14:paraId="1C16E809" w14:textId="77777777" w:rsidTr="006C24A6">
        <w:tc>
          <w:tcPr>
            <w:tcW w:w="1011" w:type="pct"/>
            <w:vAlign w:val="center"/>
          </w:tcPr>
          <w:p w14:paraId="1C16E805" w14:textId="77777777" w:rsidR="006971AB" w:rsidRPr="005C4B2A" w:rsidRDefault="002872BD" w:rsidP="002872BD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>Work Level Classification</w:t>
            </w:r>
          </w:p>
        </w:tc>
        <w:tc>
          <w:tcPr>
            <w:tcW w:w="1577" w:type="pct"/>
            <w:vAlign w:val="center"/>
          </w:tcPr>
          <w:p w14:paraId="1C16E806" w14:textId="77777777" w:rsidR="006971AB" w:rsidRPr="005C4B2A" w:rsidRDefault="006971AB" w:rsidP="001D7D3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C4B2A">
              <w:rPr>
                <w:rFonts w:cs="Arial"/>
                <w:sz w:val="20"/>
                <w:szCs w:val="20"/>
              </w:rPr>
              <w:t xml:space="preserve">Level </w:t>
            </w:r>
            <w:r w:rsidR="001D7D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21" w:type="pct"/>
            <w:vAlign w:val="center"/>
          </w:tcPr>
          <w:p w14:paraId="1C16E807" w14:textId="77777777" w:rsidR="006971AB" w:rsidRPr="005C4B2A" w:rsidRDefault="006971AB" w:rsidP="00764890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 w:rsidRPr="005C4B2A">
              <w:rPr>
                <w:rFonts w:cs="Arial"/>
                <w:b/>
                <w:color w:val="365F91"/>
                <w:sz w:val="20"/>
                <w:szCs w:val="20"/>
              </w:rPr>
              <w:t>Directorate/Business Unit</w:t>
            </w:r>
          </w:p>
        </w:tc>
        <w:tc>
          <w:tcPr>
            <w:tcW w:w="1191" w:type="pct"/>
            <w:vAlign w:val="center"/>
          </w:tcPr>
          <w:p w14:paraId="1C16E808" w14:textId="77777777" w:rsidR="006971AB" w:rsidRPr="005C4B2A" w:rsidRDefault="006971AB" w:rsidP="0076489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C4B2A">
              <w:rPr>
                <w:rFonts w:cs="Arial"/>
                <w:sz w:val="20"/>
                <w:szCs w:val="20"/>
              </w:rPr>
              <w:t>Regulatory Operations</w:t>
            </w:r>
          </w:p>
        </w:tc>
      </w:tr>
      <w:tr w:rsidR="002872BD" w:rsidRPr="005C4B2A" w14:paraId="1C16E80E" w14:textId="77777777" w:rsidTr="006C24A6">
        <w:tc>
          <w:tcPr>
            <w:tcW w:w="1011" w:type="pct"/>
            <w:vAlign w:val="center"/>
          </w:tcPr>
          <w:p w14:paraId="1C16E80A" w14:textId="77777777" w:rsidR="002872BD" w:rsidRPr="005C4B2A" w:rsidRDefault="002872BD" w:rsidP="002872BD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 w:rsidRPr="005C4B2A">
              <w:rPr>
                <w:rFonts w:cs="Arial"/>
                <w:b/>
                <w:color w:val="365F91"/>
                <w:sz w:val="20"/>
                <w:szCs w:val="20"/>
              </w:rPr>
              <w:t>Reports to (role)</w:t>
            </w:r>
          </w:p>
        </w:tc>
        <w:tc>
          <w:tcPr>
            <w:tcW w:w="1577" w:type="pct"/>
            <w:vAlign w:val="center"/>
          </w:tcPr>
          <w:p w14:paraId="1C16E80B" w14:textId="0EAB3CF8" w:rsidR="002872BD" w:rsidRPr="005C4B2A" w:rsidRDefault="00ED7415" w:rsidP="00CB0474">
            <w:pPr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Project Officer, Exam Coordination and Operations (IQNM)</w:t>
            </w:r>
          </w:p>
        </w:tc>
        <w:tc>
          <w:tcPr>
            <w:tcW w:w="1221" w:type="pct"/>
            <w:vAlign w:val="center"/>
          </w:tcPr>
          <w:p w14:paraId="1C16E80C" w14:textId="77777777" w:rsidR="002872BD" w:rsidRPr="005C4B2A" w:rsidRDefault="002872BD" w:rsidP="002872BD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 w:rsidRPr="005C4B2A">
              <w:rPr>
                <w:rFonts w:cs="Arial"/>
                <w:b/>
                <w:color w:val="365F91"/>
                <w:sz w:val="20"/>
                <w:szCs w:val="20"/>
              </w:rPr>
              <w:t>Location</w:t>
            </w:r>
          </w:p>
        </w:tc>
        <w:tc>
          <w:tcPr>
            <w:tcW w:w="1191" w:type="pct"/>
            <w:vAlign w:val="center"/>
          </w:tcPr>
          <w:p w14:paraId="1C16E80D" w14:textId="5F3D6731" w:rsidR="002872BD" w:rsidRPr="005C4B2A" w:rsidRDefault="004259BC" w:rsidP="002872BD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Melbourne</w:t>
            </w:r>
          </w:p>
        </w:tc>
      </w:tr>
      <w:tr w:rsidR="002872BD" w:rsidRPr="005C4B2A" w14:paraId="1C16E813" w14:textId="77777777" w:rsidTr="006C24A6">
        <w:tc>
          <w:tcPr>
            <w:tcW w:w="1011" w:type="pct"/>
            <w:vAlign w:val="center"/>
          </w:tcPr>
          <w:p w14:paraId="1C16E80F" w14:textId="77777777" w:rsidR="002872BD" w:rsidRPr="005C4B2A" w:rsidRDefault="002872BD" w:rsidP="002872BD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 w:rsidRPr="005C4B2A">
              <w:rPr>
                <w:rFonts w:cs="Arial"/>
                <w:b/>
                <w:color w:val="365F91"/>
                <w:sz w:val="20"/>
                <w:szCs w:val="20"/>
              </w:rPr>
              <w:t>No. direct reports</w:t>
            </w:r>
          </w:p>
        </w:tc>
        <w:tc>
          <w:tcPr>
            <w:tcW w:w="1577" w:type="pct"/>
            <w:vAlign w:val="center"/>
          </w:tcPr>
          <w:p w14:paraId="1C16E810" w14:textId="77777777" w:rsidR="002872BD" w:rsidRPr="005C4B2A" w:rsidRDefault="002872BD" w:rsidP="002872B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C4B2A">
              <w:rPr>
                <w:rFonts w:cs="Arial"/>
                <w:sz w:val="20"/>
                <w:szCs w:val="20"/>
              </w:rPr>
              <w:t>Nil</w:t>
            </w:r>
          </w:p>
        </w:tc>
        <w:tc>
          <w:tcPr>
            <w:tcW w:w="1221" w:type="pct"/>
            <w:vAlign w:val="center"/>
          </w:tcPr>
          <w:p w14:paraId="1C16E811" w14:textId="77777777" w:rsidR="002872BD" w:rsidRPr="005C4B2A" w:rsidRDefault="002872BD" w:rsidP="002872BD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>No. of indirect reports</w:t>
            </w:r>
          </w:p>
        </w:tc>
        <w:tc>
          <w:tcPr>
            <w:tcW w:w="1191" w:type="pct"/>
            <w:vAlign w:val="center"/>
          </w:tcPr>
          <w:p w14:paraId="1C16E812" w14:textId="77777777" w:rsidR="002872BD" w:rsidRPr="005C4B2A" w:rsidRDefault="00054220" w:rsidP="002872BD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Nil</w:t>
            </w:r>
          </w:p>
        </w:tc>
      </w:tr>
      <w:tr w:rsidR="002872BD" w:rsidRPr="005C4B2A" w14:paraId="1C16E818" w14:textId="77777777" w:rsidTr="006C24A6">
        <w:tc>
          <w:tcPr>
            <w:tcW w:w="1011" w:type="pct"/>
            <w:vAlign w:val="center"/>
          </w:tcPr>
          <w:p w14:paraId="1C16E814" w14:textId="77777777" w:rsidR="002872BD" w:rsidRPr="005C4B2A" w:rsidRDefault="00FA58EB" w:rsidP="00711E32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>Version</w:t>
            </w:r>
            <w:r w:rsidR="00711E32">
              <w:rPr>
                <w:rFonts w:cs="Arial"/>
                <w:b/>
                <w:color w:val="365F91"/>
                <w:sz w:val="20"/>
                <w:szCs w:val="20"/>
              </w:rPr>
              <w:t xml:space="preserve"> date</w:t>
            </w:r>
          </w:p>
        </w:tc>
        <w:tc>
          <w:tcPr>
            <w:tcW w:w="1577" w:type="pct"/>
            <w:vAlign w:val="center"/>
          </w:tcPr>
          <w:p w14:paraId="1C16E815" w14:textId="77777777" w:rsidR="002872BD" w:rsidRPr="005C4B2A" w:rsidRDefault="00D55208" w:rsidP="00CD329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 July 2018</w:t>
            </w:r>
          </w:p>
        </w:tc>
        <w:tc>
          <w:tcPr>
            <w:tcW w:w="1221" w:type="pct"/>
            <w:vAlign w:val="center"/>
          </w:tcPr>
          <w:p w14:paraId="1C16E816" w14:textId="77777777" w:rsidR="002872BD" w:rsidRPr="005C4B2A" w:rsidRDefault="002872BD" w:rsidP="002872BD">
            <w:pPr>
              <w:spacing w:before="120" w:after="120"/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>Tenure</w:t>
            </w:r>
          </w:p>
        </w:tc>
        <w:tc>
          <w:tcPr>
            <w:tcW w:w="1191" w:type="pct"/>
            <w:vAlign w:val="center"/>
          </w:tcPr>
          <w:p w14:paraId="1C16E817" w14:textId="77777777" w:rsidR="002872BD" w:rsidRPr="005C4B2A" w:rsidRDefault="002872BD" w:rsidP="002872B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C4B2A">
              <w:rPr>
                <w:rFonts w:cs="Arial"/>
                <w:sz w:val="20"/>
                <w:szCs w:val="20"/>
              </w:rPr>
              <w:t>Ongoing, fulltime</w:t>
            </w:r>
          </w:p>
        </w:tc>
      </w:tr>
    </w:tbl>
    <w:p w14:paraId="1C16E819" w14:textId="77777777" w:rsidR="007B0ABD" w:rsidRDefault="007B0ABD" w:rsidP="00764890">
      <w:pPr>
        <w:pStyle w:val="Default"/>
        <w:spacing w:before="240"/>
        <w:rPr>
          <w:b/>
          <w:color w:val="365F91"/>
          <w:sz w:val="28"/>
          <w:szCs w:val="28"/>
        </w:rPr>
      </w:pPr>
      <w:r w:rsidRPr="007B0ABD">
        <w:rPr>
          <w:b/>
          <w:color w:val="365F91"/>
          <w:sz w:val="28"/>
          <w:szCs w:val="28"/>
        </w:rPr>
        <w:t xml:space="preserve">Work </w:t>
      </w:r>
      <w:r w:rsidR="00852EB7">
        <w:rPr>
          <w:b/>
          <w:color w:val="365F91"/>
          <w:sz w:val="28"/>
          <w:szCs w:val="28"/>
        </w:rPr>
        <w:t>a</w:t>
      </w:r>
      <w:r w:rsidRPr="007B0ABD">
        <w:rPr>
          <w:b/>
          <w:color w:val="365F91"/>
          <w:sz w:val="28"/>
          <w:szCs w:val="28"/>
        </w:rPr>
        <w:t>rea</w:t>
      </w:r>
      <w:r w:rsidR="002A199C">
        <w:rPr>
          <w:b/>
          <w:color w:val="365F91"/>
          <w:sz w:val="28"/>
          <w:szCs w:val="28"/>
        </w:rPr>
        <w:t xml:space="preserve"> </w:t>
      </w:r>
      <w:r w:rsidR="00852EB7">
        <w:rPr>
          <w:b/>
          <w:color w:val="365F91"/>
          <w:sz w:val="28"/>
          <w:szCs w:val="28"/>
        </w:rPr>
        <w:t>p</w:t>
      </w:r>
      <w:r w:rsidR="002A199C">
        <w:rPr>
          <w:b/>
          <w:color w:val="365F91"/>
          <w:sz w:val="28"/>
          <w:szCs w:val="28"/>
        </w:rPr>
        <w:t>rofile</w:t>
      </w:r>
    </w:p>
    <w:p w14:paraId="1C16E81A" w14:textId="74BF61C0" w:rsidR="00326080" w:rsidRDefault="00326080" w:rsidP="00326080">
      <w:pPr>
        <w:pStyle w:val="AHPRAbody"/>
      </w:pPr>
      <w:proofErr w:type="spellStart"/>
      <w:r w:rsidRPr="00326080">
        <w:t>A</w:t>
      </w:r>
      <w:r w:rsidR="0069109F">
        <w:t>hpra</w:t>
      </w:r>
      <w:r w:rsidRPr="00326080">
        <w:t>’s</w:t>
      </w:r>
      <w:proofErr w:type="spellEnd"/>
      <w:r w:rsidRPr="00326080">
        <w:t xml:space="preserve"> overall mission is to protect the public by regulating health practitioners efficiently and effectively in the public interest to facilitate access to safer healthcare for all the community. Website: </w:t>
      </w:r>
      <w:hyperlink r:id="rId8" w:history="1">
        <w:r w:rsidRPr="00643767">
          <w:rPr>
            <w:rStyle w:val="Hyperlink"/>
            <w:i/>
            <w:szCs w:val="20"/>
          </w:rPr>
          <w:t>www.ahpra.gov.au</w:t>
        </w:r>
      </w:hyperlink>
    </w:p>
    <w:p w14:paraId="1C16E81B" w14:textId="4AAE23AA" w:rsidR="00326080" w:rsidRDefault="00F40DEB" w:rsidP="00F40DEB">
      <w:pPr>
        <w:pStyle w:val="AHPRAbody"/>
      </w:pPr>
      <w:r>
        <w:t xml:space="preserve">In partnership with the National Boards, </w:t>
      </w:r>
      <w:proofErr w:type="spellStart"/>
      <w:r w:rsidR="00312F5C">
        <w:t>A</w:t>
      </w:r>
      <w:r w:rsidR="0069109F">
        <w:t>hpra</w:t>
      </w:r>
      <w:r w:rsidR="00312F5C">
        <w:t>’s</w:t>
      </w:r>
      <w:proofErr w:type="spellEnd"/>
      <w:r w:rsidR="00312F5C">
        <w:t xml:space="preserve">, Regulatory Operations Directorate, Registration division </w:t>
      </w:r>
      <w:r w:rsidR="00FF2CF6">
        <w:t xml:space="preserve">ensure </w:t>
      </w:r>
      <w:r w:rsidR="001C3CAE" w:rsidRPr="001C3CAE">
        <w:t>only practitioners who have the skills and qualifications to provide safe care to the Australian community are registered to practise their profession</w:t>
      </w:r>
      <w:r>
        <w:t xml:space="preserve">. </w:t>
      </w:r>
      <w:r w:rsidR="00326080" w:rsidRPr="00256441">
        <w:t xml:space="preserve">AHPRA publishes registers of practitioners </w:t>
      </w:r>
      <w:r w:rsidR="00FF2CF6">
        <w:t xml:space="preserve">(the </w:t>
      </w:r>
      <w:r w:rsidR="00565511">
        <w:t>national</w:t>
      </w:r>
      <w:r w:rsidR="00FF2CF6">
        <w:t xml:space="preserve"> register) </w:t>
      </w:r>
      <w:r w:rsidR="00326080" w:rsidRPr="00256441">
        <w:t>so that important information about the registration of individual health practitioners is available to the public.</w:t>
      </w:r>
    </w:p>
    <w:p w14:paraId="1C16E81C" w14:textId="77777777" w:rsidR="006971AB" w:rsidRDefault="006971AB" w:rsidP="00764890">
      <w:pPr>
        <w:pStyle w:val="Default"/>
        <w:spacing w:before="240"/>
        <w:rPr>
          <w:b/>
          <w:color w:val="365F91"/>
          <w:sz w:val="28"/>
          <w:szCs w:val="28"/>
        </w:rPr>
      </w:pPr>
      <w:r w:rsidRPr="007B0ABD">
        <w:rPr>
          <w:b/>
          <w:color w:val="365F91"/>
          <w:sz w:val="28"/>
          <w:szCs w:val="28"/>
        </w:rPr>
        <w:t>Role purpose</w:t>
      </w:r>
    </w:p>
    <w:p w14:paraId="1C16E81D" w14:textId="4558B404" w:rsidR="006971AB" w:rsidRPr="005C4B2A" w:rsidRDefault="006971AB" w:rsidP="00764890">
      <w:pPr>
        <w:pStyle w:val="Default"/>
        <w:rPr>
          <w:sz w:val="20"/>
          <w:szCs w:val="20"/>
        </w:rPr>
      </w:pPr>
      <w:r w:rsidRPr="005C4B2A">
        <w:rPr>
          <w:rFonts w:eastAsia="Calibri"/>
          <w:sz w:val="20"/>
          <w:szCs w:val="20"/>
        </w:rPr>
        <w:t xml:space="preserve">Reporting to the </w:t>
      </w:r>
      <w:r w:rsidR="0069109F">
        <w:rPr>
          <w:sz w:val="20"/>
          <w:szCs w:val="20"/>
        </w:rPr>
        <w:t>Project Officer, Exam Coordination and Operations (IQNM)</w:t>
      </w:r>
      <w:r w:rsidRPr="005C4B2A">
        <w:rPr>
          <w:rFonts w:eastAsia="Calibri"/>
          <w:sz w:val="20"/>
          <w:szCs w:val="20"/>
        </w:rPr>
        <w:t xml:space="preserve">, the </w:t>
      </w:r>
      <w:r w:rsidR="00297251" w:rsidRPr="00297251">
        <w:rPr>
          <w:rFonts w:eastAsia="Calibri"/>
          <w:sz w:val="20"/>
          <w:szCs w:val="20"/>
        </w:rPr>
        <w:t>Regulatory Assistant – Registration (Exams)</w:t>
      </w:r>
      <w:r w:rsidR="00297251">
        <w:rPr>
          <w:rFonts w:eastAsia="Calibri"/>
          <w:sz w:val="20"/>
          <w:szCs w:val="20"/>
        </w:rPr>
        <w:t xml:space="preserve"> p</w:t>
      </w:r>
      <w:r w:rsidR="00297251" w:rsidRPr="00297251">
        <w:rPr>
          <w:rFonts w:eastAsia="Calibri"/>
          <w:sz w:val="20"/>
          <w:szCs w:val="20"/>
        </w:rPr>
        <w:t>rovide</w:t>
      </w:r>
      <w:r w:rsidR="00297251">
        <w:rPr>
          <w:rFonts w:eastAsia="Calibri"/>
          <w:sz w:val="20"/>
          <w:szCs w:val="20"/>
        </w:rPr>
        <w:t>s</w:t>
      </w:r>
      <w:r w:rsidR="00297251" w:rsidRPr="00297251">
        <w:rPr>
          <w:rFonts w:eastAsia="Calibri"/>
          <w:sz w:val="20"/>
          <w:szCs w:val="20"/>
        </w:rPr>
        <w:t xml:space="preserve"> a </w:t>
      </w:r>
      <w:r w:rsidR="00C06A78">
        <w:rPr>
          <w:rFonts w:eastAsia="Calibri"/>
          <w:sz w:val="20"/>
          <w:szCs w:val="20"/>
        </w:rPr>
        <w:t>range</w:t>
      </w:r>
      <w:r w:rsidR="00FF2CF6" w:rsidRPr="00297251">
        <w:rPr>
          <w:rFonts w:eastAsia="Calibri"/>
          <w:sz w:val="20"/>
          <w:szCs w:val="20"/>
        </w:rPr>
        <w:t xml:space="preserve"> </w:t>
      </w:r>
      <w:r w:rsidR="00297251" w:rsidRPr="00297251">
        <w:rPr>
          <w:rFonts w:eastAsia="Calibri"/>
          <w:sz w:val="20"/>
          <w:szCs w:val="20"/>
        </w:rPr>
        <w:t xml:space="preserve">of administrative and operational support for the delivery of examinations, including managing </w:t>
      </w:r>
      <w:r w:rsidR="00FF2CF6">
        <w:rPr>
          <w:rFonts w:eastAsia="Calibri"/>
          <w:sz w:val="20"/>
          <w:szCs w:val="20"/>
        </w:rPr>
        <w:t xml:space="preserve">exam </w:t>
      </w:r>
      <w:r w:rsidR="00C5066E">
        <w:rPr>
          <w:rFonts w:eastAsia="Calibri"/>
          <w:sz w:val="20"/>
          <w:szCs w:val="20"/>
        </w:rPr>
        <w:t>bookings</w:t>
      </w:r>
      <w:r w:rsidR="00297251" w:rsidRPr="00297251">
        <w:rPr>
          <w:rFonts w:eastAsia="Calibri"/>
          <w:sz w:val="20"/>
          <w:szCs w:val="20"/>
        </w:rPr>
        <w:t>, maintaining an examinations registration calendar</w:t>
      </w:r>
      <w:r w:rsidR="00C5066E">
        <w:rPr>
          <w:rFonts w:eastAsia="Calibri"/>
          <w:sz w:val="20"/>
          <w:szCs w:val="20"/>
        </w:rPr>
        <w:t>,</w:t>
      </w:r>
      <w:r w:rsidR="00297251" w:rsidRPr="00297251">
        <w:rPr>
          <w:rFonts w:eastAsia="Calibri"/>
          <w:sz w:val="20"/>
          <w:szCs w:val="20"/>
        </w:rPr>
        <w:t xml:space="preserve"> and refreshing examination information for publication on the </w:t>
      </w:r>
      <w:r w:rsidR="00297251">
        <w:rPr>
          <w:rFonts w:eastAsia="Calibri"/>
          <w:sz w:val="20"/>
          <w:szCs w:val="20"/>
        </w:rPr>
        <w:t>A</w:t>
      </w:r>
      <w:r w:rsidR="0069109F">
        <w:rPr>
          <w:rFonts w:eastAsia="Calibri"/>
          <w:sz w:val="20"/>
          <w:szCs w:val="20"/>
        </w:rPr>
        <w:t>hpra</w:t>
      </w:r>
      <w:r w:rsidR="00297251">
        <w:rPr>
          <w:rFonts w:eastAsia="Calibri"/>
          <w:sz w:val="20"/>
          <w:szCs w:val="20"/>
        </w:rPr>
        <w:t xml:space="preserve"> </w:t>
      </w:r>
      <w:r w:rsidR="00297251" w:rsidRPr="00297251">
        <w:rPr>
          <w:rFonts w:eastAsia="Calibri"/>
          <w:sz w:val="20"/>
          <w:szCs w:val="20"/>
        </w:rPr>
        <w:t>website</w:t>
      </w:r>
      <w:r w:rsidR="00EB3D5E">
        <w:rPr>
          <w:rFonts w:eastAsia="Calibri"/>
          <w:sz w:val="20"/>
          <w:szCs w:val="20"/>
        </w:rPr>
        <w:t xml:space="preserve"> </w:t>
      </w:r>
      <w:r w:rsidR="004A1D0B">
        <w:rPr>
          <w:sz w:val="20"/>
          <w:szCs w:val="20"/>
        </w:rPr>
        <w:t xml:space="preserve">with a focus on </w:t>
      </w:r>
      <w:proofErr w:type="spellStart"/>
      <w:r w:rsidR="004A1D0B">
        <w:rPr>
          <w:sz w:val="20"/>
          <w:szCs w:val="20"/>
        </w:rPr>
        <w:t>A</w:t>
      </w:r>
      <w:r w:rsidR="0069109F">
        <w:rPr>
          <w:sz w:val="20"/>
          <w:szCs w:val="20"/>
        </w:rPr>
        <w:t>hpra</w:t>
      </w:r>
      <w:r w:rsidR="004A1D0B">
        <w:rPr>
          <w:sz w:val="20"/>
          <w:szCs w:val="20"/>
        </w:rPr>
        <w:t>’s</w:t>
      </w:r>
      <w:proofErr w:type="spellEnd"/>
      <w:r w:rsidR="004A1D0B">
        <w:rPr>
          <w:sz w:val="20"/>
          <w:szCs w:val="20"/>
        </w:rPr>
        <w:t xml:space="preserve"> values to deliver high performance</w:t>
      </w:r>
      <w:r w:rsidR="00297251" w:rsidRPr="00297251">
        <w:rPr>
          <w:rFonts w:eastAsia="Calibri"/>
          <w:sz w:val="20"/>
          <w:szCs w:val="20"/>
        </w:rPr>
        <w:t>.</w:t>
      </w:r>
    </w:p>
    <w:p w14:paraId="1C16E81E" w14:textId="77777777" w:rsidR="006971AB" w:rsidRDefault="00852EB7" w:rsidP="00B81148">
      <w:pPr>
        <w:pStyle w:val="Default"/>
        <w:spacing w:before="240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Key </w:t>
      </w:r>
      <w:r w:rsidR="00B81148">
        <w:rPr>
          <w:b/>
          <w:color w:val="365F91"/>
          <w:sz w:val="28"/>
          <w:szCs w:val="28"/>
        </w:rPr>
        <w:t>Accountabilities</w:t>
      </w:r>
    </w:p>
    <w:p w14:paraId="1C16E81F" w14:textId="78450E83" w:rsidR="00161A15" w:rsidRPr="00161A15" w:rsidRDefault="00161A15" w:rsidP="00BA2AF4">
      <w:pPr>
        <w:pStyle w:val="ListParagraph"/>
        <w:numPr>
          <w:ilvl w:val="0"/>
          <w:numId w:val="36"/>
        </w:numPr>
        <w:spacing w:before="120" w:after="120" w:line="240" w:lineRule="auto"/>
        <w:ind w:hanging="357"/>
        <w:contextualSpacing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161A15">
        <w:rPr>
          <w:rFonts w:ascii="Arial" w:hAnsi="Arial" w:cs="Arial"/>
          <w:color w:val="000000"/>
          <w:sz w:val="20"/>
          <w:szCs w:val="20"/>
          <w:lang w:val="en-AU" w:eastAsia="en-AU"/>
        </w:rPr>
        <w:t>Assist with the maintenance of systems and procedures that underpin the timely and effective delivery of examinations for National Boards including maintenance of examination datasets, communicatin</w:t>
      </w:r>
      <w:r w:rsidR="008C4F54">
        <w:rPr>
          <w:rFonts w:ascii="Arial" w:hAnsi="Arial" w:cs="Arial"/>
          <w:color w:val="000000"/>
          <w:sz w:val="20"/>
          <w:szCs w:val="20"/>
          <w:lang w:val="en-AU" w:eastAsia="en-AU"/>
        </w:rPr>
        <w:t>g</w:t>
      </w:r>
      <w:r w:rsidRPr="00161A15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with candidates, meeting support and documentation</w:t>
      </w:r>
      <w:r w:rsidR="00731987">
        <w:rPr>
          <w:rFonts w:ascii="Arial" w:hAnsi="Arial" w:cs="Arial"/>
          <w:color w:val="000000"/>
          <w:sz w:val="20"/>
          <w:szCs w:val="20"/>
          <w:lang w:val="en-AU" w:eastAsia="en-AU"/>
        </w:rPr>
        <w:t>,</w:t>
      </w:r>
      <w:r w:rsidRPr="00161A15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and issue identification/resolution.</w:t>
      </w:r>
    </w:p>
    <w:p w14:paraId="1C16E821" w14:textId="77777777" w:rsidR="00C35D91" w:rsidRPr="00161A15" w:rsidRDefault="00C35D91" w:rsidP="00BA2AF4">
      <w:pPr>
        <w:pStyle w:val="ListParagraph"/>
        <w:numPr>
          <w:ilvl w:val="0"/>
          <w:numId w:val="36"/>
        </w:numPr>
        <w:spacing w:before="120" w:after="120" w:line="240" w:lineRule="auto"/>
        <w:ind w:hanging="357"/>
        <w:contextualSpacing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hAnsi="Arial" w:cs="Arial"/>
          <w:color w:val="000000"/>
          <w:sz w:val="20"/>
          <w:szCs w:val="20"/>
          <w:lang w:val="en-AU" w:eastAsia="en-AU"/>
        </w:rPr>
        <w:t>Process applications to sit examinations for relevant professions and assess eligibi</w:t>
      </w:r>
      <w:r w:rsidR="00F83C71">
        <w:rPr>
          <w:rFonts w:ascii="Arial" w:hAnsi="Arial" w:cs="Arial"/>
          <w:color w:val="000000"/>
          <w:sz w:val="20"/>
          <w:szCs w:val="20"/>
          <w:lang w:val="en-AU" w:eastAsia="en-AU"/>
        </w:rPr>
        <w:t>lity of candidates as required.</w:t>
      </w:r>
    </w:p>
    <w:p w14:paraId="1C16E823" w14:textId="77777777" w:rsidR="00161A15" w:rsidRPr="00161A15" w:rsidRDefault="00161A15" w:rsidP="00BA2AF4">
      <w:pPr>
        <w:pStyle w:val="ListParagraph"/>
        <w:numPr>
          <w:ilvl w:val="0"/>
          <w:numId w:val="36"/>
        </w:numPr>
        <w:spacing w:before="120" w:after="120" w:line="240" w:lineRule="auto"/>
        <w:ind w:hanging="357"/>
        <w:contextualSpacing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161A15">
        <w:rPr>
          <w:rFonts w:ascii="Arial" w:hAnsi="Arial" w:cs="Arial"/>
          <w:color w:val="000000"/>
          <w:sz w:val="20"/>
          <w:szCs w:val="20"/>
          <w:lang w:val="en-AU" w:eastAsia="en-AU"/>
        </w:rPr>
        <w:t>Liaise with internal and, where required, external stakeholders for follow up and progression of issues associated with the delivery of examinations.</w:t>
      </w:r>
    </w:p>
    <w:p w14:paraId="1C16E824" w14:textId="30D18CF9" w:rsidR="00161A15" w:rsidRPr="00161A15" w:rsidRDefault="00161A15" w:rsidP="00BA2AF4">
      <w:pPr>
        <w:pStyle w:val="ListParagraph"/>
        <w:numPr>
          <w:ilvl w:val="0"/>
          <w:numId w:val="36"/>
        </w:numPr>
        <w:spacing w:before="120" w:after="120" w:line="240" w:lineRule="auto"/>
        <w:ind w:hanging="357"/>
        <w:contextualSpacing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161A15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Other duties as directed by the </w:t>
      </w:r>
      <w:r w:rsidR="0069109F">
        <w:rPr>
          <w:rFonts w:ascii="Arial" w:hAnsi="Arial" w:cs="Arial"/>
          <w:color w:val="000000"/>
          <w:sz w:val="20"/>
          <w:szCs w:val="20"/>
          <w:lang w:val="en-AU" w:eastAsia="en-AU"/>
        </w:rPr>
        <w:t>Project Officer, Exam Coordination and Operations (IQNM)</w:t>
      </w:r>
      <w:r w:rsidRPr="00161A15">
        <w:rPr>
          <w:rFonts w:ascii="Arial" w:hAnsi="Arial" w:cs="Arial"/>
          <w:color w:val="000000"/>
          <w:sz w:val="20"/>
          <w:szCs w:val="20"/>
          <w:lang w:val="en-AU" w:eastAsia="en-AU"/>
        </w:rPr>
        <w:t>.</w:t>
      </w:r>
    </w:p>
    <w:p w14:paraId="1C16E825" w14:textId="77777777" w:rsidR="00F9588F" w:rsidRDefault="00F9588F" w:rsidP="005C1068">
      <w:pPr>
        <w:pStyle w:val="ListParagraph"/>
        <w:numPr>
          <w:ilvl w:val="0"/>
          <w:numId w:val="36"/>
        </w:numPr>
        <w:spacing w:after="0" w:line="240" w:lineRule="auto"/>
        <w:ind w:hanging="357"/>
        <w:contextualSpacing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Health Safety and Wellbeing: </w:t>
      </w:r>
      <w:r w:rsidRPr="00F9588F">
        <w:rPr>
          <w:rFonts w:ascii="Arial" w:hAnsi="Arial" w:cs="Arial"/>
          <w:color w:val="000000"/>
          <w:sz w:val="20"/>
          <w:szCs w:val="20"/>
          <w:lang w:val="en-AU" w:eastAsia="en-AU"/>
        </w:rPr>
        <w:t>Ensuring the workplace provides a safe working environment with the required level of care and respect for its participants</w:t>
      </w:r>
      <w:r w:rsidR="000529FC">
        <w:rPr>
          <w:rFonts w:ascii="Arial" w:hAnsi="Arial" w:cs="Arial"/>
          <w:color w:val="000000"/>
          <w:sz w:val="20"/>
          <w:szCs w:val="20"/>
          <w:lang w:val="en-AU" w:eastAsia="en-AU"/>
        </w:rPr>
        <w:t>. This means</w:t>
      </w:r>
      <w:r w:rsidR="00BF0FAC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to</w:t>
      </w:r>
      <w:r w:rsidR="000529FC">
        <w:rPr>
          <w:rFonts w:ascii="Arial" w:hAnsi="Arial" w:cs="Arial"/>
          <w:color w:val="000000"/>
          <w:sz w:val="20"/>
          <w:szCs w:val="20"/>
          <w:lang w:val="en-AU" w:eastAsia="en-AU"/>
        </w:rPr>
        <w:t>:</w:t>
      </w:r>
    </w:p>
    <w:p w14:paraId="1C16E826" w14:textId="77777777" w:rsidR="000529FC" w:rsidRPr="00161A15" w:rsidRDefault="000529FC" w:rsidP="00161A15">
      <w:pPr>
        <w:pStyle w:val="ListParagraph"/>
        <w:numPr>
          <w:ilvl w:val="1"/>
          <w:numId w:val="36"/>
        </w:numPr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161A15">
        <w:rPr>
          <w:rFonts w:ascii="Arial" w:hAnsi="Arial" w:cs="Arial"/>
          <w:sz w:val="20"/>
          <w:szCs w:val="20"/>
        </w:rPr>
        <w:t>Tak</w:t>
      </w:r>
      <w:r w:rsidR="00BF0FAC" w:rsidRPr="00161A15">
        <w:rPr>
          <w:rFonts w:ascii="Arial" w:hAnsi="Arial" w:cs="Arial"/>
          <w:sz w:val="20"/>
          <w:szCs w:val="20"/>
        </w:rPr>
        <w:t>e</w:t>
      </w:r>
      <w:r w:rsidRPr="00161A15">
        <w:rPr>
          <w:rFonts w:ascii="Arial" w:hAnsi="Arial" w:cs="Arial"/>
          <w:sz w:val="20"/>
          <w:szCs w:val="20"/>
        </w:rPr>
        <w:t xml:space="preserve"> reasonable care for own and others’ health, safety and wellbeing</w:t>
      </w:r>
      <w:r w:rsidR="00295972">
        <w:rPr>
          <w:rFonts w:ascii="Arial" w:hAnsi="Arial" w:cs="Arial"/>
          <w:sz w:val="20"/>
          <w:szCs w:val="20"/>
        </w:rPr>
        <w:t>;</w:t>
      </w:r>
    </w:p>
    <w:p w14:paraId="1C16E827" w14:textId="497CE0C2" w:rsidR="00CB0474" w:rsidRDefault="000529FC" w:rsidP="00161A15">
      <w:pPr>
        <w:pStyle w:val="ListParagraph"/>
        <w:numPr>
          <w:ilvl w:val="1"/>
          <w:numId w:val="36"/>
        </w:numPr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161A15">
        <w:rPr>
          <w:rFonts w:ascii="Arial" w:hAnsi="Arial" w:cs="Arial"/>
          <w:sz w:val="20"/>
          <w:szCs w:val="20"/>
        </w:rPr>
        <w:t>Adher</w:t>
      </w:r>
      <w:r w:rsidR="00BF0FAC" w:rsidRPr="00161A15">
        <w:rPr>
          <w:rFonts w:ascii="Arial" w:hAnsi="Arial" w:cs="Arial"/>
          <w:sz w:val="20"/>
          <w:szCs w:val="20"/>
        </w:rPr>
        <w:t>e</w:t>
      </w:r>
      <w:r w:rsidRPr="00161A1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61A15">
        <w:rPr>
          <w:rFonts w:ascii="Arial" w:hAnsi="Arial" w:cs="Arial"/>
          <w:sz w:val="20"/>
          <w:szCs w:val="20"/>
        </w:rPr>
        <w:t>A</w:t>
      </w:r>
      <w:r w:rsidR="0069109F">
        <w:rPr>
          <w:rFonts w:ascii="Arial" w:hAnsi="Arial" w:cs="Arial"/>
          <w:sz w:val="20"/>
          <w:szCs w:val="20"/>
        </w:rPr>
        <w:t>hpra</w:t>
      </w:r>
      <w:r w:rsidRPr="00161A15">
        <w:rPr>
          <w:rFonts w:ascii="Arial" w:hAnsi="Arial" w:cs="Arial"/>
          <w:sz w:val="20"/>
          <w:szCs w:val="20"/>
        </w:rPr>
        <w:t>’s</w:t>
      </w:r>
      <w:proofErr w:type="spellEnd"/>
      <w:r w:rsidRPr="00161A15">
        <w:rPr>
          <w:rFonts w:ascii="Arial" w:hAnsi="Arial" w:cs="Arial"/>
          <w:sz w:val="20"/>
          <w:szCs w:val="20"/>
        </w:rPr>
        <w:t xml:space="preserve"> workplace health, safety and wellbeing policies and procedures</w:t>
      </w:r>
      <w:r w:rsidR="00295972">
        <w:rPr>
          <w:rFonts w:ascii="Arial" w:hAnsi="Arial" w:cs="Arial"/>
          <w:sz w:val="20"/>
          <w:szCs w:val="20"/>
        </w:rPr>
        <w:t>.</w:t>
      </w:r>
    </w:p>
    <w:p w14:paraId="1C16E828" w14:textId="77777777" w:rsidR="00CB0474" w:rsidRDefault="00CB0474">
      <w:pPr>
        <w:spacing w:after="0"/>
        <w:rPr>
          <w:rFonts w:eastAsia="Calibri"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br w:type="page"/>
      </w:r>
    </w:p>
    <w:p w14:paraId="1C16E829" w14:textId="77777777" w:rsidR="005B6E02" w:rsidRDefault="006971AB" w:rsidP="00804E70">
      <w:pPr>
        <w:pStyle w:val="Default"/>
        <w:spacing w:before="240" w:after="240"/>
        <w:rPr>
          <w:b/>
          <w:color w:val="365F91"/>
          <w:sz w:val="28"/>
          <w:szCs w:val="28"/>
        </w:rPr>
      </w:pPr>
      <w:r w:rsidRPr="007B0ABD">
        <w:rPr>
          <w:b/>
          <w:color w:val="365F91"/>
          <w:sz w:val="28"/>
          <w:szCs w:val="28"/>
        </w:rPr>
        <w:lastRenderedPageBreak/>
        <w:t>Capabilities for the role</w:t>
      </w:r>
    </w:p>
    <w:p w14:paraId="1C16E82A" w14:textId="03116C1C" w:rsidR="005209DC" w:rsidRDefault="005209DC" w:rsidP="005209DC">
      <w:pPr>
        <w:pStyle w:val="AHPRAbody"/>
      </w:pPr>
      <w:r w:rsidRPr="005209DC">
        <w:t>The A</w:t>
      </w:r>
      <w:r w:rsidR="0069109F">
        <w:t>hpra</w:t>
      </w:r>
      <w:r w:rsidRPr="005209DC">
        <w:t xml:space="preserve"> </w:t>
      </w:r>
      <w:hyperlink r:id="rId9" w:history="1">
        <w:r w:rsidRPr="00E36655">
          <w:rPr>
            <w:rStyle w:val="Hyperlink"/>
          </w:rPr>
          <w:t>Capability Framework</w:t>
        </w:r>
      </w:hyperlink>
      <w:r w:rsidRPr="005209DC">
        <w:t xml:space="preserve"> applies to all AHPRA employees. Below is the complete list of capabilities and proficiency level required for this position.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237"/>
        <w:gridCol w:w="2058"/>
      </w:tblGrid>
      <w:tr w:rsidR="00B81148" w:rsidRPr="00B81148" w14:paraId="1C16E82E" w14:textId="77777777" w:rsidTr="00E74E35">
        <w:trPr>
          <w:cantSplit/>
          <w:trHeight w:val="680"/>
        </w:trPr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2B" w14:textId="77777777" w:rsidR="00D02E3E" w:rsidRPr="00B81148" w:rsidRDefault="00D02E3E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48">
              <w:rPr>
                <w:rFonts w:ascii="Arial" w:hAnsi="Arial" w:cs="Arial"/>
                <w:b/>
                <w:bCs/>
                <w:sz w:val="20"/>
                <w:szCs w:val="20"/>
              </w:rPr>
              <w:t>Values</w:t>
            </w: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2C" w14:textId="77777777" w:rsidR="00D02E3E" w:rsidRPr="00B81148" w:rsidRDefault="00D02E3E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48">
              <w:rPr>
                <w:rFonts w:ascii="Arial" w:hAnsi="Arial" w:cs="Arial"/>
                <w:b/>
                <w:bCs/>
                <w:sz w:val="20"/>
                <w:szCs w:val="20"/>
              </w:rPr>
              <w:t>Capabilities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2D" w14:textId="77777777" w:rsidR="00D02E3E" w:rsidRPr="00B81148" w:rsidRDefault="00D02E3E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1148">
              <w:rPr>
                <w:rFonts w:ascii="Arial" w:hAnsi="Arial" w:cs="Arial"/>
                <w:b/>
                <w:sz w:val="20"/>
                <w:szCs w:val="20"/>
              </w:rPr>
              <w:t>Proficiency Leve</w:t>
            </w:r>
            <w:r w:rsidR="00C9485D" w:rsidRPr="00B81148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295972" w:rsidRPr="00B81148" w14:paraId="1C16E832" w14:textId="77777777" w:rsidTr="00E74E35">
        <w:trPr>
          <w:cantSplit/>
          <w:trHeight w:val="567"/>
        </w:trPr>
        <w:tc>
          <w:tcPr>
            <w:tcW w:w="837" w:type="pct"/>
            <w:vMerge w:val="restart"/>
            <w:shd w:val="clear" w:color="auto" w:fill="auto"/>
            <w:vAlign w:val="center"/>
          </w:tcPr>
          <w:p w14:paraId="1C16E82F" w14:textId="77777777" w:rsidR="00295972" w:rsidRPr="00B81148" w:rsidRDefault="00295972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4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Service</w:t>
            </w: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0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sz w:val="20"/>
                <w:szCs w:val="20"/>
              </w:rPr>
              <w:t>Commits to customer service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1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Elementary</w:t>
            </w:r>
          </w:p>
        </w:tc>
      </w:tr>
      <w:tr w:rsidR="00295972" w:rsidRPr="00B81148" w14:paraId="1C16E836" w14:textId="77777777" w:rsidTr="00E74E35">
        <w:trPr>
          <w:cantSplit/>
          <w:trHeight w:val="567"/>
        </w:trPr>
        <w:tc>
          <w:tcPr>
            <w:tcW w:w="837" w:type="pct"/>
            <w:vMerge/>
            <w:shd w:val="clear" w:color="auto" w:fill="auto"/>
            <w:vAlign w:val="center"/>
          </w:tcPr>
          <w:p w14:paraId="1C16E833" w14:textId="77777777" w:rsidR="00295972" w:rsidRPr="00B81148" w:rsidRDefault="00295972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4" w14:textId="77777777" w:rsidR="00295972" w:rsidRPr="00B81148" w:rsidRDefault="00295972" w:rsidP="00764890">
            <w:pPr>
              <w:spacing w:after="0"/>
              <w:rPr>
                <w:rFonts w:cs="Arial"/>
                <w:sz w:val="20"/>
                <w:szCs w:val="20"/>
              </w:rPr>
            </w:pPr>
            <w:r w:rsidRPr="00B81148">
              <w:rPr>
                <w:rFonts w:cs="Arial"/>
                <w:sz w:val="20"/>
                <w:szCs w:val="20"/>
              </w:rPr>
              <w:t>Displays leadership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5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Elementary</w:t>
            </w:r>
          </w:p>
        </w:tc>
      </w:tr>
      <w:tr w:rsidR="00295972" w:rsidRPr="00B81148" w14:paraId="1C16E83A" w14:textId="77777777" w:rsidTr="00E74E35">
        <w:trPr>
          <w:cantSplit/>
          <w:trHeight w:val="567"/>
        </w:trPr>
        <w:tc>
          <w:tcPr>
            <w:tcW w:w="837" w:type="pct"/>
            <w:vMerge/>
            <w:shd w:val="clear" w:color="auto" w:fill="auto"/>
            <w:vAlign w:val="center"/>
          </w:tcPr>
          <w:p w14:paraId="1C16E837" w14:textId="77777777" w:rsidR="00295972" w:rsidRPr="00B81148" w:rsidRDefault="00295972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8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sz w:val="20"/>
                <w:szCs w:val="20"/>
              </w:rPr>
              <w:t>Generates and delivers the strategic vision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9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Elementary</w:t>
            </w:r>
          </w:p>
        </w:tc>
      </w:tr>
      <w:tr w:rsidR="00295972" w:rsidRPr="00B81148" w14:paraId="1C16E83E" w14:textId="77777777" w:rsidTr="00E74E35">
        <w:trPr>
          <w:cantSplit/>
          <w:trHeight w:val="567"/>
        </w:trPr>
        <w:tc>
          <w:tcPr>
            <w:tcW w:w="8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B" w14:textId="77777777" w:rsidR="00295972" w:rsidRPr="00B81148" w:rsidRDefault="00295972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C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sz w:val="20"/>
                <w:szCs w:val="20"/>
              </w:rPr>
              <w:t>Demonstrates an awareness of the National Registration and Accreditation Scheme (the National Scheme) and the National Law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3D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Elementary</w:t>
            </w:r>
          </w:p>
        </w:tc>
      </w:tr>
      <w:tr w:rsidR="00295972" w:rsidRPr="00B81148" w14:paraId="1C16E842" w14:textId="77777777" w:rsidTr="00E74E35">
        <w:trPr>
          <w:cantSplit/>
          <w:trHeight w:val="567"/>
        </w:trPr>
        <w:tc>
          <w:tcPr>
            <w:tcW w:w="837" w:type="pct"/>
            <w:vMerge w:val="restart"/>
            <w:shd w:val="clear" w:color="auto" w:fill="auto"/>
            <w:vAlign w:val="center"/>
          </w:tcPr>
          <w:p w14:paraId="1C16E83F" w14:textId="77777777" w:rsidR="00295972" w:rsidRPr="00B81148" w:rsidRDefault="00295972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4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Collaboration</w:t>
            </w: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0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bCs/>
                <w:sz w:val="20"/>
                <w:szCs w:val="20"/>
              </w:rPr>
              <w:t>Builds constructive working relationships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1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Foundation</w:t>
            </w:r>
          </w:p>
        </w:tc>
      </w:tr>
      <w:tr w:rsidR="00295972" w:rsidRPr="00B81148" w14:paraId="1C16E846" w14:textId="77777777" w:rsidTr="00E74E35">
        <w:trPr>
          <w:cantSplit/>
          <w:trHeight w:val="567"/>
        </w:trPr>
        <w:tc>
          <w:tcPr>
            <w:tcW w:w="8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3" w14:textId="77777777" w:rsidR="00295972" w:rsidRPr="00B81148" w:rsidRDefault="00295972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4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sz w:val="20"/>
                <w:szCs w:val="20"/>
              </w:rPr>
              <w:t xml:space="preserve">Communicates </w:t>
            </w:r>
            <w:r w:rsidR="000573D3">
              <w:rPr>
                <w:rFonts w:ascii="Arial" w:hAnsi="Arial" w:cs="Arial"/>
                <w:sz w:val="20"/>
                <w:szCs w:val="20"/>
              </w:rPr>
              <w:t>effectively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5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Foundation</w:t>
            </w:r>
          </w:p>
        </w:tc>
      </w:tr>
      <w:tr w:rsidR="00295972" w:rsidRPr="00B81148" w14:paraId="1C16E84A" w14:textId="77777777" w:rsidTr="00E74E35">
        <w:trPr>
          <w:cantSplit/>
          <w:trHeight w:val="567"/>
        </w:trPr>
        <w:tc>
          <w:tcPr>
            <w:tcW w:w="837" w:type="pct"/>
            <w:vMerge w:val="restart"/>
            <w:shd w:val="clear" w:color="auto" w:fill="auto"/>
            <w:vAlign w:val="center"/>
          </w:tcPr>
          <w:p w14:paraId="1C16E847" w14:textId="77777777" w:rsidR="00295972" w:rsidRPr="00B81148" w:rsidRDefault="00295972" w:rsidP="00764890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4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Achievement</w:t>
            </w: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8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sz w:val="20"/>
                <w:szCs w:val="20"/>
              </w:rPr>
              <w:t>Demonstrates accountability in delivering results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9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Elementary</w:t>
            </w:r>
          </w:p>
        </w:tc>
      </w:tr>
      <w:tr w:rsidR="00295972" w:rsidRPr="00B81148" w14:paraId="1C16E84E" w14:textId="77777777" w:rsidTr="00E74E35">
        <w:trPr>
          <w:cantSplit/>
          <w:trHeight w:val="567"/>
        </w:trPr>
        <w:tc>
          <w:tcPr>
            <w:tcW w:w="837" w:type="pct"/>
            <w:vMerge/>
            <w:shd w:val="clear" w:color="auto" w:fill="auto"/>
            <w:vAlign w:val="center"/>
          </w:tcPr>
          <w:p w14:paraId="1C16E84B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C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sz w:val="20"/>
                <w:szCs w:val="20"/>
              </w:rPr>
              <w:t>Uses information and technology systems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D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Foundation</w:t>
            </w:r>
          </w:p>
        </w:tc>
      </w:tr>
      <w:tr w:rsidR="00295972" w:rsidRPr="00B81148" w14:paraId="1C16E852" w14:textId="77777777" w:rsidTr="00E74E35">
        <w:trPr>
          <w:cantSplit/>
          <w:trHeight w:val="567"/>
        </w:trPr>
        <w:tc>
          <w:tcPr>
            <w:tcW w:w="8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4F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50" w14:textId="77777777" w:rsidR="00295972" w:rsidRPr="00B81148" w:rsidRDefault="00295972" w:rsidP="0076489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148">
              <w:rPr>
                <w:rFonts w:ascii="Arial" w:hAnsi="Arial" w:cs="Arial"/>
                <w:bCs/>
                <w:sz w:val="20"/>
                <w:szCs w:val="20"/>
              </w:rPr>
              <w:t>Displays personal drive and integrity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E851" w14:textId="77777777" w:rsidR="00295972" w:rsidRPr="00295972" w:rsidRDefault="00295972" w:rsidP="00295972">
            <w:pPr>
              <w:spacing w:after="0"/>
              <w:jc w:val="center"/>
              <w:rPr>
                <w:sz w:val="20"/>
                <w:szCs w:val="20"/>
              </w:rPr>
            </w:pPr>
            <w:r w:rsidRPr="00295972">
              <w:rPr>
                <w:sz w:val="20"/>
                <w:szCs w:val="20"/>
              </w:rPr>
              <w:t>Foundation</w:t>
            </w:r>
          </w:p>
        </w:tc>
      </w:tr>
    </w:tbl>
    <w:p w14:paraId="1C16E853" w14:textId="77777777" w:rsidR="005B6E02" w:rsidRDefault="005B6E02" w:rsidP="005B6E02">
      <w:pPr>
        <w:spacing w:before="12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Qualifications/experience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4"/>
        <w:gridCol w:w="7239"/>
      </w:tblGrid>
      <w:tr w:rsidR="006971AB" w:rsidRPr="005C4B2A" w14:paraId="1C16E856" w14:textId="77777777" w:rsidTr="005443CC">
        <w:tc>
          <w:tcPr>
            <w:tcW w:w="1367" w:type="pct"/>
            <w:shd w:val="clear" w:color="auto" w:fill="D9D9D9" w:themeFill="background1" w:themeFillShade="D9"/>
          </w:tcPr>
          <w:p w14:paraId="1C16E854" w14:textId="77777777" w:rsidR="006971AB" w:rsidRPr="005C4B2A" w:rsidRDefault="006971AB" w:rsidP="0076489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C4B2A">
              <w:rPr>
                <w:rFonts w:cs="Arial"/>
                <w:b/>
                <w:bCs/>
                <w:sz w:val="20"/>
                <w:szCs w:val="20"/>
              </w:rPr>
              <w:t>Qualifications/Experience</w:t>
            </w:r>
          </w:p>
        </w:tc>
        <w:tc>
          <w:tcPr>
            <w:tcW w:w="3633" w:type="pct"/>
            <w:shd w:val="clear" w:color="auto" w:fill="D9D9D9" w:themeFill="background1" w:themeFillShade="D9"/>
          </w:tcPr>
          <w:p w14:paraId="1C16E855" w14:textId="77777777" w:rsidR="006971AB" w:rsidRPr="005C4B2A" w:rsidRDefault="006971AB" w:rsidP="0076489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C4B2A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</w:tr>
      <w:tr w:rsidR="006971AB" w:rsidRPr="005C4B2A" w14:paraId="1C16E859" w14:textId="77777777" w:rsidTr="005443CC">
        <w:tc>
          <w:tcPr>
            <w:tcW w:w="1367" w:type="pct"/>
          </w:tcPr>
          <w:p w14:paraId="1C16E857" w14:textId="77777777" w:rsidR="006971AB" w:rsidRPr="005C4B2A" w:rsidRDefault="006971AB" w:rsidP="00764890">
            <w:pPr>
              <w:spacing w:before="120" w:after="120"/>
              <w:rPr>
                <w:rFonts w:cs="Arial"/>
              </w:rPr>
            </w:pPr>
            <w:r w:rsidRPr="005C4B2A">
              <w:rPr>
                <w:rFonts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3633" w:type="pct"/>
          </w:tcPr>
          <w:p w14:paraId="1C16E858" w14:textId="77777777" w:rsidR="006971AB" w:rsidRPr="005C4B2A" w:rsidRDefault="00295972" w:rsidP="00E5136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95972">
              <w:rPr>
                <w:rFonts w:cs="Arial"/>
                <w:sz w:val="20"/>
                <w:szCs w:val="20"/>
              </w:rPr>
              <w:t xml:space="preserve">Certificate II in Business </w:t>
            </w:r>
            <w:r>
              <w:rPr>
                <w:rFonts w:cs="Arial"/>
                <w:sz w:val="20"/>
                <w:szCs w:val="20"/>
              </w:rPr>
              <w:t xml:space="preserve">Administration </w:t>
            </w:r>
            <w:r w:rsidR="00FA5D4F" w:rsidRPr="00FA5D4F">
              <w:rPr>
                <w:rFonts w:cs="Arial"/>
                <w:sz w:val="20"/>
                <w:szCs w:val="20"/>
              </w:rPr>
              <w:t>or equivalent and/or relevant experience.</w:t>
            </w:r>
          </w:p>
        </w:tc>
      </w:tr>
      <w:tr w:rsidR="005443CC" w:rsidRPr="005C4B2A" w14:paraId="1C16E863" w14:textId="77777777" w:rsidTr="005443CC">
        <w:tc>
          <w:tcPr>
            <w:tcW w:w="1367" w:type="pct"/>
            <w:vAlign w:val="center"/>
          </w:tcPr>
          <w:p w14:paraId="1C16E85A" w14:textId="77777777" w:rsidR="005443CC" w:rsidRPr="005C4B2A" w:rsidRDefault="005443CC" w:rsidP="005443CC">
            <w:pPr>
              <w:spacing w:before="120" w:after="120"/>
              <w:rPr>
                <w:rFonts w:cs="Arial"/>
              </w:rPr>
            </w:pPr>
            <w:r w:rsidRPr="005C4B2A">
              <w:rPr>
                <w:rFonts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33" w:type="pct"/>
          </w:tcPr>
          <w:p w14:paraId="1C16E85B" w14:textId="77777777" w:rsidR="005443CC" w:rsidRPr="000E6FD0" w:rsidRDefault="005443CC" w:rsidP="005443CC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ability to work within a complex administrative environment.</w:t>
            </w:r>
          </w:p>
          <w:p w14:paraId="1C16E85C" w14:textId="77777777" w:rsidR="005443CC" w:rsidRPr="000E6FD0" w:rsidRDefault="005443CC" w:rsidP="005443CC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experience using Microsoft Office applications for email, word processing, spreadsheets and data bases and an ability to learn and adapt to new systems.</w:t>
            </w:r>
          </w:p>
          <w:p w14:paraId="1C16E85D" w14:textId="77777777" w:rsidR="005220E9" w:rsidRPr="001008D7" w:rsidRDefault="005220E9" w:rsidP="005220E9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08D7">
              <w:rPr>
                <w:rFonts w:ascii="Arial" w:hAnsi="Arial" w:cs="Arial"/>
                <w:sz w:val="20"/>
                <w:szCs w:val="20"/>
              </w:rPr>
              <w:t>Demonstrated attention to detail and the ability to process data entry information with a high degree of accuracy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16E85E" w14:textId="77777777" w:rsidR="005443CC" w:rsidRPr="000E6FD0" w:rsidRDefault="005220E9" w:rsidP="005443CC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  <w:r w:rsidR="005443CC">
              <w:rPr>
                <w:rFonts w:ascii="Arial" w:hAnsi="Arial" w:cs="Arial"/>
                <w:sz w:val="20"/>
                <w:szCs w:val="20"/>
              </w:rPr>
              <w:t xml:space="preserve"> interpersonal, written and oral communication skills and experience in dealing with people at all levels.</w:t>
            </w:r>
          </w:p>
          <w:p w14:paraId="1C16E85F" w14:textId="77777777" w:rsidR="005443CC" w:rsidRPr="000E6FD0" w:rsidRDefault="005443CC" w:rsidP="005443CC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organisation skills including excellent time management skills plus the ability to prioritise workload in response to time critical targets.</w:t>
            </w:r>
          </w:p>
          <w:p w14:paraId="1C16E860" w14:textId="77777777" w:rsidR="005443CC" w:rsidRDefault="005443CC" w:rsidP="005443CC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independently as well as in a team environment to deliver assigned workload.</w:t>
            </w:r>
          </w:p>
          <w:p w14:paraId="1C16E861" w14:textId="77777777" w:rsidR="005443CC" w:rsidRPr="00CB0474" w:rsidRDefault="005443CC" w:rsidP="005443CC">
            <w:pPr>
              <w:spacing w:after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Ability to problem solve, </w:t>
            </w:r>
            <w:proofErr w:type="gramStart"/>
            <w:r>
              <w:rPr>
                <w:rFonts w:cs="Arial"/>
                <w:sz w:val="20"/>
                <w:szCs w:val="20"/>
              </w:rPr>
              <w:t>analyse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interpret information and established procedures.</w:t>
            </w:r>
            <w:r>
              <w:rPr>
                <w:rFonts w:ascii="Times New Roman" w:hAnsi="Times New Roman"/>
                <w:lang w:eastAsia="en-AU"/>
              </w:rPr>
              <w:t xml:space="preserve"> </w:t>
            </w:r>
          </w:p>
          <w:p w14:paraId="1C16E862" w14:textId="77777777" w:rsidR="005443CC" w:rsidRPr="005C4B2A" w:rsidRDefault="005443CC" w:rsidP="005443CC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08D7">
              <w:rPr>
                <w:rFonts w:ascii="Arial" w:hAnsi="Arial" w:cs="Arial"/>
                <w:sz w:val="20"/>
                <w:szCs w:val="20"/>
              </w:rPr>
              <w:t>Some experience in providing support across a range of administrative activities including but not limited to telephony, correspondence, document and file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C16E864" w14:textId="77777777" w:rsidR="006971AB" w:rsidRDefault="006971AB" w:rsidP="00764890">
      <w:pPr>
        <w:spacing w:before="120"/>
        <w:rPr>
          <w:rFonts w:cs="Arial"/>
          <w:b/>
          <w:color w:val="0070C0"/>
        </w:rPr>
      </w:pPr>
      <w:r w:rsidRPr="005C4B2A">
        <w:rPr>
          <w:rFonts w:cs="Arial"/>
          <w:b/>
          <w:color w:val="0070C0"/>
        </w:rPr>
        <w:lastRenderedPageBreak/>
        <w:t>Key relationships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3192"/>
      </w:tblGrid>
      <w:tr w:rsidR="00295972" w14:paraId="1C16E867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16E865" w14:textId="77777777" w:rsidR="00295972" w:rsidRDefault="00295972" w:rsidP="0020045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Internal Relationships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16E866" w14:textId="77777777" w:rsidR="00295972" w:rsidRDefault="00295972" w:rsidP="0020045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External Relationships</w:t>
            </w:r>
          </w:p>
        </w:tc>
      </w:tr>
      <w:tr w:rsidR="00295972" w14:paraId="1C16E86A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68" w14:textId="4E6D2E9C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Boards, State Boards</w:t>
            </w:r>
            <w:r w:rsidR="0069109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and their committees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6E869" w14:textId="77777777" w:rsidR="00203187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Applicants</w:t>
            </w:r>
          </w:p>
        </w:tc>
      </w:tr>
      <w:tr w:rsidR="00295972" w14:paraId="1C16E86D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6B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Manager</w:t>
            </w:r>
            <w:r w:rsidR="00E867A8">
              <w:rPr>
                <w:rFonts w:cs="Arial"/>
                <w:sz w:val="20"/>
                <w:szCs w:val="20"/>
              </w:rPr>
              <w:t>/s</w:t>
            </w:r>
            <w:r>
              <w:rPr>
                <w:rFonts w:cs="Arial"/>
                <w:sz w:val="20"/>
                <w:szCs w:val="20"/>
              </w:rPr>
              <w:t xml:space="preserve"> Registration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16E86C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95972" w14:paraId="1C16E870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6E" w14:textId="507D2C28" w:rsidR="00295972" w:rsidRDefault="008104EA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Officer, Exam Coordination and Operations (IQNM)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16E86F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95972" w14:paraId="1C16E873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71" w14:textId="77777777" w:rsidR="00295972" w:rsidRDefault="00CB0474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Officers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6E872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95972" w14:paraId="1C16E876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74" w14:textId="30063B64" w:rsidR="00295972" w:rsidRDefault="00CB0474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E21AC">
              <w:rPr>
                <w:rFonts w:cs="Arial"/>
                <w:sz w:val="20"/>
                <w:szCs w:val="20"/>
              </w:rPr>
              <w:t xml:space="preserve">Senior </w:t>
            </w:r>
            <w:r w:rsidR="008104EA">
              <w:rPr>
                <w:rFonts w:cs="Arial"/>
                <w:sz w:val="20"/>
                <w:szCs w:val="20"/>
              </w:rPr>
              <w:t>Project Officer, Exam Coordination</w:t>
            </w:r>
            <w:r w:rsidRPr="001E21AC">
              <w:rPr>
                <w:rFonts w:cs="Arial"/>
                <w:sz w:val="20"/>
                <w:szCs w:val="20"/>
              </w:rPr>
              <w:t xml:space="preserve"> (</w:t>
            </w:r>
            <w:r w:rsidR="00781A5A">
              <w:rPr>
                <w:rFonts w:cs="Arial"/>
                <w:sz w:val="20"/>
                <w:szCs w:val="20"/>
              </w:rPr>
              <w:t>Clinical Advisor)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6E875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95972" w14:paraId="1C16E879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77" w14:textId="77777777" w:rsidR="00295972" w:rsidRDefault="00CB0474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 Support Officer (Exams)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6E878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95972" w14:paraId="1C16E87C" w14:textId="77777777" w:rsidTr="00781A5A"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7A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 teams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E87B" w14:textId="77777777" w:rsidR="00295972" w:rsidRDefault="00295972" w:rsidP="0020045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1C16E87D" w14:textId="77777777" w:rsidR="00503CCF" w:rsidRPr="00C9485D" w:rsidRDefault="00503CCF" w:rsidP="00764890">
      <w:pPr>
        <w:rPr>
          <w:lang w:eastAsia="en-AU"/>
        </w:rPr>
      </w:pPr>
    </w:p>
    <w:sectPr w:rsidR="00503CCF" w:rsidRPr="00C9485D" w:rsidSect="00CA1215">
      <w:footerReference w:type="default" r:id="rId10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7EEB" w14:textId="77777777" w:rsidR="00064E0C" w:rsidRDefault="00064E0C" w:rsidP="00FC2881">
      <w:pPr>
        <w:spacing w:after="0"/>
      </w:pPr>
      <w:r>
        <w:separator/>
      </w:r>
    </w:p>
    <w:p w14:paraId="4EB4FB06" w14:textId="77777777" w:rsidR="00064E0C" w:rsidRDefault="00064E0C"/>
  </w:endnote>
  <w:endnote w:type="continuationSeparator" w:id="0">
    <w:p w14:paraId="2B7AFBE2" w14:textId="77777777" w:rsidR="00064E0C" w:rsidRDefault="00064E0C" w:rsidP="00FC2881">
      <w:pPr>
        <w:spacing w:after="0"/>
      </w:pPr>
      <w:r>
        <w:continuationSeparator/>
      </w:r>
    </w:p>
    <w:p w14:paraId="281DCA78" w14:textId="77777777" w:rsidR="00064E0C" w:rsidRDefault="0006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oney Light">
    <w:altName w:val="Rooney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E886" w14:textId="77777777" w:rsidR="00D55208" w:rsidRPr="00C23EFD" w:rsidRDefault="00D55208" w:rsidP="00AD3930">
    <w:pPr>
      <w:pStyle w:val="AHPRAfooter"/>
      <w:rPr>
        <w:szCs w:val="18"/>
      </w:rPr>
    </w:pPr>
    <w:r w:rsidRPr="00C23EFD">
      <w:rPr>
        <w:szCs w:val="18"/>
      </w:rPr>
      <w:t>Regulatory Assistant – Registration (Exams)</w:t>
    </w:r>
    <w:r>
      <w:rPr>
        <w:szCs w:val="18"/>
      </w:rPr>
      <w:t xml:space="preserve"> L2</w:t>
    </w:r>
    <w:r w:rsidRPr="00C23EFD">
      <w:rPr>
        <w:szCs w:val="18"/>
      </w:rPr>
      <w:tab/>
    </w:r>
    <w:r w:rsidRPr="00C23EFD">
      <w:rPr>
        <w:szCs w:val="18"/>
      </w:rPr>
      <w:tab/>
    </w:r>
    <w:r>
      <w:rPr>
        <w:szCs w:val="18"/>
      </w:rPr>
      <w:tab/>
    </w:r>
    <w:r w:rsidRPr="00C23EFD">
      <w:rPr>
        <w:szCs w:val="18"/>
      </w:rPr>
      <w:tab/>
    </w:r>
    <w:r w:rsidRPr="00C23EFD">
      <w:rPr>
        <w:szCs w:val="18"/>
      </w:rPr>
      <w:tab/>
    </w:r>
    <w:r w:rsidRPr="00C23EFD">
      <w:rPr>
        <w:szCs w:val="18"/>
      </w:rPr>
      <w:tab/>
    </w:r>
    <w:r w:rsidRPr="00C23EFD">
      <w:rPr>
        <w:szCs w:val="18"/>
      </w:rPr>
      <w:tab/>
    </w:r>
    <w:sdt>
      <w:sdtPr>
        <w:rPr>
          <w:szCs w:val="18"/>
        </w:rPr>
        <w:id w:val="798419310"/>
        <w:docPartObj>
          <w:docPartGallery w:val="Page Numbers (Top of Page)"/>
          <w:docPartUnique/>
        </w:docPartObj>
      </w:sdtPr>
      <w:sdtContent>
        <w:r w:rsidRPr="00C23EFD">
          <w:rPr>
            <w:szCs w:val="18"/>
          </w:rPr>
          <w:t xml:space="preserve">Page </w:t>
        </w:r>
        <w:r w:rsidRPr="00C23EFD">
          <w:rPr>
            <w:szCs w:val="18"/>
          </w:rPr>
          <w:fldChar w:fldCharType="begin"/>
        </w:r>
        <w:r w:rsidRPr="00C23EFD">
          <w:rPr>
            <w:szCs w:val="18"/>
          </w:rPr>
          <w:instrText xml:space="preserve"> PAGE </w:instrText>
        </w:r>
        <w:r w:rsidRPr="00C23EFD">
          <w:rPr>
            <w:szCs w:val="18"/>
          </w:rPr>
          <w:fldChar w:fldCharType="separate"/>
        </w:r>
        <w:r w:rsidR="0056443E">
          <w:rPr>
            <w:noProof/>
            <w:szCs w:val="18"/>
          </w:rPr>
          <w:t>3</w:t>
        </w:r>
        <w:r w:rsidRPr="00C23EFD">
          <w:rPr>
            <w:noProof/>
            <w:szCs w:val="18"/>
          </w:rPr>
          <w:fldChar w:fldCharType="end"/>
        </w:r>
        <w:r w:rsidRPr="00C23EFD">
          <w:rPr>
            <w:szCs w:val="18"/>
          </w:rPr>
          <w:t xml:space="preserve"> of </w:t>
        </w:r>
        <w:r w:rsidRPr="00C23EFD">
          <w:rPr>
            <w:szCs w:val="18"/>
          </w:rPr>
          <w:fldChar w:fldCharType="begin"/>
        </w:r>
        <w:r w:rsidRPr="00C23EFD">
          <w:rPr>
            <w:szCs w:val="18"/>
          </w:rPr>
          <w:instrText xml:space="preserve"> NUMPAGES  </w:instrText>
        </w:r>
        <w:r w:rsidRPr="00C23EFD">
          <w:rPr>
            <w:szCs w:val="18"/>
          </w:rPr>
          <w:fldChar w:fldCharType="separate"/>
        </w:r>
        <w:r w:rsidR="0056443E">
          <w:rPr>
            <w:noProof/>
            <w:szCs w:val="18"/>
          </w:rPr>
          <w:t>3</w:t>
        </w:r>
        <w:r w:rsidRPr="00C23EFD">
          <w:rPr>
            <w:noProof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670" w14:textId="77777777" w:rsidR="00064E0C" w:rsidRDefault="00064E0C" w:rsidP="000E7E28">
      <w:pPr>
        <w:spacing w:after="0"/>
      </w:pPr>
      <w:r>
        <w:separator/>
      </w:r>
    </w:p>
  </w:footnote>
  <w:footnote w:type="continuationSeparator" w:id="0">
    <w:p w14:paraId="3D3C1EFE" w14:textId="77777777" w:rsidR="00064E0C" w:rsidRDefault="00064E0C" w:rsidP="00FC2881">
      <w:pPr>
        <w:spacing w:after="0"/>
      </w:pPr>
      <w:r>
        <w:continuationSeparator/>
      </w:r>
    </w:p>
    <w:p w14:paraId="467DBE5B" w14:textId="77777777" w:rsidR="00064E0C" w:rsidRDefault="00064E0C"/>
  </w:footnote>
  <w:footnote w:type="continuationNotice" w:id="1">
    <w:p w14:paraId="50B5548E" w14:textId="77777777" w:rsidR="00064E0C" w:rsidRDefault="00064E0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9C"/>
    <w:multiLevelType w:val="hybridMultilevel"/>
    <w:tmpl w:val="DDD4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1275"/>
    <w:multiLevelType w:val="hybridMultilevel"/>
    <w:tmpl w:val="6DFC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9CE"/>
    <w:multiLevelType w:val="hybridMultilevel"/>
    <w:tmpl w:val="6E78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171129B1"/>
    <w:multiLevelType w:val="hybridMultilevel"/>
    <w:tmpl w:val="65A85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44528"/>
    <w:multiLevelType w:val="hybridMultilevel"/>
    <w:tmpl w:val="956E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2AD0"/>
    <w:multiLevelType w:val="hybridMultilevel"/>
    <w:tmpl w:val="B100BAF2"/>
    <w:lvl w:ilvl="0" w:tplc="5EFAF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22068"/>
    <w:multiLevelType w:val="hybridMultilevel"/>
    <w:tmpl w:val="E1BE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51432"/>
    <w:multiLevelType w:val="hybridMultilevel"/>
    <w:tmpl w:val="122A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66CE"/>
    <w:multiLevelType w:val="hybridMultilevel"/>
    <w:tmpl w:val="382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CCFF6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2DDF"/>
    <w:multiLevelType w:val="hybridMultilevel"/>
    <w:tmpl w:val="0296A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27E9"/>
    <w:multiLevelType w:val="hybridMultilevel"/>
    <w:tmpl w:val="7D86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73AC"/>
    <w:multiLevelType w:val="hybridMultilevel"/>
    <w:tmpl w:val="844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66B67"/>
    <w:multiLevelType w:val="hybridMultilevel"/>
    <w:tmpl w:val="BDC25A14"/>
    <w:lvl w:ilvl="0" w:tplc="1E24D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7762D"/>
    <w:multiLevelType w:val="hybridMultilevel"/>
    <w:tmpl w:val="E26C0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167FB"/>
    <w:multiLevelType w:val="hybridMultilevel"/>
    <w:tmpl w:val="97E8113E"/>
    <w:lvl w:ilvl="0" w:tplc="1E24D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37FD"/>
    <w:multiLevelType w:val="hybridMultilevel"/>
    <w:tmpl w:val="5C24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25D7"/>
    <w:multiLevelType w:val="hybridMultilevel"/>
    <w:tmpl w:val="BB264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80C82"/>
    <w:multiLevelType w:val="hybridMultilevel"/>
    <w:tmpl w:val="F9B2B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42F7C"/>
    <w:multiLevelType w:val="hybridMultilevel"/>
    <w:tmpl w:val="98F22380"/>
    <w:lvl w:ilvl="0" w:tplc="64440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5E3AC9"/>
    <w:multiLevelType w:val="hybridMultilevel"/>
    <w:tmpl w:val="FB80E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8B74A5"/>
    <w:multiLevelType w:val="hybridMultilevel"/>
    <w:tmpl w:val="435EF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04BC5"/>
    <w:multiLevelType w:val="hybridMultilevel"/>
    <w:tmpl w:val="37C88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6978"/>
    <w:multiLevelType w:val="hybridMultilevel"/>
    <w:tmpl w:val="810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962FB"/>
    <w:multiLevelType w:val="hybridMultilevel"/>
    <w:tmpl w:val="B3509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13DEE"/>
    <w:multiLevelType w:val="hybridMultilevel"/>
    <w:tmpl w:val="4002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C75766"/>
    <w:multiLevelType w:val="hybridMultilevel"/>
    <w:tmpl w:val="64E65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490"/>
    <w:multiLevelType w:val="hybridMultilevel"/>
    <w:tmpl w:val="8B98B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297ED7"/>
    <w:multiLevelType w:val="hybridMultilevel"/>
    <w:tmpl w:val="C3985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009A0"/>
    <w:multiLevelType w:val="hybridMultilevel"/>
    <w:tmpl w:val="F3B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31660"/>
    <w:multiLevelType w:val="multilevel"/>
    <w:tmpl w:val="C4183F12"/>
    <w:numStyleLink w:val="AHPRANumberedlist"/>
  </w:abstractNum>
  <w:num w:numId="1" w16cid:durableId="856037385">
    <w:abstractNumId w:val="29"/>
  </w:num>
  <w:num w:numId="2" w16cid:durableId="1372684196">
    <w:abstractNumId w:val="14"/>
  </w:num>
  <w:num w:numId="3" w16cid:durableId="188564002">
    <w:abstractNumId w:val="3"/>
  </w:num>
  <w:num w:numId="4" w16cid:durableId="1103644090">
    <w:abstractNumId w:val="5"/>
  </w:num>
  <w:num w:numId="5" w16cid:durableId="802117891">
    <w:abstractNumId w:val="33"/>
  </w:num>
  <w:num w:numId="6" w16cid:durableId="566306691">
    <w:abstractNumId w:val="4"/>
  </w:num>
  <w:num w:numId="7" w16cid:durableId="899174842">
    <w:abstractNumId w:val="35"/>
  </w:num>
  <w:num w:numId="8" w16cid:durableId="1478768179">
    <w:abstractNumId w:val="2"/>
  </w:num>
  <w:num w:numId="9" w16cid:durableId="619748">
    <w:abstractNumId w:val="32"/>
  </w:num>
  <w:num w:numId="10" w16cid:durableId="2006661869">
    <w:abstractNumId w:val="17"/>
  </w:num>
  <w:num w:numId="11" w16cid:durableId="1741437201">
    <w:abstractNumId w:val="6"/>
  </w:num>
  <w:num w:numId="12" w16cid:durableId="1046294489">
    <w:abstractNumId w:val="11"/>
  </w:num>
  <w:num w:numId="13" w16cid:durableId="1131481295">
    <w:abstractNumId w:val="19"/>
  </w:num>
  <w:num w:numId="14" w16cid:durableId="89352840">
    <w:abstractNumId w:val="10"/>
  </w:num>
  <w:num w:numId="15" w16cid:durableId="485708800">
    <w:abstractNumId w:val="15"/>
  </w:num>
  <w:num w:numId="16" w16cid:durableId="872419008">
    <w:abstractNumId w:val="9"/>
  </w:num>
  <w:num w:numId="17" w16cid:durableId="325741403">
    <w:abstractNumId w:val="13"/>
  </w:num>
  <w:num w:numId="18" w16cid:durableId="135074564">
    <w:abstractNumId w:val="26"/>
  </w:num>
  <w:num w:numId="19" w16cid:durableId="1513758851">
    <w:abstractNumId w:val="1"/>
  </w:num>
  <w:num w:numId="20" w16cid:durableId="1841776737">
    <w:abstractNumId w:val="23"/>
  </w:num>
  <w:num w:numId="21" w16cid:durableId="320889934">
    <w:abstractNumId w:val="16"/>
  </w:num>
  <w:num w:numId="22" w16cid:durableId="946086928">
    <w:abstractNumId w:val="34"/>
  </w:num>
  <w:num w:numId="23" w16cid:durableId="1512914526">
    <w:abstractNumId w:val="8"/>
  </w:num>
  <w:num w:numId="24" w16cid:durableId="1854342300">
    <w:abstractNumId w:val="28"/>
  </w:num>
  <w:num w:numId="25" w16cid:durableId="917324817">
    <w:abstractNumId w:val="0"/>
  </w:num>
  <w:num w:numId="26" w16cid:durableId="1242450984">
    <w:abstractNumId w:val="18"/>
  </w:num>
  <w:num w:numId="27" w16cid:durableId="345718045">
    <w:abstractNumId w:val="7"/>
  </w:num>
  <w:num w:numId="28" w16cid:durableId="521017028">
    <w:abstractNumId w:val="12"/>
  </w:num>
  <w:num w:numId="29" w16cid:durableId="218903817">
    <w:abstractNumId w:val="24"/>
  </w:num>
  <w:num w:numId="30" w16cid:durableId="608270821">
    <w:abstractNumId w:val="22"/>
  </w:num>
  <w:num w:numId="31" w16cid:durableId="816461138">
    <w:abstractNumId w:val="31"/>
  </w:num>
  <w:num w:numId="32" w16cid:durableId="841167437">
    <w:abstractNumId w:val="20"/>
  </w:num>
  <w:num w:numId="33" w16cid:durableId="605038517">
    <w:abstractNumId w:val="30"/>
  </w:num>
  <w:num w:numId="34" w16cid:durableId="1735883578">
    <w:abstractNumId w:val="25"/>
  </w:num>
  <w:num w:numId="35" w16cid:durableId="1488282856">
    <w:abstractNumId w:val="21"/>
  </w:num>
  <w:num w:numId="36" w16cid:durableId="12866932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4C"/>
    <w:rsid w:val="00000033"/>
    <w:rsid w:val="00006922"/>
    <w:rsid w:val="00013EE7"/>
    <w:rsid w:val="0002388E"/>
    <w:rsid w:val="00024E26"/>
    <w:rsid w:val="000334D7"/>
    <w:rsid w:val="00044BE4"/>
    <w:rsid w:val="0005012C"/>
    <w:rsid w:val="000529FC"/>
    <w:rsid w:val="00054220"/>
    <w:rsid w:val="000573D3"/>
    <w:rsid w:val="00063749"/>
    <w:rsid w:val="00064813"/>
    <w:rsid w:val="00064E0C"/>
    <w:rsid w:val="00071439"/>
    <w:rsid w:val="00074B91"/>
    <w:rsid w:val="00077B80"/>
    <w:rsid w:val="00085464"/>
    <w:rsid w:val="00092A19"/>
    <w:rsid w:val="000932E1"/>
    <w:rsid w:val="000945FB"/>
    <w:rsid w:val="00097CC5"/>
    <w:rsid w:val="00097F07"/>
    <w:rsid w:val="000A5D35"/>
    <w:rsid w:val="000A6BF7"/>
    <w:rsid w:val="000C7A2E"/>
    <w:rsid w:val="000D18CC"/>
    <w:rsid w:val="000D5074"/>
    <w:rsid w:val="000E1BD2"/>
    <w:rsid w:val="000E2D9D"/>
    <w:rsid w:val="000E7E28"/>
    <w:rsid w:val="000F5D90"/>
    <w:rsid w:val="0010139F"/>
    <w:rsid w:val="00107032"/>
    <w:rsid w:val="001318BE"/>
    <w:rsid w:val="00144DEF"/>
    <w:rsid w:val="00145E9F"/>
    <w:rsid w:val="001506FE"/>
    <w:rsid w:val="00161A15"/>
    <w:rsid w:val="001718D3"/>
    <w:rsid w:val="00173EFC"/>
    <w:rsid w:val="001756E8"/>
    <w:rsid w:val="001762F6"/>
    <w:rsid w:val="001803BB"/>
    <w:rsid w:val="00184BFD"/>
    <w:rsid w:val="00185F4E"/>
    <w:rsid w:val="001869A0"/>
    <w:rsid w:val="0018721D"/>
    <w:rsid w:val="0019155E"/>
    <w:rsid w:val="0019456A"/>
    <w:rsid w:val="00194D09"/>
    <w:rsid w:val="0019623F"/>
    <w:rsid w:val="00196F14"/>
    <w:rsid w:val="001A4A30"/>
    <w:rsid w:val="001B359C"/>
    <w:rsid w:val="001B6D75"/>
    <w:rsid w:val="001C3CAE"/>
    <w:rsid w:val="001C425C"/>
    <w:rsid w:val="001D3A11"/>
    <w:rsid w:val="001D7D38"/>
    <w:rsid w:val="001E1E31"/>
    <w:rsid w:val="001E2849"/>
    <w:rsid w:val="001E4A94"/>
    <w:rsid w:val="001E4CC9"/>
    <w:rsid w:val="001E5621"/>
    <w:rsid w:val="00200453"/>
    <w:rsid w:val="00203187"/>
    <w:rsid w:val="00210A5C"/>
    <w:rsid w:val="00220A3B"/>
    <w:rsid w:val="00224708"/>
    <w:rsid w:val="00231AE6"/>
    <w:rsid w:val="002338E2"/>
    <w:rsid w:val="00242939"/>
    <w:rsid w:val="002434BD"/>
    <w:rsid w:val="002504D0"/>
    <w:rsid w:val="0025180C"/>
    <w:rsid w:val="00256441"/>
    <w:rsid w:val="00272F16"/>
    <w:rsid w:val="0028013F"/>
    <w:rsid w:val="002872BD"/>
    <w:rsid w:val="00295972"/>
    <w:rsid w:val="00295B44"/>
    <w:rsid w:val="002971F0"/>
    <w:rsid w:val="00297251"/>
    <w:rsid w:val="002A199C"/>
    <w:rsid w:val="002A5231"/>
    <w:rsid w:val="002B0C3E"/>
    <w:rsid w:val="002B2D48"/>
    <w:rsid w:val="002C08FB"/>
    <w:rsid w:val="002C34EA"/>
    <w:rsid w:val="002D1847"/>
    <w:rsid w:val="002E0A34"/>
    <w:rsid w:val="002E70A8"/>
    <w:rsid w:val="00302AFC"/>
    <w:rsid w:val="00303BE1"/>
    <w:rsid w:val="00305AFC"/>
    <w:rsid w:val="00312EF7"/>
    <w:rsid w:val="00312F5C"/>
    <w:rsid w:val="00312FC7"/>
    <w:rsid w:val="00313B40"/>
    <w:rsid w:val="00314D7B"/>
    <w:rsid w:val="00322228"/>
    <w:rsid w:val="00326080"/>
    <w:rsid w:val="003354E4"/>
    <w:rsid w:val="00365777"/>
    <w:rsid w:val="00366F7E"/>
    <w:rsid w:val="003755FD"/>
    <w:rsid w:val="003802E1"/>
    <w:rsid w:val="00385AD8"/>
    <w:rsid w:val="00393516"/>
    <w:rsid w:val="003A0532"/>
    <w:rsid w:val="003A5C0E"/>
    <w:rsid w:val="003B6F1F"/>
    <w:rsid w:val="003C250A"/>
    <w:rsid w:val="003C4AA6"/>
    <w:rsid w:val="003C4F82"/>
    <w:rsid w:val="003D6DBD"/>
    <w:rsid w:val="003E00B5"/>
    <w:rsid w:val="003E156A"/>
    <w:rsid w:val="003E1D09"/>
    <w:rsid w:val="003E3268"/>
    <w:rsid w:val="003E739F"/>
    <w:rsid w:val="003F16DB"/>
    <w:rsid w:val="003F2F06"/>
    <w:rsid w:val="00402ABE"/>
    <w:rsid w:val="004046BC"/>
    <w:rsid w:val="00405C0A"/>
    <w:rsid w:val="00410FEB"/>
    <w:rsid w:val="00414F2C"/>
    <w:rsid w:val="00422AA6"/>
    <w:rsid w:val="004259BC"/>
    <w:rsid w:val="004359B6"/>
    <w:rsid w:val="00436881"/>
    <w:rsid w:val="004379A1"/>
    <w:rsid w:val="0044055B"/>
    <w:rsid w:val="00450B34"/>
    <w:rsid w:val="004606A7"/>
    <w:rsid w:val="00463CF7"/>
    <w:rsid w:val="00465F8C"/>
    <w:rsid w:val="004661FF"/>
    <w:rsid w:val="00466891"/>
    <w:rsid w:val="0048434B"/>
    <w:rsid w:val="00497AD6"/>
    <w:rsid w:val="004A1D0B"/>
    <w:rsid w:val="004A5E5D"/>
    <w:rsid w:val="004B1D1A"/>
    <w:rsid w:val="004B438E"/>
    <w:rsid w:val="004B747B"/>
    <w:rsid w:val="004B7863"/>
    <w:rsid w:val="004C404C"/>
    <w:rsid w:val="004C7644"/>
    <w:rsid w:val="004D209B"/>
    <w:rsid w:val="004D7537"/>
    <w:rsid w:val="004E3A15"/>
    <w:rsid w:val="004E654C"/>
    <w:rsid w:val="004F1527"/>
    <w:rsid w:val="004F51C6"/>
    <w:rsid w:val="004F5C05"/>
    <w:rsid w:val="0050222E"/>
    <w:rsid w:val="00503CCF"/>
    <w:rsid w:val="00504E4E"/>
    <w:rsid w:val="00516EF2"/>
    <w:rsid w:val="005209DC"/>
    <w:rsid w:val="005220E9"/>
    <w:rsid w:val="0052315A"/>
    <w:rsid w:val="0053538B"/>
    <w:rsid w:val="0053749F"/>
    <w:rsid w:val="005443CC"/>
    <w:rsid w:val="00544C45"/>
    <w:rsid w:val="00546B56"/>
    <w:rsid w:val="005510EB"/>
    <w:rsid w:val="00552210"/>
    <w:rsid w:val="00552A34"/>
    <w:rsid w:val="00553A4C"/>
    <w:rsid w:val="00554335"/>
    <w:rsid w:val="00556147"/>
    <w:rsid w:val="005565CE"/>
    <w:rsid w:val="0056443E"/>
    <w:rsid w:val="00565511"/>
    <w:rsid w:val="005708AE"/>
    <w:rsid w:val="00572764"/>
    <w:rsid w:val="00582448"/>
    <w:rsid w:val="005827F2"/>
    <w:rsid w:val="005836C1"/>
    <w:rsid w:val="00586459"/>
    <w:rsid w:val="005876E4"/>
    <w:rsid w:val="005A0FA9"/>
    <w:rsid w:val="005A1126"/>
    <w:rsid w:val="005A6178"/>
    <w:rsid w:val="005A7B09"/>
    <w:rsid w:val="005B6E02"/>
    <w:rsid w:val="005C0D96"/>
    <w:rsid w:val="005C1068"/>
    <w:rsid w:val="005C4AC1"/>
    <w:rsid w:val="005C5932"/>
    <w:rsid w:val="005C6817"/>
    <w:rsid w:val="005E74A1"/>
    <w:rsid w:val="00606122"/>
    <w:rsid w:val="00616043"/>
    <w:rsid w:val="006246B7"/>
    <w:rsid w:val="006321B0"/>
    <w:rsid w:val="00634EA4"/>
    <w:rsid w:val="00635E42"/>
    <w:rsid w:val="00640B2C"/>
    <w:rsid w:val="00646A1C"/>
    <w:rsid w:val="00650F6D"/>
    <w:rsid w:val="00654ABC"/>
    <w:rsid w:val="00667CAD"/>
    <w:rsid w:val="00670F48"/>
    <w:rsid w:val="00672A98"/>
    <w:rsid w:val="006807F0"/>
    <w:rsid w:val="00681D5E"/>
    <w:rsid w:val="00682F8A"/>
    <w:rsid w:val="00683659"/>
    <w:rsid w:val="00683E30"/>
    <w:rsid w:val="00684AD7"/>
    <w:rsid w:val="00690003"/>
    <w:rsid w:val="0069109F"/>
    <w:rsid w:val="00692A87"/>
    <w:rsid w:val="006971AB"/>
    <w:rsid w:val="0069726B"/>
    <w:rsid w:val="006B01AA"/>
    <w:rsid w:val="006B7D2B"/>
    <w:rsid w:val="006C0257"/>
    <w:rsid w:val="006C0E29"/>
    <w:rsid w:val="006C24A6"/>
    <w:rsid w:val="006D0A84"/>
    <w:rsid w:val="006D30FE"/>
    <w:rsid w:val="006D3757"/>
    <w:rsid w:val="006D45FD"/>
    <w:rsid w:val="006D6D35"/>
    <w:rsid w:val="006D6ED7"/>
    <w:rsid w:val="006F0301"/>
    <w:rsid w:val="006F585B"/>
    <w:rsid w:val="006F7348"/>
    <w:rsid w:val="006F796D"/>
    <w:rsid w:val="00700C34"/>
    <w:rsid w:val="0070155F"/>
    <w:rsid w:val="00706DD6"/>
    <w:rsid w:val="007075EF"/>
    <w:rsid w:val="00711E32"/>
    <w:rsid w:val="00722543"/>
    <w:rsid w:val="00726272"/>
    <w:rsid w:val="00731987"/>
    <w:rsid w:val="00732BCF"/>
    <w:rsid w:val="007372A4"/>
    <w:rsid w:val="00741617"/>
    <w:rsid w:val="00741B04"/>
    <w:rsid w:val="00741B27"/>
    <w:rsid w:val="00746BB4"/>
    <w:rsid w:val="0075095F"/>
    <w:rsid w:val="00752413"/>
    <w:rsid w:val="0075375D"/>
    <w:rsid w:val="0076115C"/>
    <w:rsid w:val="00764890"/>
    <w:rsid w:val="007664F3"/>
    <w:rsid w:val="00775EB1"/>
    <w:rsid w:val="00776C74"/>
    <w:rsid w:val="00777B9E"/>
    <w:rsid w:val="007801EE"/>
    <w:rsid w:val="007817B5"/>
    <w:rsid w:val="00781A5A"/>
    <w:rsid w:val="007844CE"/>
    <w:rsid w:val="00785C94"/>
    <w:rsid w:val="0079197C"/>
    <w:rsid w:val="00795039"/>
    <w:rsid w:val="00795139"/>
    <w:rsid w:val="007A2357"/>
    <w:rsid w:val="007A35B9"/>
    <w:rsid w:val="007A6DAE"/>
    <w:rsid w:val="007A7173"/>
    <w:rsid w:val="007B0ABD"/>
    <w:rsid w:val="007B3AEE"/>
    <w:rsid w:val="007B77D6"/>
    <w:rsid w:val="007C0B6E"/>
    <w:rsid w:val="007D25DB"/>
    <w:rsid w:val="007D4836"/>
    <w:rsid w:val="007E2C84"/>
    <w:rsid w:val="007E3545"/>
    <w:rsid w:val="007F0095"/>
    <w:rsid w:val="007F6B90"/>
    <w:rsid w:val="00804E70"/>
    <w:rsid w:val="008069A4"/>
    <w:rsid w:val="0080756E"/>
    <w:rsid w:val="008104EA"/>
    <w:rsid w:val="00812C33"/>
    <w:rsid w:val="008245E1"/>
    <w:rsid w:val="00825643"/>
    <w:rsid w:val="00833009"/>
    <w:rsid w:val="008338F7"/>
    <w:rsid w:val="00836397"/>
    <w:rsid w:val="00843E68"/>
    <w:rsid w:val="00845054"/>
    <w:rsid w:val="00852D1C"/>
    <w:rsid w:val="00852EB7"/>
    <w:rsid w:val="00856147"/>
    <w:rsid w:val="00860F40"/>
    <w:rsid w:val="008615C9"/>
    <w:rsid w:val="00864020"/>
    <w:rsid w:val="00864665"/>
    <w:rsid w:val="00884F48"/>
    <w:rsid w:val="008909F4"/>
    <w:rsid w:val="0089390F"/>
    <w:rsid w:val="0089700C"/>
    <w:rsid w:val="008979D5"/>
    <w:rsid w:val="008A453D"/>
    <w:rsid w:val="008A4C3B"/>
    <w:rsid w:val="008B24FB"/>
    <w:rsid w:val="008B2AD7"/>
    <w:rsid w:val="008C4F54"/>
    <w:rsid w:val="008C7EE7"/>
    <w:rsid w:val="008D6B7E"/>
    <w:rsid w:val="008D7845"/>
    <w:rsid w:val="008F2278"/>
    <w:rsid w:val="009031EA"/>
    <w:rsid w:val="00905562"/>
    <w:rsid w:val="00912B3B"/>
    <w:rsid w:val="00922398"/>
    <w:rsid w:val="00923B23"/>
    <w:rsid w:val="0093060C"/>
    <w:rsid w:val="00932757"/>
    <w:rsid w:val="00937ED0"/>
    <w:rsid w:val="00941CE0"/>
    <w:rsid w:val="009450F5"/>
    <w:rsid w:val="00952797"/>
    <w:rsid w:val="0095280A"/>
    <w:rsid w:val="009561D4"/>
    <w:rsid w:val="00961A9A"/>
    <w:rsid w:val="00961ECA"/>
    <w:rsid w:val="00963190"/>
    <w:rsid w:val="00975EBA"/>
    <w:rsid w:val="009777D3"/>
    <w:rsid w:val="009859E6"/>
    <w:rsid w:val="00997ACF"/>
    <w:rsid w:val="009A0A5D"/>
    <w:rsid w:val="009B5927"/>
    <w:rsid w:val="009B5C06"/>
    <w:rsid w:val="009C6933"/>
    <w:rsid w:val="009D566B"/>
    <w:rsid w:val="00A01555"/>
    <w:rsid w:val="00A02123"/>
    <w:rsid w:val="00A04C7A"/>
    <w:rsid w:val="00A058E5"/>
    <w:rsid w:val="00A068F3"/>
    <w:rsid w:val="00A10C1A"/>
    <w:rsid w:val="00A1791B"/>
    <w:rsid w:val="00A2072E"/>
    <w:rsid w:val="00A237BB"/>
    <w:rsid w:val="00A30950"/>
    <w:rsid w:val="00A458ED"/>
    <w:rsid w:val="00A47903"/>
    <w:rsid w:val="00A509AB"/>
    <w:rsid w:val="00A52619"/>
    <w:rsid w:val="00A82078"/>
    <w:rsid w:val="00A838C8"/>
    <w:rsid w:val="00A91C42"/>
    <w:rsid w:val="00A9516B"/>
    <w:rsid w:val="00A9780A"/>
    <w:rsid w:val="00AA00AF"/>
    <w:rsid w:val="00AA1471"/>
    <w:rsid w:val="00AA2FC9"/>
    <w:rsid w:val="00AA78BA"/>
    <w:rsid w:val="00AA7A1F"/>
    <w:rsid w:val="00AB283D"/>
    <w:rsid w:val="00AD312E"/>
    <w:rsid w:val="00AD3930"/>
    <w:rsid w:val="00AE16F9"/>
    <w:rsid w:val="00AE3EAF"/>
    <w:rsid w:val="00AE4690"/>
    <w:rsid w:val="00AF57FE"/>
    <w:rsid w:val="00AF68D8"/>
    <w:rsid w:val="00B0138C"/>
    <w:rsid w:val="00B024B0"/>
    <w:rsid w:val="00B1083A"/>
    <w:rsid w:val="00B127EC"/>
    <w:rsid w:val="00B34EDA"/>
    <w:rsid w:val="00B434AA"/>
    <w:rsid w:val="00B51748"/>
    <w:rsid w:val="00B57198"/>
    <w:rsid w:val="00B713B8"/>
    <w:rsid w:val="00B81148"/>
    <w:rsid w:val="00B85023"/>
    <w:rsid w:val="00BA2456"/>
    <w:rsid w:val="00BA2AF4"/>
    <w:rsid w:val="00BA469B"/>
    <w:rsid w:val="00BA7674"/>
    <w:rsid w:val="00BB364D"/>
    <w:rsid w:val="00BB4A5B"/>
    <w:rsid w:val="00BB5AF0"/>
    <w:rsid w:val="00BB7BB7"/>
    <w:rsid w:val="00BD0DB0"/>
    <w:rsid w:val="00BD1457"/>
    <w:rsid w:val="00BD1F53"/>
    <w:rsid w:val="00BD5C91"/>
    <w:rsid w:val="00BE1914"/>
    <w:rsid w:val="00BF0FAC"/>
    <w:rsid w:val="00BF214E"/>
    <w:rsid w:val="00BF2534"/>
    <w:rsid w:val="00BF79DC"/>
    <w:rsid w:val="00C02BB4"/>
    <w:rsid w:val="00C06A78"/>
    <w:rsid w:val="00C07995"/>
    <w:rsid w:val="00C1477C"/>
    <w:rsid w:val="00C23EFD"/>
    <w:rsid w:val="00C24385"/>
    <w:rsid w:val="00C25B0D"/>
    <w:rsid w:val="00C35D91"/>
    <w:rsid w:val="00C35DE1"/>
    <w:rsid w:val="00C3795C"/>
    <w:rsid w:val="00C4642F"/>
    <w:rsid w:val="00C5066E"/>
    <w:rsid w:val="00C524AA"/>
    <w:rsid w:val="00C52CC1"/>
    <w:rsid w:val="00C54689"/>
    <w:rsid w:val="00C5481C"/>
    <w:rsid w:val="00C54B1B"/>
    <w:rsid w:val="00C63C39"/>
    <w:rsid w:val="00C66723"/>
    <w:rsid w:val="00C81B3A"/>
    <w:rsid w:val="00C83B0B"/>
    <w:rsid w:val="00C91449"/>
    <w:rsid w:val="00C9485D"/>
    <w:rsid w:val="00CA1215"/>
    <w:rsid w:val="00CA5B0B"/>
    <w:rsid w:val="00CB0474"/>
    <w:rsid w:val="00CB12B9"/>
    <w:rsid w:val="00CB5C1A"/>
    <w:rsid w:val="00CB6C08"/>
    <w:rsid w:val="00CB7949"/>
    <w:rsid w:val="00CD0B2B"/>
    <w:rsid w:val="00CD0DCA"/>
    <w:rsid w:val="00CD1A7E"/>
    <w:rsid w:val="00CD2A03"/>
    <w:rsid w:val="00CD329A"/>
    <w:rsid w:val="00CD589F"/>
    <w:rsid w:val="00CE3FE4"/>
    <w:rsid w:val="00CE5954"/>
    <w:rsid w:val="00CE6384"/>
    <w:rsid w:val="00CE7EB7"/>
    <w:rsid w:val="00CE7F8D"/>
    <w:rsid w:val="00CF1EA1"/>
    <w:rsid w:val="00CF6636"/>
    <w:rsid w:val="00D02E3E"/>
    <w:rsid w:val="00D079C5"/>
    <w:rsid w:val="00D12206"/>
    <w:rsid w:val="00D12F61"/>
    <w:rsid w:val="00D201C6"/>
    <w:rsid w:val="00D33AFD"/>
    <w:rsid w:val="00D34219"/>
    <w:rsid w:val="00D358B0"/>
    <w:rsid w:val="00D53BDA"/>
    <w:rsid w:val="00D544CF"/>
    <w:rsid w:val="00D55208"/>
    <w:rsid w:val="00D63256"/>
    <w:rsid w:val="00D638E0"/>
    <w:rsid w:val="00D716BA"/>
    <w:rsid w:val="00D72A40"/>
    <w:rsid w:val="00D75CC8"/>
    <w:rsid w:val="00D8271D"/>
    <w:rsid w:val="00D8404D"/>
    <w:rsid w:val="00D87C12"/>
    <w:rsid w:val="00D9046A"/>
    <w:rsid w:val="00D93F45"/>
    <w:rsid w:val="00D96FD3"/>
    <w:rsid w:val="00DB5A10"/>
    <w:rsid w:val="00DC2952"/>
    <w:rsid w:val="00DD669F"/>
    <w:rsid w:val="00DE4E9F"/>
    <w:rsid w:val="00DE54D5"/>
    <w:rsid w:val="00DF0FFD"/>
    <w:rsid w:val="00DF1AB7"/>
    <w:rsid w:val="00E03DED"/>
    <w:rsid w:val="00E07C02"/>
    <w:rsid w:val="00E12B06"/>
    <w:rsid w:val="00E15BF6"/>
    <w:rsid w:val="00E171B2"/>
    <w:rsid w:val="00E261EC"/>
    <w:rsid w:val="00E26992"/>
    <w:rsid w:val="00E36655"/>
    <w:rsid w:val="00E501DE"/>
    <w:rsid w:val="00E5136D"/>
    <w:rsid w:val="00E525B3"/>
    <w:rsid w:val="00E54005"/>
    <w:rsid w:val="00E617C7"/>
    <w:rsid w:val="00E71CB9"/>
    <w:rsid w:val="00E73698"/>
    <w:rsid w:val="00E74E35"/>
    <w:rsid w:val="00E77BF5"/>
    <w:rsid w:val="00E77E23"/>
    <w:rsid w:val="00E81A12"/>
    <w:rsid w:val="00E8251C"/>
    <w:rsid w:val="00E844A0"/>
    <w:rsid w:val="00E857FE"/>
    <w:rsid w:val="00E867A8"/>
    <w:rsid w:val="00E90135"/>
    <w:rsid w:val="00E92683"/>
    <w:rsid w:val="00EA0E8E"/>
    <w:rsid w:val="00EB3D5E"/>
    <w:rsid w:val="00EC7A41"/>
    <w:rsid w:val="00EC7BCA"/>
    <w:rsid w:val="00ED4ED8"/>
    <w:rsid w:val="00ED7415"/>
    <w:rsid w:val="00EE6FAD"/>
    <w:rsid w:val="00EF1102"/>
    <w:rsid w:val="00EF1BAD"/>
    <w:rsid w:val="00EF603C"/>
    <w:rsid w:val="00F01A6F"/>
    <w:rsid w:val="00F13536"/>
    <w:rsid w:val="00F13718"/>
    <w:rsid w:val="00F13ED2"/>
    <w:rsid w:val="00F21187"/>
    <w:rsid w:val="00F2164C"/>
    <w:rsid w:val="00F22642"/>
    <w:rsid w:val="00F2679F"/>
    <w:rsid w:val="00F27ACB"/>
    <w:rsid w:val="00F34C9C"/>
    <w:rsid w:val="00F3616F"/>
    <w:rsid w:val="00F40DEB"/>
    <w:rsid w:val="00F445D2"/>
    <w:rsid w:val="00F6618F"/>
    <w:rsid w:val="00F70DD5"/>
    <w:rsid w:val="00F73165"/>
    <w:rsid w:val="00F7657D"/>
    <w:rsid w:val="00F76FF8"/>
    <w:rsid w:val="00F83C71"/>
    <w:rsid w:val="00F90BCE"/>
    <w:rsid w:val="00F9588F"/>
    <w:rsid w:val="00F9757D"/>
    <w:rsid w:val="00F97756"/>
    <w:rsid w:val="00FA2FBC"/>
    <w:rsid w:val="00FA4E63"/>
    <w:rsid w:val="00FA58EB"/>
    <w:rsid w:val="00FA5D4F"/>
    <w:rsid w:val="00FB019B"/>
    <w:rsid w:val="00FC2881"/>
    <w:rsid w:val="00FD1629"/>
    <w:rsid w:val="00FD6DB0"/>
    <w:rsid w:val="00FD7DC1"/>
    <w:rsid w:val="00FF2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16E7FE"/>
  <w15:docId w15:val="{F71CB09A-7237-41BC-A2E3-0993D919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 w:uiPriority="69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5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6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48434B"/>
    <w:pPr>
      <w:tabs>
        <w:tab w:val="right" w:leader="dot" w:pos="13892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E171B2"/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7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2254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MediumGrid3-Accent3">
    <w:name w:val="Medium Grid 3 Accent 3"/>
    <w:basedOn w:val="TableNormal"/>
    <w:uiPriority w:val="69"/>
    <w:rsid w:val="00722543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22543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odyText">
    <w:name w:val="Body Text"/>
    <w:basedOn w:val="Normal"/>
    <w:link w:val="BodyTextChar1"/>
    <w:rsid w:val="00DD669F"/>
    <w:pPr>
      <w:spacing w:after="120" w:line="300" w:lineRule="atLeast"/>
    </w:pPr>
    <w:rPr>
      <w:rFonts w:ascii="Times New Roman" w:eastAsia="Times New Roman" w:hAnsi="Times New Roman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uiPriority w:val="99"/>
    <w:semiHidden/>
    <w:rsid w:val="00DD669F"/>
    <w:rPr>
      <w:sz w:val="24"/>
      <w:szCs w:val="24"/>
      <w:lang w:val="en-AU"/>
    </w:rPr>
  </w:style>
  <w:style w:type="character" w:customStyle="1" w:styleId="BodyTextChar1">
    <w:name w:val="Body Text Char1"/>
    <w:basedOn w:val="DefaultParagraphFont"/>
    <w:link w:val="BodyText"/>
    <w:rsid w:val="00DD669F"/>
    <w:rPr>
      <w:rFonts w:ascii="Times New Roman" w:eastAsia="Times New Roman" w:hAnsi="Times New Roman"/>
      <w:sz w:val="22"/>
      <w:szCs w:val="22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9F"/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9F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1"/>
    <w:semiHidden/>
    <w:rsid w:val="00DD669F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D669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2A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2A40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4C7644"/>
    <w:rPr>
      <w:rFonts w:ascii="Arial" w:eastAsia="Cambria" w:hAnsi="Arial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4C7644"/>
    <w:rPr>
      <w:rFonts w:asciiTheme="minorHAnsi" w:eastAsiaTheme="minorHAnsi" w:hAnsiTheme="minorHAnsi" w:cstheme="minorBidi"/>
      <w:b/>
      <w:bCs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93060C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BB7BB7"/>
    <w:pPr>
      <w:autoSpaceDE w:val="0"/>
      <w:autoSpaceDN w:val="0"/>
      <w:adjustRightInd w:val="0"/>
      <w:spacing w:after="0" w:line="201" w:lineRule="atLeast"/>
    </w:pPr>
    <w:rPr>
      <w:rFonts w:ascii="Rooney Light" w:hAnsi="Rooney Light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264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971A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Pa18">
    <w:name w:val="Pa18"/>
    <w:basedOn w:val="Normal"/>
    <w:next w:val="Normal"/>
    <w:uiPriority w:val="99"/>
    <w:rsid w:val="006971AB"/>
    <w:pPr>
      <w:autoSpaceDE w:val="0"/>
      <w:autoSpaceDN w:val="0"/>
      <w:adjustRightInd w:val="0"/>
      <w:spacing w:after="0" w:line="161" w:lineRule="atLeast"/>
    </w:pPr>
    <w:rPr>
      <w:rFonts w:ascii="Rooney Light" w:eastAsia="Calibri" w:hAnsi="Rooney Light"/>
      <w:lang w:val="en-US"/>
    </w:rPr>
  </w:style>
  <w:style w:type="paragraph" w:styleId="NormalWeb">
    <w:name w:val="Normal (Web)"/>
    <w:basedOn w:val="Normal"/>
    <w:uiPriority w:val="99"/>
    <w:semiHidden/>
    <w:unhideWhenUsed/>
    <w:rsid w:val="00E26992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0024">
          <w:marLeft w:val="547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4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3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4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1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net/Corporate-Services/AHPRA-people/Capability-framework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terson\AppData\Local\Microsoft\Windows\Temporary%20Internet%20Files\Content.IE5\CO7LMVJ6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8721-96DB-485D-9869-9F4A95E9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46</TotalTime>
  <Pages>3</Pages>
  <Words>642</Words>
  <Characters>4288</Characters>
  <Application>Microsoft Office Word</Application>
  <DocSecurity>0</DocSecurity>
  <Lines>134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4830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</dc:title>
  <dc:subject>Template</dc:subject>
  <dc:creator>cpaterson</dc:creator>
  <cp:lastModifiedBy>Nicola Mason</cp:lastModifiedBy>
  <cp:revision>22</cp:revision>
  <cp:lastPrinted>2018-04-22T02:17:00Z</cp:lastPrinted>
  <dcterms:created xsi:type="dcterms:W3CDTF">2018-01-29T00:20:00Z</dcterms:created>
  <dcterms:modified xsi:type="dcterms:W3CDTF">2024-03-26T06:29:00Z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8e8776eaa35c63e40fcfc1154b2d5398068016fe2bddb2ce3722ab88d5651e6d</vt:lpwstr>
  </property>
</Properties>
</file>