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07AB"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2B3C6212" wp14:editId="468B1272">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65C0BA0"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436F787"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BC2E04A" w14:textId="77777777" w:rsidR="00142297" w:rsidRPr="003B0155" w:rsidRDefault="00142297" w:rsidP="00E42ADC">
      <w:pPr>
        <w:spacing w:line="259" w:lineRule="exact"/>
        <w:rPr>
          <w:rFonts w:ascii="Calibri" w:hAnsi="Calibri" w:cs="Arial"/>
          <w:sz w:val="16"/>
          <w:szCs w:val="16"/>
        </w:rPr>
      </w:pPr>
    </w:p>
    <w:p w14:paraId="7E236699"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11822B26" w14:textId="77777777" w:rsidTr="00D665B1">
        <w:tc>
          <w:tcPr>
            <w:tcW w:w="9242" w:type="dxa"/>
            <w:shd w:val="clear" w:color="auto" w:fill="CCCCCC"/>
          </w:tcPr>
          <w:p w14:paraId="2F23F531"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49BE1C2F"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08A50488" w14:textId="77777777" w:rsidTr="00D665B1">
        <w:tc>
          <w:tcPr>
            <w:tcW w:w="9242" w:type="dxa"/>
            <w:gridSpan w:val="2"/>
            <w:tcBorders>
              <w:bottom w:val="single" w:sz="4" w:space="0" w:color="auto"/>
            </w:tcBorders>
          </w:tcPr>
          <w:p w14:paraId="1D4C0693" w14:textId="0DE474FC" w:rsidR="00E42ADC" w:rsidRPr="003B0155" w:rsidRDefault="00AB5BE2" w:rsidP="007011D4">
            <w:pPr>
              <w:rPr>
                <w:rFonts w:ascii="Calibri" w:hAnsi="Calibri" w:cs="Arial"/>
                <w:b/>
                <w:color w:val="000000"/>
                <w:sz w:val="28"/>
                <w:szCs w:val="28"/>
                <w:lang w:val="en-AU"/>
              </w:rPr>
            </w:pPr>
            <w:r>
              <w:rPr>
                <w:rFonts w:ascii="Calibri" w:hAnsi="Calibri" w:cs="Arial"/>
                <w:b/>
                <w:color w:val="000000"/>
                <w:sz w:val="28"/>
                <w:szCs w:val="28"/>
                <w:lang w:val="en-AU"/>
              </w:rPr>
              <w:t xml:space="preserve">Senior Lecturer - </w:t>
            </w:r>
            <w:r w:rsidR="000E1FBA">
              <w:rPr>
                <w:rFonts w:ascii="Calibri" w:hAnsi="Calibri" w:cs="Arial"/>
                <w:b/>
                <w:color w:val="000000"/>
                <w:sz w:val="28"/>
                <w:szCs w:val="28"/>
                <w:lang w:val="en-AU"/>
              </w:rPr>
              <w:t>Teaching and Research</w:t>
            </w:r>
            <w:r w:rsidR="00882308">
              <w:rPr>
                <w:rFonts w:ascii="Calibri" w:hAnsi="Calibri" w:cs="Arial"/>
                <w:b/>
                <w:color w:val="000000"/>
                <w:sz w:val="28"/>
                <w:szCs w:val="28"/>
                <w:lang w:val="en-AU"/>
              </w:rPr>
              <w:t xml:space="preserve"> (</w:t>
            </w:r>
            <w:r w:rsidR="002267ED">
              <w:rPr>
                <w:rFonts w:ascii="Calibri" w:hAnsi="Calibri" w:cs="Arial"/>
                <w:b/>
                <w:color w:val="000000"/>
                <w:sz w:val="28"/>
                <w:szCs w:val="28"/>
                <w:lang w:val="en-AU"/>
              </w:rPr>
              <w:t>Health Services Management</w:t>
            </w:r>
            <w:r w:rsidR="00882308">
              <w:rPr>
                <w:rFonts w:ascii="Calibri" w:hAnsi="Calibri" w:cs="Arial"/>
                <w:b/>
                <w:color w:val="000000"/>
                <w:sz w:val="28"/>
                <w:szCs w:val="28"/>
                <w:lang w:val="en-AU"/>
              </w:rPr>
              <w:t>)</w:t>
            </w:r>
          </w:p>
        </w:tc>
      </w:tr>
      <w:tr w:rsidR="00E42ADC" w:rsidRPr="003B0155" w14:paraId="15C82AD2" w14:textId="77777777" w:rsidTr="00D665B1">
        <w:tc>
          <w:tcPr>
            <w:tcW w:w="3085" w:type="dxa"/>
            <w:tcBorders>
              <w:top w:val="single" w:sz="4" w:space="0" w:color="auto"/>
              <w:bottom w:val="nil"/>
              <w:right w:val="nil"/>
            </w:tcBorders>
          </w:tcPr>
          <w:p w14:paraId="3DAB81B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779B2430"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21B947B1" w14:textId="77777777" w:rsidTr="00D665B1">
        <w:tc>
          <w:tcPr>
            <w:tcW w:w="3085" w:type="dxa"/>
            <w:tcBorders>
              <w:top w:val="nil"/>
              <w:right w:val="nil"/>
            </w:tcBorders>
          </w:tcPr>
          <w:p w14:paraId="3B1F64A0"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6419A7"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2138F91B"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66EB41DD" w14:textId="77777777" w:rsidTr="00D665B1">
        <w:tc>
          <w:tcPr>
            <w:tcW w:w="3085" w:type="dxa"/>
            <w:tcBorders>
              <w:right w:val="nil"/>
            </w:tcBorders>
          </w:tcPr>
          <w:p w14:paraId="5C0024B2"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C8CA0E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A046D8C" w14:textId="77777777" w:rsidR="00E42ADC" w:rsidRPr="003B0155" w:rsidRDefault="004B40FF"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11FFBBFA" w14:textId="77777777" w:rsidTr="00D665B1">
        <w:tc>
          <w:tcPr>
            <w:tcW w:w="3085" w:type="dxa"/>
            <w:tcBorders>
              <w:right w:val="nil"/>
            </w:tcBorders>
          </w:tcPr>
          <w:p w14:paraId="6A4AA95A"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4D4FDB61"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B9FF17B"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709BAA44" w14:textId="77777777" w:rsidTr="00D665B1">
        <w:tc>
          <w:tcPr>
            <w:tcW w:w="3085" w:type="dxa"/>
            <w:tcBorders>
              <w:right w:val="nil"/>
            </w:tcBorders>
          </w:tcPr>
          <w:p w14:paraId="1ADB137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6186145E"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FC84212" w14:textId="77777777" w:rsidR="00E42ADC" w:rsidRPr="003B0155" w:rsidRDefault="004B40FF" w:rsidP="00E120E7">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(Various)</w:t>
            </w:r>
          </w:p>
        </w:tc>
      </w:tr>
      <w:tr w:rsidR="00E42ADC" w:rsidRPr="003B0155" w14:paraId="12D00EF0" w14:textId="77777777" w:rsidTr="00D665B1">
        <w:tc>
          <w:tcPr>
            <w:tcW w:w="3085" w:type="dxa"/>
            <w:tcBorders>
              <w:right w:val="nil"/>
            </w:tcBorders>
          </w:tcPr>
          <w:p w14:paraId="1EDFEB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0F4B8D7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07F6845" w14:textId="77777777"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w:t>
            </w:r>
            <w:r w:rsidR="00DF404A">
              <w:rPr>
                <w:rFonts w:asciiTheme="minorHAnsi" w:hAnsiTheme="minorHAnsi" w:cs="Arial"/>
                <w:color w:val="000000"/>
                <w:sz w:val="22"/>
                <w:szCs w:val="22"/>
                <w:lang w:val="en-AU"/>
              </w:rPr>
              <w:t xml:space="preserve"> (Level C)</w:t>
            </w:r>
          </w:p>
        </w:tc>
      </w:tr>
      <w:tr w:rsidR="00E42ADC" w:rsidRPr="003B0155" w14:paraId="16FB3297" w14:textId="77777777" w:rsidTr="00D665B1">
        <w:tc>
          <w:tcPr>
            <w:tcW w:w="3085" w:type="dxa"/>
            <w:tcBorders>
              <w:right w:val="nil"/>
            </w:tcBorders>
          </w:tcPr>
          <w:p w14:paraId="52D9C7E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07D7DEE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F8E73BE"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p>
        </w:tc>
      </w:tr>
      <w:tr w:rsidR="00E42ADC" w:rsidRPr="003B0155" w14:paraId="167A4919" w14:textId="77777777" w:rsidTr="00D665B1">
        <w:trPr>
          <w:trHeight w:val="594"/>
        </w:trPr>
        <w:tc>
          <w:tcPr>
            <w:tcW w:w="3085" w:type="dxa"/>
            <w:tcBorders>
              <w:right w:val="nil"/>
            </w:tcBorders>
          </w:tcPr>
          <w:p w14:paraId="3DD09A5B" w14:textId="77777777" w:rsidR="003B0155" w:rsidRPr="00E3381B" w:rsidRDefault="00E42ADC" w:rsidP="007011D4">
            <w:pPr>
              <w:rPr>
                <w:rFonts w:asciiTheme="minorHAnsi" w:hAnsiTheme="minorHAnsi" w:cs="Arial"/>
                <w:b/>
                <w:color w:val="000000"/>
                <w:sz w:val="22"/>
                <w:szCs w:val="22"/>
                <w:lang w:val="en-AU"/>
              </w:rPr>
            </w:pPr>
            <w:r w:rsidRPr="00E3381B">
              <w:rPr>
                <w:rFonts w:asciiTheme="minorHAnsi" w:hAnsiTheme="minorHAnsi" w:cs="Arial"/>
                <w:b/>
                <w:color w:val="000000"/>
                <w:sz w:val="22"/>
                <w:szCs w:val="22"/>
                <w:lang w:val="en-AU"/>
              </w:rPr>
              <w:t>Position Supervisor</w:t>
            </w:r>
            <w:r w:rsidR="003B0155" w:rsidRPr="00E3381B">
              <w:rPr>
                <w:rFonts w:asciiTheme="minorHAnsi" w:hAnsiTheme="minorHAnsi" w:cs="Arial"/>
                <w:b/>
                <w:color w:val="000000"/>
                <w:sz w:val="22"/>
                <w:szCs w:val="22"/>
                <w:lang w:val="en-AU"/>
              </w:rPr>
              <w:t>:</w:t>
            </w:r>
            <w:r w:rsidR="00E947B0" w:rsidRPr="00E3381B">
              <w:rPr>
                <w:rFonts w:asciiTheme="minorHAnsi" w:hAnsiTheme="minorHAnsi" w:cs="Arial"/>
                <w:b/>
                <w:color w:val="000000"/>
                <w:sz w:val="22"/>
                <w:szCs w:val="22"/>
                <w:lang w:val="en-AU"/>
              </w:rPr>
              <w:t xml:space="preserve"> </w:t>
            </w:r>
          </w:p>
          <w:p w14:paraId="06BE6430" w14:textId="77777777" w:rsidR="00E42ADC" w:rsidRPr="00E3381B" w:rsidRDefault="00E947B0" w:rsidP="007011D4">
            <w:pPr>
              <w:rPr>
                <w:rFonts w:asciiTheme="minorHAnsi" w:hAnsiTheme="minorHAnsi" w:cs="Arial"/>
                <w:b/>
                <w:color w:val="000000"/>
                <w:sz w:val="22"/>
                <w:szCs w:val="22"/>
                <w:lang w:val="en-AU"/>
              </w:rPr>
            </w:pPr>
            <w:r w:rsidRPr="00E3381B">
              <w:rPr>
                <w:rFonts w:asciiTheme="minorHAnsi" w:hAnsiTheme="minorHAnsi" w:cs="Arial"/>
                <w:b/>
                <w:color w:val="000000"/>
                <w:sz w:val="22"/>
                <w:szCs w:val="22"/>
                <w:lang w:val="en-AU"/>
              </w:rPr>
              <w:t>Number</w:t>
            </w:r>
            <w:r w:rsidR="00E42ADC" w:rsidRPr="00E3381B">
              <w:rPr>
                <w:rFonts w:asciiTheme="minorHAnsi" w:hAnsiTheme="minorHAnsi" w:cs="Arial"/>
                <w:b/>
                <w:color w:val="000000"/>
                <w:sz w:val="22"/>
                <w:szCs w:val="22"/>
                <w:lang w:val="en-AU"/>
              </w:rPr>
              <w:t>:</w:t>
            </w:r>
          </w:p>
        </w:tc>
        <w:tc>
          <w:tcPr>
            <w:tcW w:w="6157" w:type="dxa"/>
            <w:tcBorders>
              <w:left w:val="nil"/>
            </w:tcBorders>
          </w:tcPr>
          <w:p w14:paraId="511631B8" w14:textId="3E5B9E37" w:rsidR="004B40FF" w:rsidRPr="00E3381B" w:rsidRDefault="00F62F85" w:rsidP="004B40FF">
            <w:pPr>
              <w:rPr>
                <w:rFonts w:asciiTheme="minorHAnsi" w:hAnsiTheme="minorHAnsi" w:cs="Arial"/>
                <w:color w:val="000000"/>
                <w:sz w:val="22"/>
                <w:szCs w:val="22"/>
                <w:lang w:val="en-AU"/>
              </w:rPr>
            </w:pPr>
            <w:r w:rsidRPr="00E3381B">
              <w:rPr>
                <w:rFonts w:asciiTheme="minorHAnsi" w:hAnsiTheme="minorHAnsi" w:cs="Arial"/>
                <w:color w:val="000000"/>
                <w:sz w:val="22"/>
                <w:szCs w:val="22"/>
                <w:lang w:val="en-AU"/>
              </w:rPr>
              <w:t>Head of Discipline, Health Services Management, Publi</w:t>
            </w:r>
            <w:r w:rsidR="004B40FF" w:rsidRPr="00E3381B">
              <w:rPr>
                <w:rFonts w:asciiTheme="minorHAnsi" w:hAnsiTheme="minorHAnsi" w:cs="Arial"/>
                <w:color w:val="000000"/>
                <w:sz w:val="22"/>
                <w:szCs w:val="22"/>
                <w:lang w:val="en-AU"/>
              </w:rPr>
              <w:t>c Health</w:t>
            </w:r>
          </w:p>
          <w:p w14:paraId="5B7E4718" w14:textId="77777777" w:rsidR="00A64A18" w:rsidRPr="003B0155" w:rsidRDefault="004B40FF" w:rsidP="004B40FF">
            <w:pPr>
              <w:rPr>
                <w:rFonts w:asciiTheme="minorHAnsi" w:hAnsiTheme="minorHAnsi" w:cs="Arial"/>
                <w:color w:val="000000"/>
                <w:sz w:val="22"/>
                <w:szCs w:val="22"/>
                <w:lang w:val="en-AU"/>
              </w:rPr>
            </w:pPr>
            <w:r w:rsidRPr="00E3381B">
              <w:rPr>
                <w:rFonts w:asciiTheme="minorHAnsi" w:hAnsiTheme="minorHAnsi" w:cs="Arial"/>
                <w:color w:val="000000"/>
                <w:sz w:val="22"/>
                <w:szCs w:val="22"/>
                <w:lang w:val="en-AU"/>
              </w:rPr>
              <w:t>50099909</w:t>
            </w:r>
          </w:p>
        </w:tc>
      </w:tr>
      <w:tr w:rsidR="00E42ADC" w:rsidRPr="003B0155" w14:paraId="07098825" w14:textId="77777777" w:rsidTr="00D665B1">
        <w:tc>
          <w:tcPr>
            <w:tcW w:w="3085" w:type="dxa"/>
            <w:tcBorders>
              <w:right w:val="nil"/>
            </w:tcBorders>
          </w:tcPr>
          <w:p w14:paraId="6C5314B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4A4E285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36D66B2" w14:textId="77777777" w:rsidR="00E42ADC" w:rsidRPr="003B0155" w:rsidRDefault="00163876"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13B89FE0"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2CDA2333" w14:textId="77777777" w:rsidR="00E42ADC" w:rsidRPr="003B0155" w:rsidRDefault="00E42ADC" w:rsidP="00E42ADC">
      <w:pPr>
        <w:rPr>
          <w:rFonts w:asciiTheme="minorHAnsi" w:hAnsiTheme="minorHAnsi"/>
          <w:sz w:val="22"/>
          <w:szCs w:val="22"/>
        </w:rPr>
      </w:pPr>
    </w:p>
    <w:p w14:paraId="478538AA"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5CDBA321" w14:textId="77777777" w:rsidR="00E42ADC" w:rsidRPr="003B0155" w:rsidRDefault="00E42ADC" w:rsidP="00E42ADC">
      <w:pPr>
        <w:rPr>
          <w:rFonts w:asciiTheme="minorHAnsi" w:hAnsiTheme="minorHAnsi" w:cs="Arial"/>
          <w:sz w:val="22"/>
          <w:szCs w:val="22"/>
          <w:lang w:val="en-AU"/>
        </w:rPr>
      </w:pPr>
    </w:p>
    <w:p w14:paraId="710E0CDD" w14:textId="7405B5D9" w:rsidR="004B40FF" w:rsidRDefault="004B40FF" w:rsidP="004B40FF">
      <w:pPr>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1A1E2E49" w14:textId="12E26217" w:rsidR="00E3381B" w:rsidRDefault="00E3381B" w:rsidP="004B40FF">
      <w:pPr>
        <w:outlineLvl w:val="0"/>
        <w:rPr>
          <w:rFonts w:asciiTheme="minorHAnsi" w:hAnsiTheme="minorHAnsi" w:cs="Arial"/>
          <w:sz w:val="22"/>
          <w:szCs w:val="22"/>
        </w:rPr>
      </w:pPr>
    </w:p>
    <w:p w14:paraId="11D9CF58" w14:textId="0ECEAD7B" w:rsidR="00E3381B" w:rsidRDefault="00E3381B" w:rsidP="004B40FF">
      <w:pPr>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1" w:history="1">
        <w:r w:rsidR="00AF05BE" w:rsidRPr="00F57926">
          <w:rPr>
            <w:rStyle w:val="Hyperlink"/>
            <w:rFonts w:asciiTheme="minorHAnsi" w:hAnsiTheme="minorHAnsi" w:cs="Arial"/>
            <w:sz w:val="22"/>
            <w:szCs w:val="22"/>
          </w:rPr>
          <w:t>https://www.latrobe.edu.au/school-psychology-and-public-health</w:t>
        </w:r>
      </w:hyperlink>
      <w:r w:rsidR="00AF05BE">
        <w:rPr>
          <w:rFonts w:asciiTheme="minorHAnsi" w:hAnsiTheme="minorHAnsi" w:cs="Arial"/>
          <w:sz w:val="22"/>
          <w:szCs w:val="22"/>
        </w:rPr>
        <w:t xml:space="preserve"> </w:t>
      </w:r>
    </w:p>
    <w:p w14:paraId="43107F5C" w14:textId="77777777" w:rsidR="00E42ADC" w:rsidRPr="003B0155" w:rsidRDefault="00E42ADC" w:rsidP="00E42ADC">
      <w:pPr>
        <w:rPr>
          <w:rFonts w:asciiTheme="minorHAnsi" w:hAnsiTheme="minorHAnsi" w:cs="Arial"/>
          <w:sz w:val="22"/>
          <w:szCs w:val="22"/>
        </w:rPr>
      </w:pPr>
    </w:p>
    <w:p w14:paraId="6AF2B6AC" w14:textId="77777777"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604F8B4F" wp14:editId="66A0451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3CA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C56E4E8" w14:textId="77777777" w:rsidR="00E42ADC" w:rsidRPr="003B0155" w:rsidRDefault="00E42ADC" w:rsidP="00E42ADC">
      <w:pPr>
        <w:rPr>
          <w:rFonts w:asciiTheme="minorHAnsi" w:hAnsiTheme="minorHAnsi"/>
          <w:sz w:val="22"/>
          <w:szCs w:val="22"/>
        </w:rPr>
      </w:pPr>
    </w:p>
    <w:p w14:paraId="2C98A55F"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770D088C" w14:textId="77777777" w:rsidR="00E42ADC" w:rsidRPr="003B0155" w:rsidRDefault="00E42ADC" w:rsidP="00E42ADC">
      <w:pPr>
        <w:rPr>
          <w:rFonts w:asciiTheme="minorHAnsi" w:hAnsiTheme="minorHAnsi" w:cs="Arial"/>
          <w:b/>
          <w:sz w:val="22"/>
          <w:szCs w:val="22"/>
        </w:rPr>
      </w:pPr>
    </w:p>
    <w:p w14:paraId="4A0DD74C" w14:textId="6C65131B" w:rsidR="004B40FF" w:rsidRDefault="00003981" w:rsidP="004B40FF">
      <w:pPr>
        <w:rPr>
          <w:rFonts w:asciiTheme="minorHAnsi" w:hAnsiTheme="minorHAnsi"/>
          <w:sz w:val="22"/>
          <w:szCs w:val="22"/>
        </w:rPr>
      </w:pPr>
      <w:bookmarkStart w:id="0" w:name="_Hlk2761251"/>
      <w:bookmarkStart w:id="1" w:name="_GoBack"/>
      <w:r>
        <w:rPr>
          <w:rFonts w:asciiTheme="minorHAnsi" w:hAnsiTheme="minorHAnsi" w:cs="Arial"/>
          <w:color w:val="000000"/>
          <w:sz w:val="22"/>
          <w:szCs w:val="22"/>
          <w:lang w:val="en-AU"/>
        </w:rPr>
        <w:t xml:space="preserve">Professor </w:t>
      </w:r>
      <w:r w:rsidR="006A5258">
        <w:rPr>
          <w:rFonts w:asciiTheme="minorHAnsi" w:hAnsiTheme="minorHAnsi" w:cs="Arial"/>
          <w:color w:val="000000"/>
          <w:sz w:val="22"/>
          <w:szCs w:val="22"/>
          <w:lang w:val="en-AU"/>
        </w:rPr>
        <w:t>Sandra Leggat</w:t>
      </w:r>
      <w:r w:rsidR="004B40FF">
        <w:rPr>
          <w:rFonts w:asciiTheme="minorHAnsi" w:hAnsiTheme="minorHAnsi" w:cs="Arial"/>
          <w:sz w:val="22"/>
          <w:szCs w:val="22"/>
        </w:rPr>
        <w:t xml:space="preserve"> | </w:t>
      </w:r>
      <w:r w:rsidR="00163876">
        <w:rPr>
          <w:rFonts w:asciiTheme="minorHAnsi" w:hAnsiTheme="minorHAnsi" w:cs="Arial"/>
          <w:sz w:val="22"/>
          <w:szCs w:val="22"/>
        </w:rPr>
        <w:t xml:space="preserve">Telephone: 9479 1749 </w:t>
      </w:r>
      <w:r w:rsidR="00163876">
        <w:rPr>
          <w:rFonts w:asciiTheme="minorHAnsi" w:hAnsiTheme="minorHAnsi" w:cs="Arial"/>
          <w:sz w:val="22"/>
          <w:szCs w:val="22"/>
        </w:rPr>
        <w:t>|</w:t>
      </w:r>
      <w:r w:rsidR="00163876">
        <w:rPr>
          <w:rFonts w:asciiTheme="minorHAnsi" w:hAnsiTheme="minorHAnsi" w:cs="Arial"/>
          <w:sz w:val="22"/>
          <w:szCs w:val="22"/>
        </w:rPr>
        <w:t xml:space="preserve"> </w:t>
      </w:r>
      <w:r w:rsidR="004B40FF">
        <w:rPr>
          <w:rFonts w:asciiTheme="minorHAnsi" w:hAnsiTheme="minorHAnsi" w:cs="Arial"/>
          <w:sz w:val="22"/>
          <w:szCs w:val="22"/>
        </w:rPr>
        <w:t xml:space="preserve">Email: </w:t>
      </w:r>
      <w:r w:rsidR="006A5258" w:rsidRPr="006A5258">
        <w:rPr>
          <w:rFonts w:asciiTheme="minorHAnsi" w:hAnsiTheme="minorHAnsi" w:cs="Arial"/>
          <w:sz w:val="22"/>
          <w:szCs w:val="22"/>
        </w:rPr>
        <w:t>S.Leggat@latrobe.edu.au</w:t>
      </w:r>
    </w:p>
    <w:bookmarkEnd w:id="0"/>
    <w:bookmarkEnd w:id="1"/>
    <w:p w14:paraId="100962F1" w14:textId="77777777" w:rsidR="00E10820" w:rsidRPr="003B0155" w:rsidRDefault="00E10820" w:rsidP="00C51B53">
      <w:pPr>
        <w:rPr>
          <w:rFonts w:asciiTheme="minorHAnsi" w:hAnsiTheme="minorHAnsi" w:cs="Arial"/>
          <w:sz w:val="22"/>
          <w:szCs w:val="22"/>
        </w:rPr>
      </w:pPr>
    </w:p>
    <w:p w14:paraId="53257358" w14:textId="77777777" w:rsidR="00092B73" w:rsidRPr="003B0155" w:rsidRDefault="00092B73" w:rsidP="00834BB6">
      <w:pPr>
        <w:rPr>
          <w:rFonts w:asciiTheme="minorHAnsi" w:hAnsiTheme="minorHAnsi"/>
          <w:sz w:val="22"/>
          <w:szCs w:val="22"/>
        </w:rPr>
      </w:pPr>
    </w:p>
    <w:p w14:paraId="5EC6CEDC" w14:textId="77777777"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When preparing an application for a position at La Trobe University, applicants are encouraged to refer to the Academic Promotions Evidence Matrix </w:t>
      </w:r>
      <w:hyperlink r:id="rId12" w:history="1">
        <w:r w:rsidRPr="003B0155">
          <w:rPr>
            <w:rStyle w:val="Hyperlink"/>
            <w:rFonts w:asciiTheme="minorHAnsi" w:hAnsiTheme="minorHAnsi"/>
            <w:sz w:val="22"/>
            <w:szCs w:val="22"/>
          </w:rPr>
          <w:t>http://www.latrobe.edu.au/policy/documents/academic-promotions-evidence-matrix.pdf</w:t>
        </w:r>
      </w:hyperlink>
      <w:r w:rsidRPr="003B0155">
        <w:rPr>
          <w:rFonts w:asciiTheme="minorHAnsi" w:hAnsiTheme="minorHAnsi"/>
          <w:sz w:val="22"/>
          <w:szCs w:val="22"/>
        </w:rPr>
        <w:t xml:space="preserve">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0BFAAA3D"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C0DE25E" w14:textId="77777777" w:rsidTr="00D665B1">
        <w:tc>
          <w:tcPr>
            <w:tcW w:w="9242" w:type="dxa"/>
            <w:shd w:val="clear" w:color="auto" w:fill="CCCCCC"/>
          </w:tcPr>
          <w:p w14:paraId="2A61913F"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3BB2311A" w14:textId="77777777" w:rsidR="004B40FF" w:rsidRDefault="004B40FF" w:rsidP="008A5260">
      <w:pPr>
        <w:pStyle w:val="Default"/>
        <w:rPr>
          <w:b/>
          <w:bCs/>
          <w:sz w:val="22"/>
          <w:szCs w:val="22"/>
        </w:rPr>
      </w:pPr>
    </w:p>
    <w:p w14:paraId="3E127D26" w14:textId="335647A7" w:rsidR="008A5260" w:rsidRDefault="008A5260" w:rsidP="008A5260">
      <w:pPr>
        <w:pStyle w:val="Default"/>
        <w:rPr>
          <w:b/>
          <w:bCs/>
          <w:sz w:val="22"/>
          <w:szCs w:val="22"/>
        </w:rPr>
      </w:pPr>
      <w:r w:rsidRPr="003B0155">
        <w:rPr>
          <w:b/>
          <w:bCs/>
          <w:sz w:val="22"/>
          <w:szCs w:val="22"/>
        </w:rPr>
        <w:t xml:space="preserve">Position Context </w:t>
      </w:r>
    </w:p>
    <w:p w14:paraId="1007922F" w14:textId="0D7FD79D" w:rsidR="00AF05BE" w:rsidRDefault="00AF05BE" w:rsidP="008A5260">
      <w:pPr>
        <w:pStyle w:val="Default"/>
        <w:rPr>
          <w:b/>
          <w:bCs/>
          <w:sz w:val="22"/>
          <w:szCs w:val="22"/>
        </w:rPr>
      </w:pPr>
    </w:p>
    <w:p w14:paraId="3DB5409B" w14:textId="77777777" w:rsidR="00AF05BE" w:rsidRPr="005F07A3" w:rsidRDefault="00AF05BE" w:rsidP="00AF05BE">
      <w:pPr>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w:t>
      </w:r>
      <w:r>
        <w:rPr>
          <w:rFonts w:asciiTheme="minorHAnsi" w:hAnsiTheme="minorHAnsi"/>
          <w:sz w:val="22"/>
          <w:szCs w:val="22"/>
        </w:rPr>
        <w:t>8</w:t>
      </w:r>
      <w:r w:rsidRPr="005F07A3">
        <w:rPr>
          <w:rFonts w:asciiTheme="minorHAnsi" w:hAnsiTheme="minorHAnsi"/>
          <w:sz w:val="22"/>
          <w:szCs w:val="22"/>
        </w:rPr>
        <w:t xml:space="preserve">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D7C4742" w14:textId="77777777" w:rsidR="00AF05BE" w:rsidRPr="005F07A3" w:rsidRDefault="00AF05BE" w:rsidP="00AF05BE">
      <w:pPr>
        <w:rPr>
          <w:rFonts w:asciiTheme="minorHAnsi" w:hAnsiTheme="minorHAnsi" w:cs="Calibri"/>
          <w:b/>
          <w:snapToGrid/>
          <w:sz w:val="22"/>
          <w:szCs w:val="22"/>
          <w:lang w:val="en-AU" w:eastAsia="en-AU"/>
        </w:rPr>
      </w:pPr>
    </w:p>
    <w:p w14:paraId="53C69DB8" w14:textId="77777777" w:rsidR="00AF05BE" w:rsidRPr="005F07A3" w:rsidRDefault="00AF05BE" w:rsidP="00AF05BE">
      <w:pPr>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 xml:space="preserve">Digital Health and Analytics;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w:t>
      </w:r>
      <w:r>
        <w:rPr>
          <w:rFonts w:ascii="Calibri" w:hAnsi="Calibri" w:cs="Calibri"/>
          <w:snapToGrid/>
          <w:sz w:val="22"/>
          <w:szCs w:val="22"/>
          <w:lang w:eastAsia="en-AU"/>
        </w:rPr>
        <w:t xml:space="preserve">Family Therapy; </w:t>
      </w:r>
      <w:r w:rsidRPr="005F07A3">
        <w:rPr>
          <w:rFonts w:ascii="Calibri" w:hAnsi="Calibri" w:cs="Calibri"/>
          <w:snapToGrid/>
          <w:sz w:val="22"/>
          <w:szCs w:val="22"/>
          <w:lang w:eastAsia="en-AU"/>
        </w:rPr>
        <w:t xml:space="preserve">Psychology; Neuroscience; and Counselling.  The School currently comprises seven academic units: </w:t>
      </w:r>
      <w:proofErr w:type="gramStart"/>
      <w:r w:rsidRPr="005F07A3">
        <w:rPr>
          <w:rFonts w:ascii="Calibri" w:hAnsi="Calibri" w:cs="Calibri"/>
          <w:snapToGrid/>
          <w:sz w:val="22"/>
          <w:szCs w:val="22"/>
          <w:lang w:eastAsia="en-AU"/>
        </w:rPr>
        <w:t>the</w:t>
      </w:r>
      <w:proofErr w:type="gramEnd"/>
      <w:r w:rsidRPr="005F07A3">
        <w:rPr>
          <w:rFonts w:ascii="Calibri" w:hAnsi="Calibri" w:cs="Calibri"/>
          <w:snapToGrid/>
          <w:sz w:val="22"/>
          <w:szCs w:val="22"/>
          <w:lang w:eastAsia="en-AU"/>
        </w:rPr>
        <w:t xml:space="preserve"> Department of Public Health, the Department of Psychology </w:t>
      </w:r>
      <w:r>
        <w:rPr>
          <w:rFonts w:ascii="Calibri" w:hAnsi="Calibri" w:cs="Calibri"/>
          <w:snapToGrid/>
          <w:sz w:val="22"/>
          <w:szCs w:val="22"/>
          <w:lang w:eastAsia="en-AU"/>
        </w:rPr>
        <w:t>and</w:t>
      </w:r>
      <w:r w:rsidRPr="005F07A3">
        <w:rPr>
          <w:rFonts w:ascii="Calibri" w:hAnsi="Calibri" w:cs="Calibri"/>
          <w:snapToGrid/>
          <w:sz w:val="22"/>
          <w:szCs w:val="22"/>
          <w:lang w:eastAsia="en-AU"/>
        </w:rPr>
        <w:t xml:space="preserve"> Counselling, The Bouverie </w:t>
      </w:r>
      <w:r w:rsidRPr="005F07A3">
        <w:rPr>
          <w:rFonts w:asciiTheme="minorHAnsi" w:hAnsiTheme="minorHAnsi" w:cstheme="minorHAnsi"/>
          <w:snapToGrid/>
          <w:sz w:val="22"/>
          <w:szCs w:val="22"/>
          <w:lang w:eastAsia="en-AU"/>
        </w:rPr>
        <w:t xml:space="preserve">Centre, </w:t>
      </w:r>
      <w:bookmarkStart w:id="2"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he Centre for Alcohol Policy Research (</w:t>
      </w:r>
      <w:r w:rsidRPr="00BB5B46">
        <w:rPr>
          <w:rStyle w:val="Emphasis"/>
          <w:rFonts w:asciiTheme="minorHAnsi" w:hAnsiTheme="minorHAnsi" w:cstheme="minorHAnsi"/>
          <w:bCs/>
          <w:sz w:val="22"/>
          <w:szCs w:val="22"/>
          <w:shd w:val="clear" w:color="auto" w:fill="FFFFFF"/>
        </w:rPr>
        <w:t>CAPR</w:t>
      </w:r>
      <w:r w:rsidRPr="005F07A3">
        <w:rPr>
          <w:rFonts w:asciiTheme="minorHAnsi" w:hAnsiTheme="minorHAnsi" w:cstheme="minorHAnsi"/>
          <w:sz w:val="22"/>
          <w:szCs w:val="22"/>
          <w:shd w:val="clear" w:color="auto" w:fill="FFFFFF"/>
        </w:rPr>
        <w:t>), the Centre for Health Communication and Participation (CHCP)</w:t>
      </w:r>
      <w:r>
        <w:rPr>
          <w:rFonts w:asciiTheme="minorHAnsi" w:hAnsiTheme="minorHAnsi" w:cstheme="minorHAnsi"/>
          <w:sz w:val="22"/>
          <w:szCs w:val="22"/>
          <w:shd w:val="clear" w:color="auto" w:fill="FFFFFF"/>
        </w:rPr>
        <w:t>,</w:t>
      </w:r>
      <w:r w:rsidRPr="005F07A3">
        <w:rPr>
          <w:rFonts w:ascii="Calibri" w:hAnsi="Calibri" w:cs="Calibri"/>
          <w:snapToGrid/>
          <w:sz w:val="22"/>
          <w:szCs w:val="22"/>
          <w:lang w:eastAsia="en-AU"/>
        </w:rPr>
        <w:t xml:space="preserve"> the Olga Tennison Autism Research Centre (OTARC),</w:t>
      </w:r>
      <w:r w:rsidRPr="005F07A3">
        <w:rPr>
          <w:rFonts w:asciiTheme="minorHAnsi" w:hAnsiTheme="minorHAnsi" w:cstheme="minorHAnsi"/>
          <w:sz w:val="22"/>
          <w:szCs w:val="22"/>
          <w:shd w:val="clear" w:color="auto" w:fill="FFFFFF"/>
        </w:rPr>
        <w:t xml:space="preserve"> </w:t>
      </w:r>
      <w:bookmarkEnd w:id="2"/>
      <w:r w:rsidRPr="005F07A3">
        <w:rPr>
          <w:rFonts w:asciiTheme="minorHAnsi" w:hAnsiTheme="minorHAnsi" w:cstheme="minorHAnsi"/>
          <w:snapToGrid/>
          <w:sz w:val="22"/>
          <w:szCs w:val="22"/>
          <w:lang w:eastAsia="en-AU"/>
        </w:rPr>
        <w:t>and the Australian Research Centre in Sex, Health and Society (ARCSHS).</w:t>
      </w:r>
    </w:p>
    <w:p w14:paraId="059D87AB" w14:textId="77777777" w:rsidR="00AF05BE" w:rsidRPr="005F07A3" w:rsidRDefault="00AF05BE" w:rsidP="00AF05BE">
      <w:pPr>
        <w:rPr>
          <w:rFonts w:asciiTheme="minorHAnsi" w:hAnsiTheme="minorHAnsi" w:cs="Calibri"/>
          <w:snapToGrid/>
          <w:sz w:val="22"/>
          <w:szCs w:val="22"/>
          <w:lang w:eastAsia="en-AU"/>
        </w:rPr>
      </w:pPr>
    </w:p>
    <w:p w14:paraId="076A6D36" w14:textId="77777777" w:rsidR="00AF05BE" w:rsidRPr="005F07A3" w:rsidRDefault="00AF05BE" w:rsidP="00AF05BE">
      <w:pPr>
        <w:pStyle w:val="CommentText"/>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3" w:name="_Hlk519092721"/>
      <w:r w:rsidRPr="005F07A3">
        <w:rPr>
          <w:rFonts w:asciiTheme="minorHAnsi" w:hAnsiTheme="minorHAnsi"/>
          <w:sz w:val="22"/>
          <w:szCs w:val="22"/>
          <w:lang w:val="en"/>
        </w:rPr>
        <w:t xml:space="preserve">a leading authority in many areas of public health including </w:t>
      </w:r>
      <w:bookmarkEnd w:id="3"/>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18EC6C0A" w14:textId="77777777" w:rsidR="00AF05BE" w:rsidRPr="00407793" w:rsidRDefault="00AF05BE" w:rsidP="00AF05BE">
      <w:pPr>
        <w:jc w:val="both"/>
        <w:rPr>
          <w:rFonts w:asciiTheme="minorHAnsi" w:hAnsiTheme="minorHAnsi"/>
          <w:sz w:val="22"/>
          <w:szCs w:val="22"/>
          <w:lang w:val="en"/>
        </w:rPr>
      </w:pPr>
    </w:p>
    <w:p w14:paraId="40F970AF" w14:textId="77777777" w:rsidR="00AF05BE" w:rsidRPr="00AF05BE" w:rsidRDefault="00AF05BE" w:rsidP="00AF05BE">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The Department incorporates the Palliative Care Unit (</w:t>
      </w:r>
      <w:hyperlink r:id="rId13" w:history="1">
        <w:r w:rsidRPr="00AF05BE">
          <w:rPr>
            <w:rStyle w:val="Hyperlink"/>
            <w:rFonts w:asciiTheme="minorHAnsi" w:hAnsiTheme="minorHAnsi" w:cstheme="minorHAnsi"/>
            <w:color w:val="auto"/>
            <w:sz w:val="22"/>
            <w:szCs w:val="22"/>
            <w:lang w:val="en"/>
          </w:rPr>
          <w:t>PCU</w:t>
        </w:r>
      </w:hyperlink>
      <w:r w:rsidRPr="00AF05BE">
        <w:rPr>
          <w:rFonts w:asciiTheme="minorHAnsi" w:hAnsiTheme="minorHAnsi" w:cstheme="minorHAnsi"/>
          <w:sz w:val="22"/>
          <w:szCs w:val="22"/>
          <w:lang w:val="en"/>
        </w:rPr>
        <w:t>), which was established as a demonstration project and continues to provide health promotion education and training, community development, direct service and research for clinical palliative care and related service providers throughout Victoria.</w:t>
      </w:r>
    </w:p>
    <w:p w14:paraId="3C64B421" w14:textId="77777777" w:rsidR="00AF05BE" w:rsidRPr="00AF05BE" w:rsidRDefault="00AF05BE" w:rsidP="00AF05BE">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 xml:space="preserve">It also hosts and partners with other external research </w:t>
      </w:r>
      <w:proofErr w:type="spellStart"/>
      <w:r w:rsidRPr="00AF05BE">
        <w:rPr>
          <w:rFonts w:asciiTheme="minorHAnsi" w:hAnsiTheme="minorHAnsi" w:cstheme="minorHAnsi"/>
          <w:sz w:val="22"/>
          <w:szCs w:val="22"/>
          <w:lang w:val="en"/>
        </w:rPr>
        <w:t>centres</w:t>
      </w:r>
      <w:proofErr w:type="spellEnd"/>
      <w:r w:rsidRPr="00AF05BE">
        <w:rPr>
          <w:rFonts w:asciiTheme="minorHAnsi" w:hAnsiTheme="minorHAnsi" w:cstheme="minorHAnsi"/>
          <w:sz w:val="22"/>
          <w:szCs w:val="22"/>
          <w:lang w:val="en"/>
        </w:rPr>
        <w:t xml:space="preserve"> including: the Centre for Ergonomics and Human Factors (</w:t>
      </w:r>
      <w:hyperlink r:id="rId14" w:history="1">
        <w:r w:rsidRPr="00AF05BE">
          <w:rPr>
            <w:rStyle w:val="Hyperlink"/>
            <w:rFonts w:asciiTheme="minorHAnsi" w:hAnsiTheme="minorHAnsi" w:cstheme="minorHAnsi"/>
            <w:color w:val="auto"/>
            <w:sz w:val="22"/>
            <w:szCs w:val="22"/>
            <w:lang w:val="en"/>
          </w:rPr>
          <w:t>CEHF</w:t>
        </w:r>
      </w:hyperlink>
      <w:r w:rsidRPr="00AF05BE">
        <w:rPr>
          <w:rFonts w:asciiTheme="minorHAnsi" w:hAnsiTheme="minorHAnsi" w:cstheme="minorHAnsi"/>
          <w:sz w:val="22"/>
          <w:szCs w:val="22"/>
          <w:lang w:val="en"/>
        </w:rPr>
        <w:t>) and the Australian Prevention Partnership Centre (</w:t>
      </w:r>
      <w:hyperlink r:id="rId15" w:history="1">
        <w:r w:rsidRPr="00AF05BE">
          <w:rPr>
            <w:rStyle w:val="Hyperlink"/>
            <w:rFonts w:asciiTheme="minorHAnsi" w:hAnsiTheme="minorHAnsi" w:cstheme="minorHAnsi"/>
            <w:color w:val="auto"/>
            <w:sz w:val="22"/>
            <w:szCs w:val="22"/>
            <w:lang w:val="en"/>
          </w:rPr>
          <w:t>TAPPC</w:t>
        </w:r>
      </w:hyperlink>
      <w:r w:rsidRPr="00AF05BE">
        <w:rPr>
          <w:rFonts w:asciiTheme="minorHAnsi" w:hAnsiTheme="minorHAnsi" w:cstheme="minorHAnsi"/>
          <w:sz w:val="22"/>
          <w:szCs w:val="22"/>
          <w:lang w:val="en"/>
        </w:rPr>
        <w:t>).</w:t>
      </w:r>
    </w:p>
    <w:p w14:paraId="7E5F258F" w14:textId="77777777" w:rsidR="00AF05BE" w:rsidRDefault="00AF05BE" w:rsidP="00AF05BE">
      <w:pPr>
        <w:rPr>
          <w:rFonts w:asciiTheme="minorHAnsi" w:hAnsiTheme="minorHAnsi"/>
          <w:sz w:val="22"/>
          <w:szCs w:val="22"/>
          <w:lang w:val="en"/>
        </w:rPr>
      </w:pPr>
    </w:p>
    <w:p w14:paraId="2330DB68" w14:textId="77777777" w:rsidR="00AF05BE" w:rsidRPr="005F07A3" w:rsidRDefault="00AF05BE" w:rsidP="00AF05BE">
      <w:pPr>
        <w:jc w:val="both"/>
        <w:rPr>
          <w:rFonts w:asciiTheme="minorHAnsi" w:hAnsiTheme="minorHAnsi"/>
          <w:color w:val="7030A0"/>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4"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4"/>
      <w:r w:rsidRPr="005F07A3">
        <w:rPr>
          <w:rFonts w:asciiTheme="minorHAnsi" w:hAnsiTheme="minorHAnsi"/>
          <w:sz w:val="22"/>
          <w:szCs w:val="22"/>
          <w:lang w:val="en"/>
        </w:rPr>
        <w:t xml:space="preserve">lagship </w:t>
      </w:r>
      <w:bookmarkStart w:id="5"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 xml:space="preserve">Art Therapy and Ergonomics, Safety and Health.  </w:t>
      </w:r>
      <w:bookmarkEnd w:id="5"/>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245DF362" w14:textId="77777777" w:rsidR="00AF05BE" w:rsidRPr="00EB2820" w:rsidRDefault="00AF05BE" w:rsidP="00AF05BE">
      <w:pPr>
        <w:jc w:val="both"/>
        <w:rPr>
          <w:rFonts w:asciiTheme="minorHAnsi" w:hAnsiTheme="minorHAnsi"/>
          <w:sz w:val="22"/>
          <w:szCs w:val="22"/>
          <w:lang w:val="en"/>
        </w:rPr>
      </w:pPr>
    </w:p>
    <w:p w14:paraId="434EBED5" w14:textId="77777777" w:rsidR="00AF05BE" w:rsidRPr="00AF05BE" w:rsidRDefault="00AF05BE" w:rsidP="00AF05BE">
      <w:pPr>
        <w:spacing w:before="120"/>
        <w:jc w:val="both"/>
        <w:rPr>
          <w:rFonts w:asciiTheme="minorHAnsi" w:hAnsiTheme="minorHAnsi"/>
          <w:sz w:val="22"/>
          <w:szCs w:val="22"/>
        </w:rPr>
      </w:pPr>
      <w:r w:rsidRPr="00AF05BE">
        <w:rPr>
          <w:rFonts w:asciiTheme="minorHAnsi" w:hAnsiTheme="minorHAnsi"/>
          <w:sz w:val="22"/>
          <w:szCs w:val="22"/>
          <w:lang w:val="en"/>
        </w:rPr>
        <w:t xml:space="preserve">The Department’s context offers significant opportunities for internal collaboration and to leverage off a broader range of established expertise related to Public Health.  The past and present Director of the University’s Research Focus Area (RFA) in Building Healthy Communities has been drawn from within the Department of Public Health.  Already co-located with five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(ARCHS, CAPR, </w:t>
      </w:r>
      <w:r w:rsidRPr="00AF05BE">
        <w:rPr>
          <w:rFonts w:asciiTheme="minorHAnsi" w:hAnsiTheme="minorHAnsi"/>
          <w:sz w:val="22"/>
          <w:szCs w:val="22"/>
          <w:lang w:val="en"/>
        </w:rPr>
        <w:lastRenderedPageBreak/>
        <w:t xml:space="preserve">CHCP, The Bouverie and OTARC) within the School, within the College, the School sits alongside the Schools of Allied Health, Human Services &amp; Sport, Nursing &amp; Midwifery, Cancer Medicine and Rural Health, and their associated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(the Australian Institute for Primary Care and Ageing (AIPCA); the Judith Lumley Centre (a multidisciplinary research </w:t>
      </w:r>
      <w:proofErr w:type="spellStart"/>
      <w:r w:rsidRPr="00AF05BE">
        <w:rPr>
          <w:rFonts w:asciiTheme="minorHAnsi" w:hAnsiTheme="minorHAnsi"/>
          <w:sz w:val="22"/>
          <w:szCs w:val="22"/>
          <w:lang w:val="en"/>
        </w:rPr>
        <w:t>centre</w:t>
      </w:r>
      <w:proofErr w:type="spellEnd"/>
      <w:r w:rsidRPr="00AF05BE">
        <w:rPr>
          <w:rFonts w:asciiTheme="minorHAnsi" w:hAnsiTheme="minorHAnsi"/>
          <w:sz w:val="22"/>
          <w:szCs w:val="22"/>
          <w:lang w:val="en"/>
        </w:rPr>
        <w:t xml:space="preserve"> in the fields of mother and infant health); the Aphasia Recovery and Research Centre; the Olivia Newton John Cancer Research Institute; the Centre of Sport And Exercise Medicine Research; the Living with Disability Research Centre (</w:t>
      </w:r>
      <w:proofErr w:type="spellStart"/>
      <w:r w:rsidRPr="00AF05BE">
        <w:rPr>
          <w:rFonts w:asciiTheme="minorHAnsi" w:hAnsiTheme="minorHAnsi"/>
          <w:sz w:val="22"/>
          <w:szCs w:val="22"/>
          <w:lang w:val="en"/>
        </w:rPr>
        <w:t>LiDs</w:t>
      </w:r>
      <w:proofErr w:type="spellEnd"/>
      <w:r w:rsidRPr="00AF05BE">
        <w:rPr>
          <w:rFonts w:asciiTheme="minorHAnsi" w:hAnsiTheme="minorHAnsi"/>
          <w:sz w:val="22"/>
          <w:szCs w:val="22"/>
          <w:lang w:val="en"/>
        </w:rPr>
        <w:t xml:space="preserve">) and the John Richards Centre for Rural Ageing Research.  </w:t>
      </w:r>
      <w:r w:rsidRPr="00AF05BE">
        <w:rPr>
          <w:rFonts w:asciiTheme="minorHAnsi" w:hAnsiTheme="minorHAnsi"/>
          <w:sz w:val="22"/>
          <w:szCs w:val="22"/>
        </w:rPr>
        <w:t xml:space="preserve">These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provide a vehicle for research activities, evidence-based intervention programs, training opportunities and collaboration between community services and research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and universities in Australia and overseas.</w:t>
      </w:r>
    </w:p>
    <w:p w14:paraId="3EFBCF1D" w14:textId="77777777" w:rsidR="00AF05BE" w:rsidRPr="00AF05BE" w:rsidRDefault="00AF05BE" w:rsidP="00AF05BE">
      <w:pPr>
        <w:spacing w:before="120"/>
        <w:jc w:val="both"/>
        <w:rPr>
          <w:rFonts w:asciiTheme="minorHAnsi" w:hAnsiTheme="minorHAnsi"/>
          <w:sz w:val="22"/>
          <w:szCs w:val="22"/>
          <w:lang w:val="en"/>
        </w:rPr>
      </w:pPr>
      <w:r w:rsidRPr="00AF05BE">
        <w:rPr>
          <w:rFonts w:asciiTheme="minorHAnsi" w:hAnsiTheme="minorHAnsi"/>
          <w:sz w:val="22"/>
          <w:szCs w:val="22"/>
          <w:lang w:val="en"/>
        </w:rPr>
        <w:t xml:space="preserve">In addition, La Trobe University is one of the largest </w:t>
      </w:r>
      <w:proofErr w:type="gramStart"/>
      <w:r w:rsidRPr="00AF05BE">
        <w:rPr>
          <w:rFonts w:asciiTheme="minorHAnsi" w:hAnsiTheme="minorHAnsi"/>
          <w:sz w:val="22"/>
          <w:szCs w:val="22"/>
          <w:lang w:val="en"/>
        </w:rPr>
        <w:t>provider</w:t>
      </w:r>
      <w:proofErr w:type="gramEnd"/>
      <w:r w:rsidRPr="00AF05BE">
        <w:rPr>
          <w:rFonts w:asciiTheme="minorHAnsi" w:hAnsiTheme="minorHAnsi"/>
          <w:sz w:val="22"/>
          <w:szCs w:val="22"/>
          <w:lang w:val="en"/>
        </w:rPr>
        <w:t xml:space="preserve"> of health education to students in rural and regional NSW and Victoria, and was recently made a University Department of Rural Health, enabling it to strengthen educational and experiential opportunities in allied health and nursing, and further encourage recruitment and retention of rural and remote health professionals.  In 2019, in partnership with the University of Melbourne, it launched an innovative end-to-end rural medical program allowing even more rural and regional students to train as doctors, which will improve health service provision and outcomes for people living in those areas.</w:t>
      </w:r>
    </w:p>
    <w:p w14:paraId="5D456E4A" w14:textId="77777777" w:rsidR="00AF05BE" w:rsidRPr="00AF05BE" w:rsidRDefault="00AF05BE" w:rsidP="00AF05BE">
      <w:pPr>
        <w:jc w:val="both"/>
        <w:rPr>
          <w:rFonts w:asciiTheme="minorHAnsi" w:hAnsiTheme="minorHAnsi"/>
          <w:sz w:val="22"/>
          <w:szCs w:val="22"/>
          <w:lang w:val="en"/>
        </w:rPr>
      </w:pPr>
    </w:p>
    <w:p w14:paraId="4BA4F628"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 xml:space="preserve">The University has longed worked in partnership with health and community services, including community health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mental health facilities, private hospitals and clinics, and DHS funded human service facilities.  Recently the University has moved to further strengthen these partnerships with the launch of an </w:t>
      </w:r>
      <w:r w:rsidRPr="00AF05BE">
        <w:rPr>
          <w:rFonts w:asciiTheme="minorHAnsi" w:hAnsiTheme="minorHAnsi"/>
          <w:i/>
          <w:sz w:val="22"/>
          <w:szCs w:val="22"/>
          <w:lang w:val="en"/>
        </w:rPr>
        <w:t>Academic and Research Collaborative in Health</w:t>
      </w:r>
      <w:r w:rsidRPr="00AF05BE">
        <w:rPr>
          <w:rFonts w:asciiTheme="minorHAnsi" w:hAnsiTheme="minorHAnsi"/>
          <w:sz w:val="22"/>
          <w:szCs w:val="22"/>
          <w:lang w:val="en"/>
        </w:rPr>
        <w:t xml:space="preserve"> aka the ARCH (formerly the Academic Research Network). The Collaborative is a partnership of nine leading Victorian healthcare providers and La Trobe University that is made possible through strong partnerships in research, training and teaching that has developed over decades.</w:t>
      </w:r>
    </w:p>
    <w:p w14:paraId="12843E3E"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p>
    <w:p w14:paraId="76547E9A"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 xml:space="preserve">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w:t>
      </w:r>
      <w:proofErr w:type="spellStart"/>
      <w:r w:rsidRPr="00AF05BE">
        <w:rPr>
          <w:rFonts w:asciiTheme="minorHAnsi" w:hAnsiTheme="minorHAnsi"/>
          <w:sz w:val="22"/>
          <w:szCs w:val="22"/>
          <w:lang w:val="en"/>
        </w:rPr>
        <w:t>organisations</w:t>
      </w:r>
      <w:proofErr w:type="spellEnd"/>
      <w:r w:rsidRPr="00AF05BE">
        <w:rPr>
          <w:rFonts w:asciiTheme="minorHAnsi" w:hAnsiTheme="minorHAnsi"/>
          <w:sz w:val="22"/>
          <w:szCs w:val="22"/>
          <w:lang w:val="en"/>
        </w:rPr>
        <w:t xml:space="preserve"> which provides greater opportunities to ensure that key research findings are rapidly translated into practice.</w:t>
      </w:r>
    </w:p>
    <w:p w14:paraId="2289CEFC"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p>
    <w:p w14:paraId="7C7F60E6" w14:textId="1BD668E6" w:rsidR="00AF05BE" w:rsidRPr="00AF05BE" w:rsidRDefault="00AF05BE" w:rsidP="00AF05BE">
      <w:pPr>
        <w:pStyle w:val="Default"/>
        <w:rPr>
          <w:b/>
          <w:bCs/>
          <w:color w:val="auto"/>
          <w:sz w:val="22"/>
          <w:szCs w:val="22"/>
        </w:rPr>
      </w:pPr>
      <w:r w:rsidRPr="00AF05BE">
        <w:rPr>
          <w:rFonts w:asciiTheme="minorHAnsi" w:hAnsiTheme="minorHAnsi"/>
          <w:color w:val="auto"/>
          <w:sz w:val="22"/>
          <w:szCs w:val="22"/>
          <w:lang w:val="en"/>
        </w:rPr>
        <w:t>The ARCH initiative allows us to create pathways that accelerate the translation of high-quality research into practice so that together we can improve the health and wellbeing of all Australians.</w:t>
      </w:r>
    </w:p>
    <w:p w14:paraId="6657F850" w14:textId="77777777" w:rsidR="00003981" w:rsidRPr="006A22BA" w:rsidRDefault="00003981" w:rsidP="00003981">
      <w:pPr>
        <w:rPr>
          <w:rFonts w:asciiTheme="minorHAnsi" w:hAnsiTheme="minorHAnsi"/>
          <w:sz w:val="22"/>
          <w:szCs w:val="22"/>
        </w:rPr>
      </w:pPr>
    </w:p>
    <w:p w14:paraId="36CB16B4" w14:textId="77777777" w:rsidR="00601663" w:rsidRPr="00CE7E19" w:rsidRDefault="00601663" w:rsidP="00601663">
      <w:pPr>
        <w:pStyle w:val="Default"/>
        <w:rPr>
          <w:rFonts w:asciiTheme="minorHAnsi" w:hAnsiTheme="minorHAnsi"/>
          <w:b/>
          <w:bCs/>
          <w:sz w:val="22"/>
          <w:szCs w:val="22"/>
        </w:rPr>
      </w:pPr>
    </w:p>
    <w:p w14:paraId="2832C445" w14:textId="77777777" w:rsidR="00601663" w:rsidRPr="003B0155" w:rsidRDefault="00601663" w:rsidP="00601663">
      <w:pPr>
        <w:pStyle w:val="Default"/>
        <w:rPr>
          <w:b/>
          <w:bCs/>
          <w:sz w:val="22"/>
          <w:szCs w:val="22"/>
        </w:rPr>
      </w:pPr>
      <w:r w:rsidRPr="003B0155">
        <w:rPr>
          <w:b/>
          <w:bCs/>
          <w:sz w:val="22"/>
          <w:szCs w:val="22"/>
        </w:rPr>
        <w:t>Senior Lecturer</w:t>
      </w:r>
      <w:r>
        <w:rPr>
          <w:b/>
          <w:bCs/>
          <w:sz w:val="22"/>
          <w:szCs w:val="22"/>
        </w:rPr>
        <w:t xml:space="preserve"> (Level C)</w:t>
      </w:r>
      <w:r w:rsidRPr="003B0155">
        <w:rPr>
          <w:b/>
          <w:bCs/>
          <w:sz w:val="22"/>
          <w:szCs w:val="22"/>
        </w:rPr>
        <w:t xml:space="preserve"> </w:t>
      </w:r>
    </w:p>
    <w:p w14:paraId="3EA04C7B" w14:textId="77777777" w:rsidR="00601663" w:rsidRPr="003B0155" w:rsidRDefault="00601663" w:rsidP="00601663">
      <w:pPr>
        <w:pStyle w:val="Default"/>
        <w:rPr>
          <w:sz w:val="22"/>
          <w:szCs w:val="22"/>
        </w:rPr>
      </w:pPr>
    </w:p>
    <w:p w14:paraId="26A2D41D" w14:textId="77777777" w:rsidR="00601663" w:rsidRDefault="00601663" w:rsidP="00601663">
      <w:pPr>
        <w:pStyle w:val="Default"/>
        <w:jc w:val="both"/>
        <w:rPr>
          <w:rFonts w:asciiTheme="minorHAnsi" w:hAnsiTheme="minorHAnsi"/>
          <w:sz w:val="22"/>
          <w:szCs w:val="22"/>
        </w:rPr>
      </w:pPr>
      <w:r w:rsidRPr="003B0155">
        <w:rPr>
          <w:sz w:val="22"/>
          <w:szCs w:val="22"/>
        </w:rPr>
        <w:t>A Level C</w:t>
      </w:r>
      <w:r>
        <w:rPr>
          <w:sz w:val="22"/>
          <w:szCs w:val="22"/>
        </w:rPr>
        <w:t xml:space="preserve"> Senior Lecturer teaching and research</w:t>
      </w:r>
      <w:r w:rsidRPr="003B0155">
        <w:rPr>
          <w:sz w:val="22"/>
          <w:szCs w:val="22"/>
        </w:rPr>
        <w:t xml:space="preserve"> academic is expected to develop curriculum, teach</w:t>
      </w:r>
      <w:r>
        <w:rPr>
          <w:sz w:val="22"/>
          <w:szCs w:val="22"/>
        </w:rPr>
        <w:t>,</w:t>
      </w:r>
      <w:r w:rsidRPr="003B0155">
        <w:rPr>
          <w:sz w:val="22"/>
          <w:szCs w:val="22"/>
        </w:rPr>
        <w:t xml:space="preserve"> and undertake research and other scholarly work relevant to the development of their di</w:t>
      </w:r>
      <w:r>
        <w:rPr>
          <w:sz w:val="22"/>
          <w:szCs w:val="22"/>
        </w:rPr>
        <w:t xml:space="preserve">scipline or professional field. An academic at this level will </w:t>
      </w:r>
      <w:r w:rsidRPr="00AB5CBF">
        <w:rPr>
          <w:rFonts w:asciiTheme="minorHAnsi" w:hAnsiTheme="minorHAnsi"/>
          <w:sz w:val="22"/>
          <w:szCs w:val="22"/>
        </w:rPr>
        <w:t xml:space="preserve">make a significant contribution to the discipline at the national level. </w:t>
      </w:r>
      <w:r>
        <w:rPr>
          <w:rFonts w:asciiTheme="minorHAnsi" w:hAnsiTheme="minorHAnsi"/>
          <w:sz w:val="22"/>
          <w:szCs w:val="22"/>
        </w:rPr>
        <w:t xml:space="preserve"> They w</w:t>
      </w:r>
      <w:r w:rsidRPr="00AB5CBF">
        <w:rPr>
          <w:rFonts w:asciiTheme="minorHAnsi" w:hAnsiTheme="minorHAnsi"/>
          <w:sz w:val="22"/>
          <w:szCs w:val="22"/>
        </w:rPr>
        <w:t>ill normally play a major role or provide a significant degree of leadership in scholarly, research and professional activities relevant to the profession</w:t>
      </w:r>
      <w:r>
        <w:rPr>
          <w:rFonts w:asciiTheme="minorHAnsi" w:hAnsiTheme="minorHAnsi"/>
          <w:sz w:val="22"/>
          <w:szCs w:val="22"/>
        </w:rPr>
        <w:t>.</w:t>
      </w:r>
    </w:p>
    <w:p w14:paraId="4FB036AC" w14:textId="77777777" w:rsidR="00B55AC6" w:rsidRDefault="00B55AC6" w:rsidP="00B55AC6">
      <w:pPr>
        <w:pStyle w:val="Default"/>
        <w:rPr>
          <w:b/>
          <w:bCs/>
          <w:color w:val="7030A0"/>
          <w:sz w:val="22"/>
          <w:szCs w:val="22"/>
        </w:rPr>
      </w:pPr>
    </w:p>
    <w:p w14:paraId="362E5208" w14:textId="77777777" w:rsidR="00B55AC6" w:rsidRPr="00B55AC6" w:rsidRDefault="00B55AC6" w:rsidP="00B55AC6">
      <w:pPr>
        <w:pStyle w:val="Default"/>
        <w:rPr>
          <w:b/>
          <w:bCs/>
          <w:color w:val="auto"/>
          <w:sz w:val="22"/>
          <w:szCs w:val="22"/>
        </w:rPr>
      </w:pPr>
      <w:r w:rsidRPr="00B55AC6">
        <w:rPr>
          <w:b/>
          <w:bCs/>
          <w:color w:val="auto"/>
          <w:sz w:val="22"/>
          <w:szCs w:val="22"/>
        </w:rPr>
        <w:t xml:space="preserve">Duties at this level may include: </w:t>
      </w:r>
    </w:p>
    <w:p w14:paraId="2A0DC5D0" w14:textId="77777777" w:rsidR="00B55AC6" w:rsidRDefault="00B55AC6" w:rsidP="00B55AC6">
      <w:pPr>
        <w:pStyle w:val="Default"/>
        <w:rPr>
          <w:b/>
          <w:bCs/>
          <w:color w:val="7030A0"/>
          <w:sz w:val="22"/>
          <w:szCs w:val="22"/>
        </w:rPr>
      </w:pPr>
    </w:p>
    <w:p w14:paraId="6D6A8C49" w14:textId="77777777" w:rsidR="00B55AC6" w:rsidRPr="00B55AC6" w:rsidRDefault="00B55AC6" w:rsidP="00B97AC7">
      <w:pPr>
        <w:pStyle w:val="Default"/>
        <w:spacing w:after="80"/>
        <w:jc w:val="both"/>
        <w:rPr>
          <w:b/>
          <w:bCs/>
          <w:color w:val="auto"/>
          <w:sz w:val="22"/>
          <w:szCs w:val="22"/>
        </w:rPr>
      </w:pPr>
      <w:r w:rsidRPr="00B55AC6">
        <w:rPr>
          <w:b/>
          <w:bCs/>
          <w:color w:val="auto"/>
          <w:sz w:val="22"/>
          <w:szCs w:val="22"/>
        </w:rPr>
        <w:t>Research</w:t>
      </w:r>
    </w:p>
    <w:p w14:paraId="2B94B08D"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Lead and conduct innovative and high impact research and produce high quality publications resulting from that research.</w:t>
      </w:r>
    </w:p>
    <w:p w14:paraId="0245D796"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Obtain necessary research funding from grants, contracts, and consultancies.</w:t>
      </w:r>
    </w:p>
    <w:p w14:paraId="4C6C381C" w14:textId="77777777" w:rsidR="00B55AC6" w:rsidRPr="00B55AC6" w:rsidRDefault="00B55AC6" w:rsidP="00B97AC7">
      <w:pPr>
        <w:pStyle w:val="Default"/>
        <w:numPr>
          <w:ilvl w:val="0"/>
          <w:numId w:val="33"/>
        </w:numPr>
        <w:adjustRightInd/>
        <w:spacing w:after="68"/>
        <w:jc w:val="both"/>
        <w:rPr>
          <w:color w:val="auto"/>
          <w:sz w:val="22"/>
          <w:szCs w:val="22"/>
        </w:rPr>
      </w:pPr>
      <w:r w:rsidRPr="00B55AC6">
        <w:rPr>
          <w:color w:val="auto"/>
          <w:sz w:val="22"/>
          <w:szCs w:val="22"/>
        </w:rPr>
        <w:t>Contribute to building a robust and ambitious research culture within La Trobe.</w:t>
      </w:r>
    </w:p>
    <w:p w14:paraId="6EB160DD"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of research teams and/or management of projects.</w:t>
      </w:r>
    </w:p>
    <w:p w14:paraId="25DDF533"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Supervise Higher Degree by Research (HDR), honours and postgraduate students.</w:t>
      </w:r>
    </w:p>
    <w:p w14:paraId="4F146331" w14:textId="77777777" w:rsidR="00B55AC6" w:rsidRPr="00B55AC6" w:rsidRDefault="00B55AC6" w:rsidP="00003981">
      <w:pPr>
        <w:pStyle w:val="Default"/>
        <w:adjustRightInd/>
        <w:spacing w:after="80"/>
        <w:rPr>
          <w:b/>
          <w:color w:val="auto"/>
          <w:sz w:val="22"/>
          <w:szCs w:val="22"/>
        </w:rPr>
      </w:pPr>
      <w:r w:rsidRPr="00B55AC6">
        <w:rPr>
          <w:b/>
          <w:color w:val="auto"/>
          <w:sz w:val="22"/>
          <w:szCs w:val="22"/>
        </w:rPr>
        <w:t>Teaching</w:t>
      </w:r>
    </w:p>
    <w:p w14:paraId="5C2E3B72"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lastRenderedPageBreak/>
        <w:t>Design, coordinate and teach subjects and courses which provide a high quality learning experience that engages undergraduate, honours and postgraduate students.</w:t>
      </w:r>
    </w:p>
    <w:p w14:paraId="74AB6CC9"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Design innovative and effective curriculum which reflects developing best practice nationally and internationally, utilising various methodologies including online and blended learning. </w:t>
      </w:r>
    </w:p>
    <w:p w14:paraId="6F795C31"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La Trobe’s Scholarship of Teaching (</w:t>
      </w:r>
      <w:proofErr w:type="spellStart"/>
      <w:r w:rsidRPr="00B55AC6">
        <w:rPr>
          <w:color w:val="auto"/>
          <w:sz w:val="22"/>
          <w:szCs w:val="22"/>
        </w:rPr>
        <w:t>SoLT</w:t>
      </w:r>
      <w:proofErr w:type="spellEnd"/>
      <w:r w:rsidRPr="00B55AC6">
        <w:rPr>
          <w:color w:val="auto"/>
          <w:sz w:val="22"/>
          <w:szCs w:val="22"/>
        </w:rPr>
        <w:t>) and disciplinary teaching pedagogy and research.</w:t>
      </w:r>
    </w:p>
    <w:p w14:paraId="1DD2C9B3"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and mentoring to others in subject or course level curriculum design and development and delivery of teaching.</w:t>
      </w:r>
    </w:p>
    <w:p w14:paraId="3A90A248" w14:textId="77777777" w:rsidR="00B55AC6" w:rsidRPr="00B55AC6" w:rsidRDefault="00B55AC6" w:rsidP="00601663">
      <w:pPr>
        <w:widowControl/>
        <w:rPr>
          <w:b/>
          <w:sz w:val="22"/>
          <w:szCs w:val="22"/>
        </w:rPr>
      </w:pPr>
      <w:r w:rsidRPr="00B55AC6">
        <w:rPr>
          <w:b/>
          <w:sz w:val="22"/>
          <w:szCs w:val="22"/>
        </w:rPr>
        <w:t>Other</w:t>
      </w:r>
    </w:p>
    <w:p w14:paraId="59AE7E38"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knowledge and knowledge transfer, at a local and/or nationally significant level.</w:t>
      </w:r>
    </w:p>
    <w:p w14:paraId="162D10EC"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Represent discipline/program or school at external events. </w:t>
      </w:r>
    </w:p>
    <w:p w14:paraId="59EEFAC2"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Attend to effective and efficient performance of allocated leadership and administrative functions primarily connected with the position.</w:t>
      </w:r>
    </w:p>
    <w:p w14:paraId="4016DA30"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Maintain professional practice skills/knowledge and expertise at nationally recognised level.</w:t>
      </w:r>
    </w:p>
    <w:p w14:paraId="47BD4AFD" w14:textId="56ED859E"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Undertake other duties commensurate with the classification and scope of the position as required by the </w:t>
      </w:r>
      <w:r w:rsidR="00375175">
        <w:rPr>
          <w:color w:val="auto"/>
          <w:sz w:val="22"/>
          <w:szCs w:val="22"/>
        </w:rPr>
        <w:t xml:space="preserve">Discipline Leader, </w:t>
      </w:r>
      <w:r w:rsidRPr="00B55AC6">
        <w:rPr>
          <w:color w:val="auto"/>
          <w:sz w:val="22"/>
          <w:szCs w:val="22"/>
        </w:rPr>
        <w:t>Head of Department or Head of School.</w:t>
      </w:r>
    </w:p>
    <w:p w14:paraId="43F2A6CC" w14:textId="77777777" w:rsidR="00B55AC6" w:rsidRPr="00B55AC6" w:rsidRDefault="00B55AC6" w:rsidP="00B55AC6">
      <w:pPr>
        <w:pStyle w:val="Default"/>
        <w:rPr>
          <w:b/>
          <w:bCs/>
          <w:color w:val="FFC000"/>
          <w:sz w:val="22"/>
          <w:szCs w:val="22"/>
        </w:rPr>
      </w:pPr>
    </w:p>
    <w:p w14:paraId="4EF5C69C" w14:textId="77777777" w:rsidR="00B55AC6" w:rsidRPr="00B55AC6" w:rsidRDefault="00B55AC6" w:rsidP="00B55AC6">
      <w:pPr>
        <w:pStyle w:val="Default"/>
        <w:rPr>
          <w:b/>
          <w:bCs/>
          <w:color w:val="auto"/>
          <w:sz w:val="22"/>
          <w:szCs w:val="22"/>
        </w:rPr>
      </w:pPr>
      <w:r w:rsidRPr="00B55AC6">
        <w:rPr>
          <w:b/>
          <w:bCs/>
          <w:color w:val="auto"/>
          <w:sz w:val="22"/>
          <w:szCs w:val="22"/>
        </w:rPr>
        <w:t xml:space="preserve">Key Selection Criteria </w:t>
      </w:r>
    </w:p>
    <w:p w14:paraId="45D13B18" w14:textId="77777777" w:rsidR="00B55AC6" w:rsidRDefault="00B55AC6" w:rsidP="00B55AC6">
      <w:pPr>
        <w:pStyle w:val="Default"/>
        <w:rPr>
          <w:color w:val="7030A0"/>
          <w:sz w:val="22"/>
          <w:szCs w:val="22"/>
        </w:rPr>
      </w:pPr>
    </w:p>
    <w:p w14:paraId="06D4DB31" w14:textId="77777777" w:rsidR="00B55AC6" w:rsidRPr="00B55AC6" w:rsidRDefault="00B55AC6" w:rsidP="00003981">
      <w:pPr>
        <w:pStyle w:val="Default"/>
        <w:spacing w:after="80"/>
        <w:rPr>
          <w:b/>
          <w:bCs/>
          <w:color w:val="auto"/>
          <w:sz w:val="22"/>
          <w:szCs w:val="22"/>
        </w:rPr>
      </w:pPr>
      <w:r w:rsidRPr="00B55AC6">
        <w:rPr>
          <w:b/>
          <w:bCs/>
          <w:color w:val="auto"/>
          <w:sz w:val="22"/>
          <w:szCs w:val="22"/>
        </w:rPr>
        <w:t xml:space="preserve">ESSENTIAL </w:t>
      </w:r>
    </w:p>
    <w:p w14:paraId="2EE9A79D" w14:textId="77777777" w:rsidR="00B55AC6" w:rsidRPr="00B55AC6" w:rsidRDefault="00B55AC6" w:rsidP="00B97AC7">
      <w:pPr>
        <w:pStyle w:val="Default"/>
        <w:numPr>
          <w:ilvl w:val="0"/>
          <w:numId w:val="34"/>
        </w:numPr>
        <w:adjustRightInd/>
        <w:spacing w:after="70"/>
        <w:ind w:left="714" w:hanging="357"/>
        <w:jc w:val="both"/>
        <w:rPr>
          <w:color w:val="auto"/>
          <w:sz w:val="22"/>
          <w:szCs w:val="22"/>
        </w:rPr>
      </w:pPr>
      <w:r w:rsidRPr="00B55AC6">
        <w:rPr>
          <w:color w:val="auto"/>
          <w:sz w:val="22"/>
          <w:szCs w:val="22"/>
        </w:rPr>
        <w:t xml:space="preserve">Completion of a PhD or equivalent qualifications and standing recognised by the University/profession as appropriate for the relevant discipline area. </w:t>
      </w:r>
    </w:p>
    <w:p w14:paraId="54D01072"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Strong record of research publication, relative to opportunity, with appropriate evidence of quality and impact. </w:t>
      </w:r>
    </w:p>
    <w:p w14:paraId="4D13BA28"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Success in obtaining research funding from</w:t>
      </w:r>
      <w:r w:rsidR="00F573C1">
        <w:rPr>
          <w:color w:val="auto"/>
          <w:sz w:val="22"/>
          <w:szCs w:val="22"/>
        </w:rPr>
        <w:t xml:space="preserve"> grants/contracts/consultancies</w:t>
      </w:r>
      <w:r w:rsidRPr="00B55AC6">
        <w:rPr>
          <w:color w:val="auto"/>
          <w:sz w:val="22"/>
          <w:szCs w:val="22"/>
        </w:rPr>
        <w:t>.</w:t>
      </w:r>
    </w:p>
    <w:p w14:paraId="08D97B15"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Demonstrated effectiveness in teaching with a commitment to excellence in teaching.</w:t>
      </w:r>
    </w:p>
    <w:p w14:paraId="1A539359"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capacity in curriculum development at course/program level. </w:t>
      </w:r>
    </w:p>
    <w:p w14:paraId="13487216"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Proven ability to mentor and supervise undergraduate, honour and postgraduate students. </w:t>
      </w:r>
    </w:p>
    <w:p w14:paraId="5D4D64AC"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Ability to encourage intellectual development and career aspirations of students.</w:t>
      </w:r>
    </w:p>
    <w:p w14:paraId="7D1BFA8A"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Record of successful research student supervision. </w:t>
      </w:r>
    </w:p>
    <w:p w14:paraId="35677B17"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ability to work independently and as a member of a team in a co-operative and collegial manner. </w:t>
      </w:r>
    </w:p>
    <w:p w14:paraId="5DE9FE0A" w14:textId="77777777" w:rsidR="008A5260" w:rsidRPr="003F2F92" w:rsidRDefault="008A5260" w:rsidP="00003981">
      <w:pPr>
        <w:pStyle w:val="Default"/>
        <w:spacing w:before="240" w:after="80"/>
        <w:rPr>
          <w:b/>
          <w:sz w:val="22"/>
          <w:szCs w:val="22"/>
        </w:rPr>
      </w:pPr>
      <w:r w:rsidRPr="003F2F92">
        <w:rPr>
          <w:b/>
          <w:sz w:val="22"/>
          <w:szCs w:val="22"/>
        </w:rPr>
        <w:t xml:space="preserve">DESIRABLE </w:t>
      </w:r>
    </w:p>
    <w:p w14:paraId="74C3B9EB" w14:textId="2041A746" w:rsidR="00603DB8" w:rsidRPr="00AF05BE" w:rsidRDefault="00603DB8" w:rsidP="00B97AC7">
      <w:pPr>
        <w:pStyle w:val="Default"/>
        <w:numPr>
          <w:ilvl w:val="0"/>
          <w:numId w:val="28"/>
        </w:numPr>
        <w:spacing w:after="30"/>
        <w:ind w:left="714" w:hanging="357"/>
        <w:jc w:val="both"/>
        <w:rPr>
          <w:sz w:val="22"/>
          <w:szCs w:val="22"/>
        </w:rPr>
      </w:pPr>
      <w:r w:rsidRPr="00AF05BE">
        <w:rPr>
          <w:sz w:val="22"/>
          <w:szCs w:val="22"/>
        </w:rPr>
        <w:t xml:space="preserve">Discipline expertise in </w:t>
      </w:r>
      <w:r w:rsidR="0024077C" w:rsidRPr="00AF05BE">
        <w:rPr>
          <w:sz w:val="22"/>
          <w:szCs w:val="22"/>
        </w:rPr>
        <w:t xml:space="preserve">health sector </w:t>
      </w:r>
      <w:r w:rsidRPr="00AF05BE">
        <w:rPr>
          <w:sz w:val="22"/>
          <w:szCs w:val="22"/>
        </w:rPr>
        <w:t xml:space="preserve">operations </w:t>
      </w:r>
      <w:r w:rsidR="0024077C" w:rsidRPr="00AF05BE">
        <w:rPr>
          <w:sz w:val="22"/>
          <w:szCs w:val="22"/>
        </w:rPr>
        <w:t>management/</w:t>
      </w:r>
      <w:r w:rsidRPr="00AF05BE">
        <w:rPr>
          <w:sz w:val="22"/>
          <w:szCs w:val="22"/>
        </w:rPr>
        <w:t>research</w:t>
      </w:r>
    </w:p>
    <w:p w14:paraId="0B5B884C" w14:textId="088B511F" w:rsidR="00241E29" w:rsidRPr="00AF05BE" w:rsidRDefault="00241E29" w:rsidP="00B97AC7">
      <w:pPr>
        <w:pStyle w:val="Default"/>
        <w:numPr>
          <w:ilvl w:val="0"/>
          <w:numId w:val="28"/>
        </w:numPr>
        <w:spacing w:after="30"/>
        <w:ind w:left="714" w:hanging="357"/>
        <w:jc w:val="both"/>
        <w:rPr>
          <w:sz w:val="22"/>
          <w:szCs w:val="22"/>
        </w:rPr>
      </w:pPr>
      <w:r w:rsidRPr="00AF05BE">
        <w:rPr>
          <w:sz w:val="22"/>
          <w:szCs w:val="22"/>
        </w:rPr>
        <w:t>Eligible for membership in the Australasian College of Health Service Management</w:t>
      </w:r>
    </w:p>
    <w:p w14:paraId="13C068FB" w14:textId="09713F5B" w:rsidR="008A5260" w:rsidRPr="003B0155" w:rsidRDefault="008A5260" w:rsidP="00B97AC7">
      <w:pPr>
        <w:pStyle w:val="Default"/>
        <w:numPr>
          <w:ilvl w:val="0"/>
          <w:numId w:val="28"/>
        </w:numPr>
        <w:spacing w:after="30"/>
        <w:ind w:left="714" w:hanging="357"/>
        <w:jc w:val="both"/>
        <w:rPr>
          <w:sz w:val="22"/>
          <w:szCs w:val="22"/>
        </w:rPr>
      </w:pPr>
      <w:r w:rsidRPr="003B0155">
        <w:rPr>
          <w:sz w:val="22"/>
          <w:szCs w:val="22"/>
        </w:rPr>
        <w:t xml:space="preserve">Graduate Certificate in Higher Education or evidence of equivalent professional preparation for </w:t>
      </w:r>
      <w:r w:rsidR="00B069C6">
        <w:rPr>
          <w:sz w:val="22"/>
          <w:szCs w:val="22"/>
        </w:rPr>
        <w:t>higher education</w:t>
      </w:r>
      <w:r w:rsidR="00B069C6" w:rsidRPr="003B0155">
        <w:rPr>
          <w:sz w:val="22"/>
          <w:szCs w:val="22"/>
        </w:rPr>
        <w:t xml:space="preserve"> </w:t>
      </w:r>
      <w:r w:rsidRPr="003B0155">
        <w:rPr>
          <w:sz w:val="22"/>
          <w:szCs w:val="22"/>
        </w:rPr>
        <w:t xml:space="preserve">teaching </w:t>
      </w:r>
    </w:p>
    <w:p w14:paraId="57881B5B" w14:textId="77777777" w:rsidR="00A64A18" w:rsidRDefault="008A5260" w:rsidP="00B97AC7">
      <w:pPr>
        <w:pStyle w:val="Default"/>
        <w:numPr>
          <w:ilvl w:val="0"/>
          <w:numId w:val="28"/>
        </w:numPr>
        <w:jc w:val="both"/>
        <w:rPr>
          <w:sz w:val="22"/>
          <w:szCs w:val="22"/>
        </w:rPr>
      </w:pPr>
      <w:r w:rsidRPr="003B0155">
        <w:rPr>
          <w:sz w:val="22"/>
          <w:szCs w:val="22"/>
        </w:rPr>
        <w:t>Demonstrated effectiveness in liaising with external organizations/agencies and/or the general public.</w:t>
      </w:r>
    </w:p>
    <w:p w14:paraId="1B8E586A" w14:textId="77777777" w:rsidR="000E65D7" w:rsidRDefault="000E65D7" w:rsidP="000E65D7">
      <w:pPr>
        <w:pStyle w:val="Default"/>
        <w:jc w:val="both"/>
        <w:rPr>
          <w:rFonts w:asciiTheme="minorHAnsi" w:hAnsiTheme="minorHAnsi"/>
          <w:b/>
          <w:bCs/>
          <w:sz w:val="22"/>
          <w:szCs w:val="22"/>
        </w:rPr>
      </w:pPr>
    </w:p>
    <w:p w14:paraId="3EE292A1" w14:textId="77777777" w:rsidR="000E65D7" w:rsidRDefault="000E65D7" w:rsidP="00003981">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15200634" w14:textId="77777777" w:rsidR="00003981" w:rsidRDefault="00003981" w:rsidP="00003981">
      <w:pPr>
        <w:pStyle w:val="Default"/>
        <w:numPr>
          <w:ilvl w:val="0"/>
          <w:numId w:val="35"/>
        </w:numPr>
        <w:jc w:val="both"/>
        <w:rPr>
          <w:rFonts w:asciiTheme="minorHAnsi" w:hAnsiTheme="minorHAnsi"/>
          <w:bCs/>
          <w:sz w:val="22"/>
          <w:szCs w:val="22"/>
        </w:rPr>
      </w:pPr>
      <w:r>
        <w:rPr>
          <w:rFonts w:asciiTheme="minorHAnsi" w:hAnsiTheme="minorHAnsi"/>
          <w:bCs/>
          <w:sz w:val="22"/>
          <w:szCs w:val="22"/>
        </w:rPr>
        <w:t>The majority of the Department’s</w:t>
      </w:r>
      <w:r w:rsidRPr="002C7279">
        <w:rPr>
          <w:rFonts w:asciiTheme="minorHAnsi" w:hAnsiTheme="minorHAnsi"/>
          <w:bCs/>
          <w:sz w:val="22"/>
          <w:szCs w:val="22"/>
        </w:rPr>
        <w:t xml:space="preserve"> postgraduate programs</w:t>
      </w:r>
      <w:r>
        <w:rPr>
          <w:rFonts w:asciiTheme="minorHAnsi" w:hAnsiTheme="minorHAnsi"/>
          <w:bCs/>
          <w:sz w:val="22"/>
          <w:szCs w:val="22"/>
        </w:rPr>
        <w:t xml:space="preserve"> are delivered from </w:t>
      </w:r>
      <w:r w:rsidRPr="002C7279">
        <w:rPr>
          <w:rFonts w:asciiTheme="minorHAnsi" w:hAnsiTheme="minorHAnsi"/>
          <w:bCs/>
          <w:sz w:val="22"/>
          <w:szCs w:val="22"/>
        </w:rPr>
        <w:t>La Trobe’s Melbourne CBD (Collins St) campus</w:t>
      </w:r>
      <w:r>
        <w:rPr>
          <w:rFonts w:asciiTheme="minorHAnsi" w:hAnsiTheme="minorHAnsi"/>
          <w:bCs/>
          <w:sz w:val="22"/>
          <w:szCs w:val="22"/>
        </w:rPr>
        <w:t xml:space="preserve">.  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this campus</w:t>
      </w:r>
      <w:r w:rsidRPr="002C7279">
        <w:rPr>
          <w:rFonts w:asciiTheme="minorHAnsi" w:hAnsiTheme="minorHAnsi"/>
          <w:bCs/>
          <w:sz w:val="22"/>
          <w:szCs w:val="22"/>
        </w:rPr>
        <w:t>, but will also occasionally require attendance at the Melbourne (Bundoora) campus.</w:t>
      </w:r>
    </w:p>
    <w:p w14:paraId="089AB8F5" w14:textId="6AD91B8C" w:rsidR="00B97AC7" w:rsidRPr="00B97AC7" w:rsidRDefault="00B97AC7" w:rsidP="00B97AC7">
      <w:pPr>
        <w:pStyle w:val="ListParagraph"/>
        <w:numPr>
          <w:ilvl w:val="0"/>
          <w:numId w:val="35"/>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w:t>
      </w:r>
      <w:r w:rsidR="002454B4">
        <w:rPr>
          <w:rFonts w:asciiTheme="minorHAnsi" w:hAnsiTheme="minorHAnsi"/>
          <w:bCs/>
          <w:sz w:val="22"/>
          <w:szCs w:val="22"/>
        </w:rPr>
        <w:t xml:space="preserve">student </w:t>
      </w:r>
      <w:r w:rsidR="002E4B19">
        <w:rPr>
          <w:rFonts w:asciiTheme="minorHAnsi" w:hAnsiTheme="minorHAnsi"/>
          <w:bCs/>
          <w:sz w:val="22"/>
          <w:szCs w:val="22"/>
        </w:rPr>
        <w:t>events</w:t>
      </w:r>
      <w:r w:rsidR="002454B4">
        <w:rPr>
          <w:rFonts w:asciiTheme="minorHAnsi" w:hAnsiTheme="minorHAnsi"/>
          <w:bCs/>
          <w:sz w:val="22"/>
          <w:szCs w:val="22"/>
        </w:rPr>
        <w:t xml:space="preserve"> and </w:t>
      </w:r>
      <w:r>
        <w:rPr>
          <w:rFonts w:asciiTheme="minorHAnsi" w:hAnsiTheme="minorHAnsi"/>
          <w:bCs/>
          <w:sz w:val="22"/>
          <w:szCs w:val="22"/>
        </w:rPr>
        <w:t xml:space="preserve">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32B64E18" w14:textId="77777777" w:rsidR="00003981" w:rsidRDefault="00003981" w:rsidP="00003981">
      <w:pPr>
        <w:pStyle w:val="Default"/>
        <w:numPr>
          <w:ilvl w:val="0"/>
          <w:numId w:val="35"/>
        </w:numPr>
        <w:jc w:val="both"/>
        <w:rPr>
          <w:rFonts w:asciiTheme="minorHAnsi" w:hAnsiTheme="minorHAnsi"/>
          <w:bCs/>
          <w:sz w:val="22"/>
          <w:szCs w:val="22"/>
        </w:rPr>
      </w:pPr>
      <w:r>
        <w:rPr>
          <w:rFonts w:asciiTheme="minorHAnsi" w:hAnsiTheme="minorHAnsi"/>
          <w:bCs/>
          <w:sz w:val="22"/>
          <w:szCs w:val="22"/>
        </w:rPr>
        <w:lastRenderedPageBreak/>
        <w:t>The position description is indicative of the initial expectation of the role and subject to changes to University goals and priorities, activities or focus of the job.</w:t>
      </w:r>
    </w:p>
    <w:p w14:paraId="16DEC650" w14:textId="77777777" w:rsidR="001E1E50" w:rsidRDefault="001E1E50" w:rsidP="001E1E50">
      <w:pPr>
        <w:pStyle w:val="Default"/>
        <w:rPr>
          <w:sz w:val="22"/>
          <w:szCs w:val="22"/>
        </w:rPr>
      </w:pPr>
    </w:p>
    <w:p w14:paraId="7B6AAB7F" w14:textId="77777777" w:rsidR="00B97AC7" w:rsidRPr="007567A3" w:rsidRDefault="00B97AC7" w:rsidP="00B97AC7">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6422F6E" w14:textId="77777777" w:rsidR="00B97AC7" w:rsidRPr="007567A3" w:rsidRDefault="00B97AC7" w:rsidP="00B97AC7">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4227862" w14:textId="77777777"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6971373E" w14:textId="77777777"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761383D" w14:textId="77777777" w:rsidR="00B97AC7" w:rsidRDefault="00B97AC7" w:rsidP="00B97AC7">
      <w:pPr>
        <w:pStyle w:val="Default"/>
        <w:jc w:val="both"/>
        <w:rPr>
          <w:rFonts w:asciiTheme="minorHAnsi" w:hAnsiTheme="minorHAnsi" w:cstheme="minorHAnsi"/>
          <w:b/>
          <w:bCs/>
          <w:sz w:val="22"/>
          <w:szCs w:val="22"/>
        </w:rPr>
      </w:pPr>
    </w:p>
    <w:p w14:paraId="27B75986" w14:textId="77777777" w:rsidR="00B97AC7" w:rsidRPr="00F66E33" w:rsidRDefault="00B97AC7" w:rsidP="00B97AC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FF22998" w14:textId="77777777" w:rsidR="00B97AC7" w:rsidRPr="00F66E33" w:rsidRDefault="00B97AC7" w:rsidP="00B97AC7">
      <w:pPr>
        <w:pStyle w:val="Default"/>
        <w:jc w:val="both"/>
        <w:rPr>
          <w:rFonts w:asciiTheme="minorHAnsi" w:hAnsiTheme="minorHAnsi" w:cstheme="minorHAnsi"/>
          <w:sz w:val="22"/>
          <w:szCs w:val="22"/>
        </w:rPr>
      </w:pPr>
    </w:p>
    <w:p w14:paraId="483283BC" w14:textId="77777777"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4F4A321" w14:textId="77777777"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230F0A" w14:textId="77777777" w:rsidR="00B97AC7" w:rsidRPr="00F66E33" w:rsidRDefault="00B97AC7" w:rsidP="00B97AC7">
      <w:pPr>
        <w:pStyle w:val="ListParagraph"/>
        <w:numPr>
          <w:ilvl w:val="0"/>
          <w:numId w:val="36"/>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404DB9D"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4969B581"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7764FACA"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7F60AEB" w14:textId="77777777" w:rsidR="00B97AC7" w:rsidRDefault="00B97AC7" w:rsidP="00B97AC7">
      <w:pPr>
        <w:pStyle w:val="Default"/>
        <w:rPr>
          <w:rFonts w:asciiTheme="minorHAnsi" w:hAnsiTheme="minorHAnsi"/>
          <w:sz w:val="22"/>
          <w:szCs w:val="22"/>
        </w:rPr>
      </w:pPr>
    </w:p>
    <w:p w14:paraId="350DDD2C" w14:textId="77777777" w:rsidR="00B97AC7" w:rsidRDefault="00B97AC7" w:rsidP="00B97AC7">
      <w:pPr>
        <w:pStyle w:val="Default"/>
        <w:rPr>
          <w:rFonts w:asciiTheme="minorHAnsi" w:hAnsiTheme="minorHAnsi"/>
          <w:sz w:val="22"/>
          <w:szCs w:val="22"/>
        </w:rPr>
      </w:pPr>
    </w:p>
    <w:p w14:paraId="6FEAA7F0" w14:textId="77777777" w:rsidR="00B97AC7" w:rsidRPr="00CA2FF4" w:rsidRDefault="00B97AC7" w:rsidP="00B97AC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839A2EB" w14:textId="77777777" w:rsidR="00B97AC7" w:rsidRPr="00C01924" w:rsidRDefault="00B97AC7" w:rsidP="00B97AC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762BC73E" w14:textId="77777777" w:rsidR="00B97AC7" w:rsidRDefault="00B97AC7" w:rsidP="00B97AC7">
      <w:pPr>
        <w:pStyle w:val="Default"/>
        <w:rPr>
          <w:rFonts w:asciiTheme="minorHAnsi" w:hAnsiTheme="minorHAnsi"/>
          <w:sz w:val="22"/>
          <w:szCs w:val="22"/>
        </w:rPr>
      </w:pPr>
    </w:p>
    <w:p w14:paraId="0887865F" w14:textId="77777777" w:rsidR="00B97AC7" w:rsidRPr="006D0BBE" w:rsidRDefault="00B97AC7" w:rsidP="00B97AC7">
      <w:pPr>
        <w:spacing w:after="60"/>
        <w:rPr>
          <w:rFonts w:asciiTheme="minorHAnsi" w:hAnsiTheme="minorHAnsi"/>
          <w:sz w:val="20"/>
          <w:lang w:val="en-AU"/>
        </w:rPr>
      </w:pPr>
    </w:p>
    <w:p w14:paraId="523A8CE7" w14:textId="77777777" w:rsidR="00265D6D" w:rsidRPr="001E1E50" w:rsidRDefault="00265D6D" w:rsidP="00B97AC7">
      <w:pPr>
        <w:pStyle w:val="Default"/>
        <w:rPr>
          <w:rFonts w:asciiTheme="minorHAnsi" w:hAnsiTheme="minorHAnsi"/>
          <w:sz w:val="20"/>
        </w:rPr>
      </w:pPr>
    </w:p>
    <w:sectPr w:rsidR="00265D6D" w:rsidRPr="001E1E50" w:rsidSect="00A02E8F">
      <w:headerReference w:type="even" r:id="rId16"/>
      <w:headerReference w:type="default" r:id="rId17"/>
      <w:footerReference w:type="default" r:id="rId18"/>
      <w:headerReference w:type="first" r:id="rId19"/>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5C46" w14:textId="77777777" w:rsidR="006B640D" w:rsidRDefault="006B640D">
      <w:r>
        <w:separator/>
      </w:r>
    </w:p>
  </w:endnote>
  <w:endnote w:type="continuationSeparator" w:id="0">
    <w:p w14:paraId="4A2CD746" w14:textId="77777777" w:rsidR="006B640D" w:rsidRDefault="006B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5074"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1B705520"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CFF9" w14:textId="77777777" w:rsidR="006B640D" w:rsidRDefault="006B640D">
      <w:r>
        <w:separator/>
      </w:r>
    </w:p>
  </w:footnote>
  <w:footnote w:type="continuationSeparator" w:id="0">
    <w:p w14:paraId="15CB23BE" w14:textId="77777777" w:rsidR="006B640D" w:rsidRDefault="006B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E420" w14:textId="77777777" w:rsidR="00AA480C" w:rsidRDefault="00163876">
    <w:pPr>
      <w:pStyle w:val="Header"/>
    </w:pPr>
    <w:r>
      <w:rPr>
        <w:noProof/>
      </w:rPr>
      <w:pict w14:anchorId="1C7A4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F1E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FA9B" w14:textId="77777777" w:rsidR="00AA480C" w:rsidRDefault="00163876">
    <w:pPr>
      <w:pStyle w:val="Header"/>
    </w:pPr>
    <w:r>
      <w:rPr>
        <w:noProof/>
      </w:rPr>
      <w:pict w14:anchorId="195DC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4"/>
  </w:num>
  <w:num w:numId="4">
    <w:abstractNumId w:val="14"/>
  </w:num>
  <w:num w:numId="5">
    <w:abstractNumId w:val="20"/>
  </w:num>
  <w:num w:numId="6">
    <w:abstractNumId w:val="22"/>
  </w:num>
  <w:num w:numId="7">
    <w:abstractNumId w:val="9"/>
  </w:num>
  <w:num w:numId="8">
    <w:abstractNumId w:val="1"/>
  </w:num>
  <w:num w:numId="9">
    <w:abstractNumId w:val="23"/>
  </w:num>
  <w:num w:numId="10">
    <w:abstractNumId w:val="25"/>
  </w:num>
  <w:num w:numId="11">
    <w:abstractNumId w:val="13"/>
  </w:num>
  <w:num w:numId="12">
    <w:abstractNumId w:val="6"/>
  </w:num>
  <w:num w:numId="13">
    <w:abstractNumId w:val="30"/>
  </w:num>
  <w:num w:numId="14">
    <w:abstractNumId w:val="28"/>
  </w:num>
  <w:num w:numId="15">
    <w:abstractNumId w:val="18"/>
  </w:num>
  <w:num w:numId="16">
    <w:abstractNumId w:val="17"/>
  </w:num>
  <w:num w:numId="17">
    <w:abstractNumId w:val="29"/>
  </w:num>
  <w:num w:numId="18">
    <w:abstractNumId w:val="32"/>
  </w:num>
  <w:num w:numId="19">
    <w:abstractNumId w:val="2"/>
  </w:num>
  <w:num w:numId="20">
    <w:abstractNumId w:val="10"/>
  </w:num>
  <w:num w:numId="21">
    <w:abstractNumId w:val="26"/>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21"/>
  </w:num>
  <w:num w:numId="32">
    <w:abstractNumId w:val="27"/>
  </w:num>
  <w:num w:numId="33">
    <w:abstractNumId w:val="12"/>
  </w:num>
  <w:num w:numId="34">
    <w:abstractNumId w:val="11"/>
  </w:num>
  <w:num w:numId="35">
    <w:abstractNumId w:val="34"/>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88"/>
    <w:rsid w:val="00003981"/>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C2BA3"/>
    <w:rsid w:val="000D6A8C"/>
    <w:rsid w:val="000D7DE6"/>
    <w:rsid w:val="000E1206"/>
    <w:rsid w:val="000E1FBA"/>
    <w:rsid w:val="000E282C"/>
    <w:rsid w:val="000E65D7"/>
    <w:rsid w:val="000E72F7"/>
    <w:rsid w:val="00102234"/>
    <w:rsid w:val="00105A71"/>
    <w:rsid w:val="0011381E"/>
    <w:rsid w:val="001216BC"/>
    <w:rsid w:val="00121803"/>
    <w:rsid w:val="001375C6"/>
    <w:rsid w:val="00137E95"/>
    <w:rsid w:val="00140E8C"/>
    <w:rsid w:val="00142297"/>
    <w:rsid w:val="00163876"/>
    <w:rsid w:val="00166A9D"/>
    <w:rsid w:val="00176D2E"/>
    <w:rsid w:val="0018649A"/>
    <w:rsid w:val="001908D2"/>
    <w:rsid w:val="001A0451"/>
    <w:rsid w:val="001A15D3"/>
    <w:rsid w:val="001A6E57"/>
    <w:rsid w:val="001B0CD1"/>
    <w:rsid w:val="001B303F"/>
    <w:rsid w:val="001B38E4"/>
    <w:rsid w:val="001B61DE"/>
    <w:rsid w:val="001D0965"/>
    <w:rsid w:val="001E1E50"/>
    <w:rsid w:val="001E20FB"/>
    <w:rsid w:val="001E496E"/>
    <w:rsid w:val="001E73C0"/>
    <w:rsid w:val="001F3D1D"/>
    <w:rsid w:val="001F6C45"/>
    <w:rsid w:val="001F7CC1"/>
    <w:rsid w:val="00203087"/>
    <w:rsid w:val="0020415A"/>
    <w:rsid w:val="00220596"/>
    <w:rsid w:val="00224DD3"/>
    <w:rsid w:val="002267ED"/>
    <w:rsid w:val="0024077C"/>
    <w:rsid w:val="00241E29"/>
    <w:rsid w:val="002454B4"/>
    <w:rsid w:val="00245588"/>
    <w:rsid w:val="002476A9"/>
    <w:rsid w:val="00253EFE"/>
    <w:rsid w:val="00256FDB"/>
    <w:rsid w:val="00265D6D"/>
    <w:rsid w:val="00270013"/>
    <w:rsid w:val="002744A2"/>
    <w:rsid w:val="002769BA"/>
    <w:rsid w:val="00276FAF"/>
    <w:rsid w:val="00285CA1"/>
    <w:rsid w:val="002934F4"/>
    <w:rsid w:val="002A1F3A"/>
    <w:rsid w:val="002B6353"/>
    <w:rsid w:val="002C3B27"/>
    <w:rsid w:val="002E4B19"/>
    <w:rsid w:val="002E5029"/>
    <w:rsid w:val="003109F5"/>
    <w:rsid w:val="00317DF2"/>
    <w:rsid w:val="00322D91"/>
    <w:rsid w:val="00340895"/>
    <w:rsid w:val="00341F6D"/>
    <w:rsid w:val="00345A34"/>
    <w:rsid w:val="0034773D"/>
    <w:rsid w:val="00347D7E"/>
    <w:rsid w:val="00360E42"/>
    <w:rsid w:val="00361F4F"/>
    <w:rsid w:val="003641BA"/>
    <w:rsid w:val="00366D27"/>
    <w:rsid w:val="00375175"/>
    <w:rsid w:val="003B0155"/>
    <w:rsid w:val="003B55D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7397D"/>
    <w:rsid w:val="00482BFB"/>
    <w:rsid w:val="00484B2B"/>
    <w:rsid w:val="00485FBD"/>
    <w:rsid w:val="004901BE"/>
    <w:rsid w:val="00492597"/>
    <w:rsid w:val="00492C71"/>
    <w:rsid w:val="004A0539"/>
    <w:rsid w:val="004A6946"/>
    <w:rsid w:val="004B40FF"/>
    <w:rsid w:val="004C3676"/>
    <w:rsid w:val="004C5B77"/>
    <w:rsid w:val="004E0A42"/>
    <w:rsid w:val="004F12B6"/>
    <w:rsid w:val="005034AC"/>
    <w:rsid w:val="00522086"/>
    <w:rsid w:val="00524467"/>
    <w:rsid w:val="005274EB"/>
    <w:rsid w:val="005350D7"/>
    <w:rsid w:val="005443DB"/>
    <w:rsid w:val="00545851"/>
    <w:rsid w:val="00560D9F"/>
    <w:rsid w:val="005855AA"/>
    <w:rsid w:val="00587393"/>
    <w:rsid w:val="005B27C7"/>
    <w:rsid w:val="005E6919"/>
    <w:rsid w:val="005F3321"/>
    <w:rsid w:val="005F5CF0"/>
    <w:rsid w:val="00601663"/>
    <w:rsid w:val="00603DB8"/>
    <w:rsid w:val="00611589"/>
    <w:rsid w:val="006374AB"/>
    <w:rsid w:val="00644663"/>
    <w:rsid w:val="00660C71"/>
    <w:rsid w:val="006629E6"/>
    <w:rsid w:val="00677A7D"/>
    <w:rsid w:val="006811C9"/>
    <w:rsid w:val="00684D0B"/>
    <w:rsid w:val="006864C7"/>
    <w:rsid w:val="006910E5"/>
    <w:rsid w:val="006A5258"/>
    <w:rsid w:val="006B640D"/>
    <w:rsid w:val="006B7417"/>
    <w:rsid w:val="006C3AEF"/>
    <w:rsid w:val="006C45D9"/>
    <w:rsid w:val="006C4705"/>
    <w:rsid w:val="006D31A5"/>
    <w:rsid w:val="006D6D72"/>
    <w:rsid w:val="006F0613"/>
    <w:rsid w:val="007011D4"/>
    <w:rsid w:val="0070384B"/>
    <w:rsid w:val="007066C3"/>
    <w:rsid w:val="00725112"/>
    <w:rsid w:val="00725B2D"/>
    <w:rsid w:val="00736054"/>
    <w:rsid w:val="00736CA0"/>
    <w:rsid w:val="00740906"/>
    <w:rsid w:val="00750871"/>
    <w:rsid w:val="007517D1"/>
    <w:rsid w:val="007541EA"/>
    <w:rsid w:val="007643D9"/>
    <w:rsid w:val="00764834"/>
    <w:rsid w:val="00764EAC"/>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5305A"/>
    <w:rsid w:val="00882308"/>
    <w:rsid w:val="00884F4D"/>
    <w:rsid w:val="008A248A"/>
    <w:rsid w:val="008A4B2E"/>
    <w:rsid w:val="008A5260"/>
    <w:rsid w:val="008B0034"/>
    <w:rsid w:val="008B1944"/>
    <w:rsid w:val="008C0614"/>
    <w:rsid w:val="008C0868"/>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0211"/>
    <w:rsid w:val="00954EE6"/>
    <w:rsid w:val="009554D9"/>
    <w:rsid w:val="00966DE0"/>
    <w:rsid w:val="00970F02"/>
    <w:rsid w:val="0098228A"/>
    <w:rsid w:val="0098359C"/>
    <w:rsid w:val="00990932"/>
    <w:rsid w:val="009A15BA"/>
    <w:rsid w:val="009A1ED7"/>
    <w:rsid w:val="009A498E"/>
    <w:rsid w:val="009B2F16"/>
    <w:rsid w:val="009C58B0"/>
    <w:rsid w:val="009D5B18"/>
    <w:rsid w:val="009E0A63"/>
    <w:rsid w:val="009E5AB1"/>
    <w:rsid w:val="009F212E"/>
    <w:rsid w:val="009F777C"/>
    <w:rsid w:val="009F7B57"/>
    <w:rsid w:val="00A02E8F"/>
    <w:rsid w:val="00A1133C"/>
    <w:rsid w:val="00A13BB7"/>
    <w:rsid w:val="00A2623F"/>
    <w:rsid w:val="00A324D2"/>
    <w:rsid w:val="00A345AF"/>
    <w:rsid w:val="00A52E42"/>
    <w:rsid w:val="00A55BC3"/>
    <w:rsid w:val="00A60F34"/>
    <w:rsid w:val="00A64A18"/>
    <w:rsid w:val="00A67E1E"/>
    <w:rsid w:val="00A7760A"/>
    <w:rsid w:val="00A77FDD"/>
    <w:rsid w:val="00A861C0"/>
    <w:rsid w:val="00A87742"/>
    <w:rsid w:val="00A91018"/>
    <w:rsid w:val="00A928AB"/>
    <w:rsid w:val="00AA134A"/>
    <w:rsid w:val="00AA480C"/>
    <w:rsid w:val="00AA5846"/>
    <w:rsid w:val="00AB02EB"/>
    <w:rsid w:val="00AB5BE2"/>
    <w:rsid w:val="00AC23EB"/>
    <w:rsid w:val="00AC3C0B"/>
    <w:rsid w:val="00AE25D2"/>
    <w:rsid w:val="00AF05BE"/>
    <w:rsid w:val="00B031C8"/>
    <w:rsid w:val="00B037AE"/>
    <w:rsid w:val="00B069C6"/>
    <w:rsid w:val="00B105FB"/>
    <w:rsid w:val="00B20918"/>
    <w:rsid w:val="00B20CFC"/>
    <w:rsid w:val="00B220E8"/>
    <w:rsid w:val="00B36F35"/>
    <w:rsid w:val="00B4034C"/>
    <w:rsid w:val="00B4513A"/>
    <w:rsid w:val="00B47792"/>
    <w:rsid w:val="00B55AC6"/>
    <w:rsid w:val="00B76A0D"/>
    <w:rsid w:val="00B84945"/>
    <w:rsid w:val="00B97926"/>
    <w:rsid w:val="00B97A05"/>
    <w:rsid w:val="00B97AC7"/>
    <w:rsid w:val="00BA19EF"/>
    <w:rsid w:val="00BA3C29"/>
    <w:rsid w:val="00BB3446"/>
    <w:rsid w:val="00BB345E"/>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91164"/>
    <w:rsid w:val="00CA55AB"/>
    <w:rsid w:val="00CA7AEA"/>
    <w:rsid w:val="00CB4775"/>
    <w:rsid w:val="00CE360A"/>
    <w:rsid w:val="00CF0177"/>
    <w:rsid w:val="00D1324E"/>
    <w:rsid w:val="00D15678"/>
    <w:rsid w:val="00D21542"/>
    <w:rsid w:val="00D23711"/>
    <w:rsid w:val="00D4393B"/>
    <w:rsid w:val="00D665B1"/>
    <w:rsid w:val="00D714EB"/>
    <w:rsid w:val="00D731B7"/>
    <w:rsid w:val="00D73715"/>
    <w:rsid w:val="00D8679E"/>
    <w:rsid w:val="00D87F7B"/>
    <w:rsid w:val="00D96063"/>
    <w:rsid w:val="00DA349C"/>
    <w:rsid w:val="00DA42B8"/>
    <w:rsid w:val="00DB0011"/>
    <w:rsid w:val="00DC3574"/>
    <w:rsid w:val="00DD4F15"/>
    <w:rsid w:val="00DD7C55"/>
    <w:rsid w:val="00DE2133"/>
    <w:rsid w:val="00DE7D17"/>
    <w:rsid w:val="00DF0C4C"/>
    <w:rsid w:val="00DF3048"/>
    <w:rsid w:val="00DF404A"/>
    <w:rsid w:val="00E005F0"/>
    <w:rsid w:val="00E01B9D"/>
    <w:rsid w:val="00E063D8"/>
    <w:rsid w:val="00E10820"/>
    <w:rsid w:val="00E120E7"/>
    <w:rsid w:val="00E12249"/>
    <w:rsid w:val="00E15D35"/>
    <w:rsid w:val="00E26E0B"/>
    <w:rsid w:val="00E3381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03D4"/>
    <w:rsid w:val="00EC62C4"/>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573C1"/>
    <w:rsid w:val="00F61B21"/>
    <w:rsid w:val="00F62F85"/>
    <w:rsid w:val="00F632AC"/>
    <w:rsid w:val="00F63A6D"/>
    <w:rsid w:val="00F71882"/>
    <w:rsid w:val="00F73E72"/>
    <w:rsid w:val="00F81ED2"/>
    <w:rsid w:val="00F85BEB"/>
    <w:rsid w:val="00F96597"/>
    <w:rsid w:val="00FC64F7"/>
    <w:rsid w:val="00FD5832"/>
    <w:rsid w:val="00FD6DA3"/>
    <w:rsid w:val="00FD77A1"/>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90875A"/>
  <w15:docId w15:val="{8F1BA985-426F-424D-9739-90E86C9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CommentText">
    <w:name w:val="annotation text"/>
    <w:basedOn w:val="Normal"/>
    <w:link w:val="CommentTextChar"/>
    <w:unhideWhenUsed/>
    <w:rsid w:val="004B40FF"/>
    <w:rPr>
      <w:sz w:val="20"/>
    </w:rPr>
  </w:style>
  <w:style w:type="character" w:customStyle="1" w:styleId="CommentTextChar">
    <w:name w:val="Comment Text Char"/>
    <w:basedOn w:val="DefaultParagraphFont"/>
    <w:link w:val="CommentText"/>
    <w:rsid w:val="004B40FF"/>
    <w:rPr>
      <w:rFonts w:ascii="Univers" w:hAnsi="Univers"/>
      <w:snapToGrid w:val="0"/>
      <w:lang w:val="en-US" w:eastAsia="en-US"/>
    </w:rPr>
  </w:style>
  <w:style w:type="character" w:styleId="CommentReference">
    <w:name w:val="annotation reference"/>
    <w:basedOn w:val="DefaultParagraphFont"/>
    <w:semiHidden/>
    <w:unhideWhenUsed/>
    <w:rsid w:val="00003981"/>
    <w:rPr>
      <w:sz w:val="16"/>
      <w:szCs w:val="16"/>
    </w:rPr>
  </w:style>
  <w:style w:type="character" w:styleId="Emphasis">
    <w:name w:val="Emphasis"/>
    <w:basedOn w:val="DefaultParagraphFont"/>
    <w:uiPriority w:val="20"/>
    <w:qFormat/>
    <w:rsid w:val="00003981"/>
    <w:rPr>
      <w:i/>
      <w:iCs/>
    </w:rPr>
  </w:style>
  <w:style w:type="character" w:styleId="UnresolvedMention">
    <w:name w:val="Unresolved Mention"/>
    <w:basedOn w:val="DefaultParagraphFont"/>
    <w:uiPriority w:val="99"/>
    <w:semiHidden/>
    <w:unhideWhenUsed/>
    <w:rsid w:val="00601663"/>
    <w:rPr>
      <w:color w:val="808080"/>
      <w:shd w:val="clear" w:color="auto" w:fill="E6E6E6"/>
    </w:rPr>
  </w:style>
  <w:style w:type="paragraph" w:styleId="NormalWeb">
    <w:name w:val="Normal (Web)"/>
    <w:basedOn w:val="Normal"/>
    <w:uiPriority w:val="99"/>
    <w:semiHidden/>
    <w:unhideWhenUsed/>
    <w:rsid w:val="0047397D"/>
    <w:pPr>
      <w:widowControl/>
      <w:spacing w:before="100" w:beforeAutospacing="1" w:after="100" w:afterAutospacing="1"/>
    </w:pPr>
    <w:rPr>
      <w:rFonts w:ascii="Times New Roman" w:eastAsiaTheme="minorEastAsia" w:hAnsi="Times New Roman"/>
      <w:snapToGrid/>
      <w:szCs w:val="24"/>
    </w:rPr>
  </w:style>
  <w:style w:type="paragraph" w:styleId="CommentSubject">
    <w:name w:val="annotation subject"/>
    <w:basedOn w:val="CommentText"/>
    <w:next w:val="CommentText"/>
    <w:link w:val="CommentSubjectChar"/>
    <w:semiHidden/>
    <w:unhideWhenUsed/>
    <w:rsid w:val="002267ED"/>
    <w:rPr>
      <w:b/>
      <w:bCs/>
    </w:rPr>
  </w:style>
  <w:style w:type="character" w:customStyle="1" w:styleId="CommentSubjectChar">
    <w:name w:val="Comment Subject Char"/>
    <w:basedOn w:val="CommentTextChar"/>
    <w:link w:val="CommentSubject"/>
    <w:semiHidden/>
    <w:rsid w:val="002267ED"/>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https://www.latrobe.edu.au/public-health/research/centres/palliative-care-un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atrobe.edu.au/policy/documents/academic-promotions-evidence-matrix.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school-psychology-and-public-health" TargetMode="External"/><Relationship Id="rId5" Type="http://schemas.openxmlformats.org/officeDocument/2006/relationships/footnotes" Target="footnotes.xml"/><Relationship Id="rId15" Type="http://schemas.openxmlformats.org/officeDocument/2006/relationships/hyperlink" Target="http://preventioncentre.org.au/" TargetMode="External"/><Relationship Id="rId10" Type="http://schemas.openxmlformats.org/officeDocument/2006/relationships/hyperlink" Target="http://latrobe.edu.au/SH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yperlink" Target="http://www.latrobe.edu.au/school-psychology-and-public-health/ergonom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5</TotalTime>
  <Pages>5</Pages>
  <Words>1931</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14648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Margaret Amarant</cp:lastModifiedBy>
  <cp:revision>4</cp:revision>
  <cp:lastPrinted>2019-03-05T23:40:00Z</cp:lastPrinted>
  <dcterms:created xsi:type="dcterms:W3CDTF">2019-03-05T05:37:00Z</dcterms:created>
  <dcterms:modified xsi:type="dcterms:W3CDTF">2019-03-05T23:40:00Z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