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7775" w14:textId="5E8CA4E0" w:rsidR="001C4580" w:rsidRDefault="001C4580" w:rsidP="00553E5B">
      <w:pPr>
        <w:spacing w:beforeLines="40" w:before="96" w:afterLines="40" w:after="96"/>
        <w:jc w:val="center"/>
        <w:rPr>
          <w:rFonts w:ascii="Arial" w:hAnsi="Arial" w:cs="Arial"/>
          <w:b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6486"/>
      </w:tblGrid>
      <w:tr w:rsidR="004E25D7" w:rsidRPr="004E25D7" w14:paraId="6E0B4EDF" w14:textId="77777777" w:rsidTr="46012E42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68E4BA30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Position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29C7B8DA" w14:textId="051DE5C8" w:rsidR="004E25D7" w:rsidRPr="004E25D7" w:rsidRDefault="00DF6570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46012E42">
              <w:rPr>
                <w:rFonts w:ascii="Century Gothic" w:hAnsi="Century Gothic" w:cs="Arial"/>
                <w:sz w:val="20"/>
                <w:szCs w:val="20"/>
              </w:rPr>
              <w:t xml:space="preserve">Senior </w:t>
            </w:r>
            <w:r w:rsidR="214F37E1" w:rsidRPr="46012E42">
              <w:rPr>
                <w:rFonts w:ascii="Century Gothic" w:hAnsi="Century Gothic" w:cs="Arial"/>
                <w:sz w:val="20"/>
                <w:szCs w:val="20"/>
              </w:rPr>
              <w:t xml:space="preserve">Process and Service Improvement </w:t>
            </w:r>
            <w:r w:rsidRPr="46012E42">
              <w:rPr>
                <w:rFonts w:ascii="Century Gothic" w:hAnsi="Century Gothic" w:cs="Arial"/>
                <w:sz w:val="20"/>
                <w:szCs w:val="20"/>
              </w:rPr>
              <w:t>Officer</w:t>
            </w:r>
          </w:p>
        </w:tc>
      </w:tr>
      <w:tr w:rsidR="004E25D7" w:rsidRPr="004E25D7" w14:paraId="082BBE54" w14:textId="77777777" w:rsidTr="46012E42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42DDAC62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Classification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4D2B10AE" w14:textId="2C3C1142" w:rsidR="004E25D7" w:rsidRPr="004E25D7" w:rsidRDefault="004E25D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 w:rsidRPr="004E25D7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Level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 xml:space="preserve"> </w:t>
            </w:r>
            <w:r w:rsidR="00DF6570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</w:tr>
      <w:tr w:rsidR="004E25D7" w:rsidRPr="004E25D7" w14:paraId="5082684D" w14:textId="77777777" w:rsidTr="46012E42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1314B33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School/Division</w:t>
            </w:r>
          </w:p>
        </w:tc>
        <w:tc>
          <w:tcPr>
            <w:tcW w:w="6486" w:type="dxa"/>
            <w:tcBorders>
              <w:left w:val="nil"/>
            </w:tcBorders>
          </w:tcPr>
          <w:p w14:paraId="2B1E9D39" w14:textId="1E59E14B" w:rsidR="004E25D7" w:rsidRPr="004E25D7" w:rsidRDefault="00B9331C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</w:t>
            </w:r>
            <w:r w:rsidR="001D172B">
              <w:rPr>
                <w:rFonts w:ascii="Century Gothic" w:hAnsi="Century Gothic" w:cs="Arial"/>
                <w:sz w:val="20"/>
                <w:szCs w:val="20"/>
              </w:rPr>
              <w:t>uty Vice-Chancellor (Operations)</w:t>
            </w:r>
          </w:p>
        </w:tc>
      </w:tr>
      <w:tr w:rsidR="004E25D7" w:rsidRPr="004E25D7" w14:paraId="41D4D124" w14:textId="77777777" w:rsidTr="46012E42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35E82E96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Centre/Section</w:t>
            </w:r>
          </w:p>
        </w:tc>
        <w:tc>
          <w:tcPr>
            <w:tcW w:w="6486" w:type="dxa"/>
            <w:tcBorders>
              <w:left w:val="nil"/>
            </w:tcBorders>
          </w:tcPr>
          <w:p w14:paraId="274FF773" w14:textId="7924B177" w:rsidR="004E25D7" w:rsidRPr="00077296" w:rsidRDefault="001D172B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University Transformation and Improvement</w:t>
            </w:r>
            <w:r w:rsidR="00DF6570" w:rsidRPr="00DF6570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ab/>
            </w:r>
            <w:r w:rsidR="004E25D7" w:rsidRPr="00077296">
              <w:rPr>
                <w:rFonts w:ascii="Century Gothic" w:hAnsi="Century Gothic" w:cs="Arial"/>
                <w:sz w:val="20"/>
                <w:szCs w:val="20"/>
                <w:lang w:val="en-US"/>
              </w:rPr>
              <w:tab/>
            </w:r>
          </w:p>
        </w:tc>
      </w:tr>
      <w:tr w:rsidR="004E25D7" w:rsidRPr="004E25D7" w14:paraId="53A0F01B" w14:textId="77777777" w:rsidTr="46012E42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C682E2B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Supervisor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 w:rsidRPr="004E25D7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63BFE429" w14:textId="1D3C3D24" w:rsidR="004E25D7" w:rsidRPr="004E25D7" w:rsidRDefault="00DF6570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00DF6570">
              <w:rPr>
                <w:rFonts w:ascii="Century Gothic" w:hAnsi="Century Gothic" w:cs="Arial"/>
                <w:sz w:val="20"/>
                <w:szCs w:val="20"/>
              </w:rPr>
              <w:t>Manager (Continuous Improvement)</w:t>
            </w:r>
          </w:p>
        </w:tc>
      </w:tr>
      <w:tr w:rsidR="004E25D7" w:rsidRPr="004E25D7" w14:paraId="2AC308C2" w14:textId="77777777" w:rsidTr="46012E42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60281545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>Supervisor Position Number</w:t>
            </w:r>
            <w:r w:rsidRPr="004E25D7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ab/>
            </w:r>
            <w:r w:rsidRPr="004E25D7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7CC4F39F" w14:textId="7A424E94" w:rsidR="004E25D7" w:rsidRPr="004E25D7" w:rsidRDefault="00DF6570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DF6570">
              <w:rPr>
                <w:rFonts w:ascii="Century Gothic" w:hAnsi="Century Gothic" w:cs="Arial"/>
                <w:color w:val="7F7F7F"/>
                <w:sz w:val="20"/>
                <w:szCs w:val="20"/>
              </w:rPr>
              <w:t>315863</w:t>
            </w:r>
          </w:p>
        </w:tc>
      </w:tr>
      <w:tr w:rsidR="004E25D7" w:rsidRPr="004E25D7" w14:paraId="45329927" w14:textId="77777777" w:rsidTr="46012E42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733C6D5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4E25D7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Position</w:t>
            </w:r>
            <w:r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Number</w:t>
            </w:r>
          </w:p>
        </w:tc>
        <w:tc>
          <w:tcPr>
            <w:tcW w:w="6486" w:type="dxa"/>
            <w:tcBorders>
              <w:left w:val="nil"/>
            </w:tcBorders>
          </w:tcPr>
          <w:p w14:paraId="385F9061" w14:textId="533781DF" w:rsidR="00701A75" w:rsidRPr="00553E5B" w:rsidRDefault="00DF6570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color w:val="7F7F7F"/>
                <w:sz w:val="20"/>
                <w:szCs w:val="20"/>
              </w:rPr>
            </w:pPr>
            <w:r w:rsidRPr="00DF6570">
              <w:rPr>
                <w:rFonts w:ascii="Century Gothic" w:hAnsi="Century Gothic" w:cs="Arial"/>
                <w:bCs/>
                <w:color w:val="7F7F7F"/>
                <w:sz w:val="20"/>
                <w:szCs w:val="20"/>
                <w:lang w:val="en-US"/>
              </w:rPr>
              <w:t>319523, 319558</w:t>
            </w:r>
          </w:p>
        </w:tc>
      </w:tr>
    </w:tbl>
    <w:p w14:paraId="412A44AF" w14:textId="77777777" w:rsidR="008E14B5" w:rsidRPr="002B0B9A" w:rsidRDefault="008E14B5" w:rsidP="00553E5B">
      <w:pPr>
        <w:tabs>
          <w:tab w:val="right" w:pos="9072"/>
        </w:tabs>
        <w:spacing w:beforeLines="40" w:before="96" w:afterLines="40" w:after="96"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D99CD69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work area</w:t>
      </w:r>
    </w:p>
    <w:p w14:paraId="5BE2785A" w14:textId="3505E747" w:rsidR="008D17E1" w:rsidRDefault="00B970EC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46012E42">
        <w:rPr>
          <w:rFonts w:ascii="Century Gothic" w:hAnsi="Century Gothic" w:cs="Arial"/>
          <w:sz w:val="20"/>
          <w:szCs w:val="20"/>
        </w:rPr>
        <w:t xml:space="preserve">The University Transformation and Improvement Team plays a pivotal role in advancing the institution's commitment to excellence, quality enhancement, </w:t>
      </w:r>
      <w:proofErr w:type="gramStart"/>
      <w:r w:rsidRPr="46012E42">
        <w:rPr>
          <w:rFonts w:ascii="Century Gothic" w:hAnsi="Century Gothic" w:cs="Arial"/>
          <w:sz w:val="20"/>
          <w:szCs w:val="20"/>
        </w:rPr>
        <w:t>transformation</w:t>
      </w:r>
      <w:proofErr w:type="gramEnd"/>
      <w:r w:rsidRPr="46012E42">
        <w:rPr>
          <w:rFonts w:ascii="Century Gothic" w:hAnsi="Century Gothic" w:cs="Arial"/>
          <w:sz w:val="20"/>
          <w:szCs w:val="20"/>
        </w:rPr>
        <w:t xml:space="preserve"> and ongoing continuous improvement. This Team is responsible for process, project and quality improvement initiatives across the University and oversees University-wide service quality and process improvement initiatives that enhance the University's overall service outcomes and performance.</w:t>
      </w:r>
    </w:p>
    <w:p w14:paraId="360CF2B1" w14:textId="77777777" w:rsidR="007A4E21" w:rsidRPr="00B31E7E" w:rsidRDefault="007A4E21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1A3000E5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bookmarkStart w:id="0" w:name="QuickMark"/>
      <w:bookmarkEnd w:id="0"/>
      <w:r w:rsidRPr="00FA3102">
        <w:rPr>
          <w:rFonts w:ascii="Century Gothic" w:hAnsi="Century Gothic" w:cs="Arial"/>
          <w:b/>
          <w:bCs/>
          <w:szCs w:val="22"/>
        </w:rPr>
        <w:t>Reporting structure</w:t>
      </w:r>
      <w:r w:rsidRPr="00B950FC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0FFD4907" w14:textId="34D56CE4" w:rsidR="008E14B5" w:rsidRDefault="008E14B5" w:rsidP="00DF6570">
      <w:pPr>
        <w:spacing w:line="276" w:lineRule="auto"/>
        <w:rPr>
          <w:rFonts w:ascii="Century Gothic" w:hAnsi="Century Gothic" w:cs="Arial"/>
          <w:noProof/>
          <w:sz w:val="20"/>
          <w:szCs w:val="20"/>
        </w:rPr>
      </w:pPr>
      <w:r w:rsidRPr="00B950FC">
        <w:rPr>
          <w:rFonts w:ascii="Century Gothic" w:hAnsi="Century Gothic" w:cs="Arial"/>
          <w:noProof/>
          <w:sz w:val="20"/>
          <w:szCs w:val="20"/>
        </w:rPr>
        <w:t xml:space="preserve">Reports to: </w:t>
      </w:r>
      <w:r w:rsidR="00DF6570" w:rsidRPr="00DF6570">
        <w:rPr>
          <w:rFonts w:ascii="Century Gothic" w:hAnsi="Century Gothic" w:cs="Arial"/>
          <w:noProof/>
          <w:sz w:val="20"/>
          <w:szCs w:val="20"/>
        </w:rPr>
        <w:t>Manager (Continuous Improvement)</w:t>
      </w:r>
    </w:p>
    <w:p w14:paraId="02E74DDD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EA2D339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 xml:space="preserve">Your role </w:t>
      </w:r>
    </w:p>
    <w:p w14:paraId="1C3EEED3" w14:textId="62474BE2" w:rsidR="00DF6570" w:rsidRPr="00DF6570" w:rsidRDefault="00DF6570" w:rsidP="00DF6570">
      <w:pP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r w:rsidRPr="00DF6570">
        <w:rPr>
          <w:rFonts w:ascii="Century Gothic" w:hAnsi="Century Gothic" w:cs="Arial"/>
          <w:noProof/>
          <w:sz w:val="20"/>
          <w:szCs w:val="20"/>
        </w:rPr>
        <w:t>As the appointee you will, under broad direction, manage projects for the delivery and promotion of Continuous Improvement and Process Management practices to standardise and improve University processes and procedures</w:t>
      </w:r>
      <w:r w:rsidR="006D39B3">
        <w:rPr>
          <w:rFonts w:ascii="Century Gothic" w:hAnsi="Century Gothic" w:cs="Arial"/>
          <w:noProof/>
          <w:sz w:val="20"/>
          <w:szCs w:val="20"/>
        </w:rPr>
        <w:t>.</w:t>
      </w:r>
      <w:r w:rsidRPr="00DF6570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355CE101" w14:textId="77777777" w:rsidR="00DF6570" w:rsidRPr="00DF6570" w:rsidRDefault="00DF6570" w:rsidP="00DF6570">
      <w:pP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r w:rsidRPr="00DF6570">
        <w:rPr>
          <w:rFonts w:ascii="Century Gothic" w:hAnsi="Century Gothic" w:cs="Arial"/>
          <w:noProof/>
          <w:sz w:val="20"/>
          <w:szCs w:val="20"/>
        </w:rPr>
        <w:t>You will take a lead role in the development, implementation and maintenance of tools and systems, and/or the delivery of process improvement projects. You will facilitate workshops and meetings using continuous improvement methodologies, conduct analysis, develop content, and provide recommendations and implementation plans for other functional areas</w:t>
      </w:r>
    </w:p>
    <w:p w14:paraId="30205A07" w14:textId="77777777" w:rsidR="000B6BBD" w:rsidRDefault="000B6BBD" w:rsidP="000B6BBD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42A9635" w14:textId="77777777" w:rsidR="00FA3102" w:rsidRPr="00F20F6B" w:rsidRDefault="00F20F6B" w:rsidP="00CE2F81">
      <w:pPr>
        <w:pBdr>
          <w:bottom w:val="single" w:sz="12" w:space="1" w:color="003087"/>
        </w:pBdr>
        <w:spacing w:beforeLines="40" w:before="96" w:afterLines="40" w:after="96"/>
        <w:rPr>
          <w:rFonts w:ascii="Arial" w:hAnsi="Arial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Yo</w:t>
      </w:r>
      <w:r w:rsidR="00FA3102" w:rsidRPr="00FA3102">
        <w:rPr>
          <w:rFonts w:ascii="Century Gothic" w:hAnsi="Century Gothic" w:cs="Arial"/>
          <w:b/>
          <w:bCs/>
          <w:szCs w:val="22"/>
        </w:rPr>
        <w:t>ur key responsibilities</w:t>
      </w:r>
      <w:r w:rsidR="00FA3102" w:rsidRPr="00B950FC">
        <w:rPr>
          <w:rFonts w:ascii="Century Gothic" w:hAnsi="Century Gothic" w:cs="Arial"/>
          <w:bCs/>
          <w:i/>
          <w:color w:val="000000"/>
          <w:sz w:val="20"/>
        </w:rPr>
        <w:t xml:space="preserve"> </w:t>
      </w:r>
    </w:p>
    <w:p w14:paraId="26290AC9" w14:textId="47453F61" w:rsidR="00DF6570" w:rsidRPr="00DF6570" w:rsidRDefault="00DF6570" w:rsidP="46012E42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Plan and implement the establishment of systems and tools to ensure efficient operations and service excellence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0F8F7D1E" w14:textId="35B7AC9B" w:rsidR="00DF6570" w:rsidRPr="00DF6570" w:rsidRDefault="00DF6570" w:rsidP="46012E42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Work with stakeholders to develop and implement repeatable business processes, or revise existing processes for improved efficiency, and ensure alignment of interdependent processes across areas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65DB5903" w14:textId="0112EEF4" w:rsidR="00DF6570" w:rsidRPr="00DF6570" w:rsidRDefault="00DF6570" w:rsidP="46012E42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Provide authoritative advice by applying in depth knowledge of business improvement, project management practices, process management and service catalogues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2AF2C166" w14:textId="17DDA33A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Facilitate workshops with a broad cross-section of stakeholders, customers and partners to deliver the right outcome, including live process / service catalogue mapping and electronic documentation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3DF242D1" w14:textId="623D25AB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Develop and lead implementation of projects and actions plans, including change management and resource planning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11FA20D3" w14:textId="3B4ED36F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lastRenderedPageBreak/>
        <w:t>Conduct thorough diagnosis of current and future state business processes, including data analysis, documenting and presenting recommendations, and providing assessments of cost, benefits and risks of proposed improvements and solutions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43C9EA69" w14:textId="429C28A9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Act as a liaison between process/service owners, University IT, the policy team, Secretariat and other  relevant stakeholders to troubleshoot issues, solve problems and identify opportunities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34329AFB" w14:textId="16F6CB03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Maintain the integrity and quality of  UWA Process Hub, documenting processes, work instructions and service information in accordance with relevant frameworks and to agreed standards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14706B0C" w14:textId="30F81F96" w:rsidR="00DF6570" w:rsidRPr="00DF6570" w:rsidRDefault="00DF6570" w:rsidP="46012E42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Other duties as required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7934C2BD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81FBBED" w14:textId="77777777" w:rsidR="00701A75" w:rsidRPr="00F20F6B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specific work capabilities (selection criteria)</w:t>
      </w:r>
      <w:r w:rsidRPr="00B950FC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4D36A020" w14:textId="47AE8E3E" w:rsidR="00C03671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Relevant tertiary qualification  or demonstrated equivalent competency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45697333" w14:textId="3F7FD5FB" w:rsidR="00DF6570" w:rsidRPr="00DF6570" w:rsidRDefault="00C03671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 xml:space="preserve">Substantial relevent </w:t>
      </w:r>
      <w:r w:rsidR="00DF6570" w:rsidRPr="46012E42">
        <w:rPr>
          <w:rFonts w:ascii="Century Gothic" w:hAnsi="Century Gothic" w:cs="Arial"/>
          <w:noProof/>
          <w:sz w:val="20"/>
          <w:szCs w:val="20"/>
        </w:rPr>
        <w:t>experience</w:t>
      </w:r>
      <w:r w:rsidRPr="46012E42">
        <w:rPr>
          <w:rFonts w:ascii="Century Gothic" w:hAnsi="Century Gothic" w:cs="Arial"/>
          <w:noProof/>
          <w:sz w:val="20"/>
          <w:szCs w:val="20"/>
        </w:rPr>
        <w:t xml:space="preserve"> at an appropriate level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21AE2770" w14:textId="30681C02" w:rsidR="00DF6570" w:rsidRPr="00DF6570" w:rsidRDefault="00DF6570" w:rsidP="46012E42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Excellent written skills and attention to detail, with proven experience in writing reports, procedures or  communicating service provision to end users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312BAC1C" w14:textId="6B83ACD2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Excellent verbal communication skills, proven experience in facilitation and/or training and coaching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73767F64" w14:textId="0CBDDCD2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Demonstrated stakeholder engagement and negotiation skills with proven experience in consultation and change management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24021BA3" w14:textId="6CFB94F2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Highly developed conceptual, analytical and problem solving with the ability to develop creative solutions to complex problems and business requirements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7FEAFCE0" w14:textId="6EEA29B6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Excellent planning and organisational skills, and an ability to set priorities and meet deadlines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74F41435" w14:textId="1D75595A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Demonstrated ability to work independently, show initiative and work productively as part of a team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52B838C1" w14:textId="205E5332" w:rsidR="00DF6570" w:rsidRPr="00DF6570" w:rsidRDefault="00DF6570" w:rsidP="00DF6570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46012E42">
        <w:rPr>
          <w:rFonts w:ascii="Century Gothic" w:hAnsi="Century Gothic" w:cs="Arial"/>
          <w:noProof/>
          <w:sz w:val="20"/>
          <w:szCs w:val="20"/>
        </w:rPr>
        <w:t>Highly proficient in the Office 365 suite including in particular, SharePoint (Valo), Visio and PowerPoint</w:t>
      </w:r>
      <w:r w:rsidR="007A4E21" w:rsidRPr="46012E42">
        <w:rPr>
          <w:rFonts w:ascii="Century Gothic" w:hAnsi="Century Gothic" w:cs="Arial"/>
          <w:noProof/>
          <w:sz w:val="20"/>
          <w:szCs w:val="20"/>
        </w:rPr>
        <w:t>.</w:t>
      </w:r>
    </w:p>
    <w:p w14:paraId="5664A471" w14:textId="5EFF4D5D" w:rsidR="008D17E1" w:rsidRDefault="008D17E1" w:rsidP="46012E42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</w:p>
    <w:p w14:paraId="6E0574CA" w14:textId="77777777" w:rsidR="00701A75" w:rsidRPr="00F20F6B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Special requirements (selection criteria)</w:t>
      </w:r>
    </w:p>
    <w:p w14:paraId="4314A5B4" w14:textId="682E676B" w:rsidR="008D17E1" w:rsidRDefault="004E63A1" w:rsidP="46012E42">
      <w:pPr>
        <w:spacing w:beforeLines="40" w:before="96" w:afterLines="40" w:after="9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46012E42">
        <w:rPr>
          <w:rFonts w:ascii="Century Gothic" w:hAnsi="Century Gothic" w:cs="Arial"/>
          <w:sz w:val="20"/>
          <w:szCs w:val="20"/>
        </w:rPr>
        <w:t>There are no special requirements</w:t>
      </w:r>
      <w:r w:rsidR="007A4E21" w:rsidRPr="46012E42">
        <w:rPr>
          <w:rFonts w:ascii="Century Gothic" w:hAnsi="Century Gothic" w:cs="Arial"/>
          <w:sz w:val="20"/>
          <w:szCs w:val="20"/>
        </w:rPr>
        <w:t>.</w:t>
      </w:r>
    </w:p>
    <w:p w14:paraId="5A008854" w14:textId="77777777" w:rsidR="00DF6570" w:rsidRDefault="00DF6570" w:rsidP="00553E5B">
      <w:pPr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A25C2F6" w14:textId="77777777" w:rsidR="00EF22FC" w:rsidRPr="00F20F6B" w:rsidRDefault="00701A75" w:rsidP="00CE2F81">
      <w:pPr>
        <w:pBdr>
          <w:bottom w:val="single" w:sz="12" w:space="1" w:color="003087"/>
        </w:pBdr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Compliance</w:t>
      </w:r>
    </w:p>
    <w:p w14:paraId="65B5164E" w14:textId="77777777" w:rsidR="008E14B5" w:rsidRP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Ensure you are aware of and comply with legislation and University policy relevant to the duties undertaken, including:</w:t>
      </w:r>
    </w:p>
    <w:p w14:paraId="6F259E5A" w14:textId="78576E5D" w:rsidR="00EF22FC" w:rsidRDefault="00EF22FC" w:rsidP="2CAE16F1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2CAE16F1">
        <w:rPr>
          <w:rFonts w:ascii="Century Gothic" w:hAnsi="Century Gothic"/>
          <w:sz w:val="20"/>
          <w:szCs w:val="20"/>
        </w:rPr>
        <w:t>The University’s Code of Conduc</w:t>
      </w:r>
      <w:r w:rsidRPr="2CAE16F1">
        <w:rPr>
          <w:rFonts w:ascii="Century Gothic" w:eastAsia="Century Gothic" w:hAnsi="Century Gothic" w:cs="Century Gothic"/>
          <w:sz w:val="20"/>
          <w:szCs w:val="20"/>
        </w:rPr>
        <w:t>t</w:t>
      </w:r>
      <w:r w:rsidR="0000355B" w:rsidRPr="2CAE16F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hyperlink r:id="rId10">
        <w:r w:rsidR="6ECC3A5E" w:rsidRPr="2CAE16F1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Code of Ethics and Code of C</w:t>
        </w:r>
        <w:r w:rsidR="0000355B" w:rsidRPr="2CAE16F1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onduct</w:t>
        </w:r>
      </w:hyperlink>
    </w:p>
    <w:p w14:paraId="1138D1BE" w14:textId="77777777" w:rsid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Inclusion and Diversity</w:t>
      </w:r>
      <w:r w:rsidR="0000355B">
        <w:rPr>
          <w:rFonts w:ascii="Century Gothic" w:hAnsi="Century Gothic"/>
          <w:sz w:val="20"/>
        </w:rPr>
        <w:t xml:space="preserve"> </w:t>
      </w:r>
      <w:hyperlink r:id="rId11" w:history="1">
        <w:r w:rsidR="0000355B" w:rsidRPr="00F3061D">
          <w:rPr>
            <w:rStyle w:val="Hyperlink"/>
            <w:rFonts w:ascii="Century Gothic" w:hAnsi="Century Gothic"/>
            <w:sz w:val="20"/>
          </w:rPr>
          <w:t>web.uwa.edu.au/inclusion-diversity</w:t>
        </w:r>
      </w:hyperlink>
    </w:p>
    <w:p w14:paraId="4BD320FE" w14:textId="7DC2FFCA" w:rsidR="0000355B" w:rsidRDefault="0000355B" w:rsidP="2CAE16F1">
      <w:pPr>
        <w:spacing w:beforeLines="40" w:before="96" w:afterLines="40" w:after="96"/>
        <w:rPr>
          <w:rFonts w:ascii="Century Gothic" w:eastAsia="Century Gothic" w:hAnsi="Century Gothic" w:cs="Century Gothic"/>
          <w:sz w:val="20"/>
          <w:szCs w:val="20"/>
        </w:rPr>
      </w:pPr>
      <w:r w:rsidRPr="2CAE16F1">
        <w:rPr>
          <w:rFonts w:ascii="Century Gothic" w:eastAsia="Century Gothic" w:hAnsi="Century Gothic" w:cs="Century Gothic"/>
          <w:sz w:val="20"/>
          <w:szCs w:val="20"/>
        </w:rPr>
        <w:t xml:space="preserve">Safety, health and wellbeing </w:t>
      </w:r>
      <w:hyperlink r:id="rId12">
        <w:r w:rsidR="5A67A79D" w:rsidRPr="2CAE16F1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Safety and Health Policy</w:t>
        </w:r>
      </w:hyperlink>
    </w:p>
    <w:p w14:paraId="7DA5883C" w14:textId="77777777" w:rsidR="0000355B" w:rsidRPr="0000355B" w:rsidRDefault="0000355B" w:rsidP="00553E5B">
      <w:pPr>
        <w:spacing w:beforeLines="40" w:before="96" w:afterLines="40" w:after="96"/>
        <w:rPr>
          <w:rFonts w:ascii="Century Gothic" w:hAnsi="Century Gothic"/>
          <w:sz w:val="20"/>
        </w:rPr>
      </w:pPr>
    </w:p>
    <w:sectPr w:rsidR="0000355B" w:rsidRPr="0000355B" w:rsidSect="00B950FC">
      <w:headerReference w:type="default" r:id="rId13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9F79" w14:textId="77777777" w:rsidR="00B0772A" w:rsidRDefault="00B0772A">
      <w:r>
        <w:separator/>
      </w:r>
    </w:p>
  </w:endnote>
  <w:endnote w:type="continuationSeparator" w:id="0">
    <w:p w14:paraId="5C13562E" w14:textId="77777777" w:rsidR="00B0772A" w:rsidRDefault="00B0772A">
      <w:r>
        <w:continuationSeparator/>
      </w:r>
    </w:p>
  </w:endnote>
  <w:endnote w:type="continuationNotice" w:id="1">
    <w:p w14:paraId="1BE9567E" w14:textId="77777777" w:rsidR="00B0772A" w:rsidRDefault="00B07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1C11" w14:textId="77777777" w:rsidR="00B0772A" w:rsidRDefault="00B0772A">
      <w:r>
        <w:separator/>
      </w:r>
    </w:p>
  </w:footnote>
  <w:footnote w:type="continuationSeparator" w:id="0">
    <w:p w14:paraId="6B73F392" w14:textId="77777777" w:rsidR="00B0772A" w:rsidRDefault="00B0772A">
      <w:r>
        <w:continuationSeparator/>
      </w:r>
    </w:p>
  </w:footnote>
  <w:footnote w:type="continuationNotice" w:id="1">
    <w:p w14:paraId="67DDF82F" w14:textId="77777777" w:rsidR="00B0772A" w:rsidRDefault="00B07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34E6477B" wp14:editId="3DC45F01">
                <wp:extent cx="1786255" cy="5861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70097FBE" w:rsidR="0025278D" w:rsidRPr="00CE2F81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POSITION 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3232">
    <w:abstractNumId w:val="0"/>
  </w:num>
  <w:num w:numId="2" w16cid:durableId="117776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C4E"/>
    <w:rsid w:val="0000355B"/>
    <w:rsid w:val="0004462F"/>
    <w:rsid w:val="000760B4"/>
    <w:rsid w:val="00077296"/>
    <w:rsid w:val="000B35E5"/>
    <w:rsid w:val="000B6BBD"/>
    <w:rsid w:val="000F7534"/>
    <w:rsid w:val="00113736"/>
    <w:rsid w:val="00132243"/>
    <w:rsid w:val="001613E3"/>
    <w:rsid w:val="00173454"/>
    <w:rsid w:val="0019508D"/>
    <w:rsid w:val="001A0AFB"/>
    <w:rsid w:val="001B23A7"/>
    <w:rsid w:val="001C4580"/>
    <w:rsid w:val="001C6046"/>
    <w:rsid w:val="001D172B"/>
    <w:rsid w:val="002006DF"/>
    <w:rsid w:val="00211156"/>
    <w:rsid w:val="00242B61"/>
    <w:rsid w:val="002465C4"/>
    <w:rsid w:val="0025278D"/>
    <w:rsid w:val="00262AAE"/>
    <w:rsid w:val="002B0B9A"/>
    <w:rsid w:val="002C1CD7"/>
    <w:rsid w:val="002C740C"/>
    <w:rsid w:val="002E44B0"/>
    <w:rsid w:val="002F19E6"/>
    <w:rsid w:val="002F2F3C"/>
    <w:rsid w:val="002F6F46"/>
    <w:rsid w:val="0031143B"/>
    <w:rsid w:val="003523A9"/>
    <w:rsid w:val="00367B8B"/>
    <w:rsid w:val="00376874"/>
    <w:rsid w:val="0038534E"/>
    <w:rsid w:val="003877B8"/>
    <w:rsid w:val="00391EB8"/>
    <w:rsid w:val="003A46C8"/>
    <w:rsid w:val="003C1D96"/>
    <w:rsid w:val="00417C39"/>
    <w:rsid w:val="004411E0"/>
    <w:rsid w:val="00494F55"/>
    <w:rsid w:val="004A4718"/>
    <w:rsid w:val="004C1A4A"/>
    <w:rsid w:val="004C76A3"/>
    <w:rsid w:val="004E25D7"/>
    <w:rsid w:val="004E63A1"/>
    <w:rsid w:val="005054C0"/>
    <w:rsid w:val="00536C69"/>
    <w:rsid w:val="0054512E"/>
    <w:rsid w:val="00553E5B"/>
    <w:rsid w:val="00562FF1"/>
    <w:rsid w:val="00570256"/>
    <w:rsid w:val="00595027"/>
    <w:rsid w:val="005B37C5"/>
    <w:rsid w:val="005D50D3"/>
    <w:rsid w:val="006162D9"/>
    <w:rsid w:val="00617106"/>
    <w:rsid w:val="006527DC"/>
    <w:rsid w:val="00653E50"/>
    <w:rsid w:val="00675D94"/>
    <w:rsid w:val="006C21B5"/>
    <w:rsid w:val="006C505F"/>
    <w:rsid w:val="006C6536"/>
    <w:rsid w:val="006D39B3"/>
    <w:rsid w:val="006E00CD"/>
    <w:rsid w:val="006E46E2"/>
    <w:rsid w:val="006E5B81"/>
    <w:rsid w:val="006E6FC5"/>
    <w:rsid w:val="006F57C8"/>
    <w:rsid w:val="00701A75"/>
    <w:rsid w:val="007117FF"/>
    <w:rsid w:val="00716B10"/>
    <w:rsid w:val="00744073"/>
    <w:rsid w:val="00754DAC"/>
    <w:rsid w:val="00756374"/>
    <w:rsid w:val="007643D5"/>
    <w:rsid w:val="00786F81"/>
    <w:rsid w:val="00797FCD"/>
    <w:rsid w:val="007A1643"/>
    <w:rsid w:val="007A4E21"/>
    <w:rsid w:val="007C02C9"/>
    <w:rsid w:val="007D4FA9"/>
    <w:rsid w:val="008004E7"/>
    <w:rsid w:val="0080131F"/>
    <w:rsid w:val="00820027"/>
    <w:rsid w:val="00826D45"/>
    <w:rsid w:val="00836723"/>
    <w:rsid w:val="0089451D"/>
    <w:rsid w:val="008D17E1"/>
    <w:rsid w:val="008E14B5"/>
    <w:rsid w:val="008F0F2E"/>
    <w:rsid w:val="00915CE0"/>
    <w:rsid w:val="009172E8"/>
    <w:rsid w:val="00922177"/>
    <w:rsid w:val="00971568"/>
    <w:rsid w:val="009A24ED"/>
    <w:rsid w:val="009B0D3D"/>
    <w:rsid w:val="009B54EB"/>
    <w:rsid w:val="009C06DD"/>
    <w:rsid w:val="009C2B13"/>
    <w:rsid w:val="00A225BB"/>
    <w:rsid w:val="00A44537"/>
    <w:rsid w:val="00A54A12"/>
    <w:rsid w:val="00AB28AF"/>
    <w:rsid w:val="00AD2A56"/>
    <w:rsid w:val="00B06A19"/>
    <w:rsid w:val="00B0772A"/>
    <w:rsid w:val="00B31E7E"/>
    <w:rsid w:val="00B65149"/>
    <w:rsid w:val="00B9331C"/>
    <w:rsid w:val="00B936BB"/>
    <w:rsid w:val="00B950FC"/>
    <w:rsid w:val="00B970EC"/>
    <w:rsid w:val="00BA292C"/>
    <w:rsid w:val="00BC4F97"/>
    <w:rsid w:val="00C03671"/>
    <w:rsid w:val="00C0670F"/>
    <w:rsid w:val="00C47E5B"/>
    <w:rsid w:val="00C7351D"/>
    <w:rsid w:val="00C83188"/>
    <w:rsid w:val="00CC3333"/>
    <w:rsid w:val="00CD79BE"/>
    <w:rsid w:val="00CE2F81"/>
    <w:rsid w:val="00D02566"/>
    <w:rsid w:val="00D16DF7"/>
    <w:rsid w:val="00D21967"/>
    <w:rsid w:val="00D27133"/>
    <w:rsid w:val="00D33887"/>
    <w:rsid w:val="00D41A24"/>
    <w:rsid w:val="00D466FC"/>
    <w:rsid w:val="00D46EDA"/>
    <w:rsid w:val="00D50689"/>
    <w:rsid w:val="00DB4B71"/>
    <w:rsid w:val="00DB55FC"/>
    <w:rsid w:val="00DC3C7D"/>
    <w:rsid w:val="00DD69AD"/>
    <w:rsid w:val="00DF241E"/>
    <w:rsid w:val="00DF6570"/>
    <w:rsid w:val="00E14FA5"/>
    <w:rsid w:val="00E538D1"/>
    <w:rsid w:val="00E61D25"/>
    <w:rsid w:val="00EC10DB"/>
    <w:rsid w:val="00EC2890"/>
    <w:rsid w:val="00EC3F96"/>
    <w:rsid w:val="00EE5CBD"/>
    <w:rsid w:val="00EF034D"/>
    <w:rsid w:val="00EF22FC"/>
    <w:rsid w:val="00F20F6B"/>
    <w:rsid w:val="00F26D9B"/>
    <w:rsid w:val="00F305BE"/>
    <w:rsid w:val="00F3061D"/>
    <w:rsid w:val="00F32538"/>
    <w:rsid w:val="00F65123"/>
    <w:rsid w:val="00F82744"/>
    <w:rsid w:val="00F94432"/>
    <w:rsid w:val="00F97681"/>
    <w:rsid w:val="00FA3102"/>
    <w:rsid w:val="00FF6846"/>
    <w:rsid w:val="0B5B3B32"/>
    <w:rsid w:val="0CC7F441"/>
    <w:rsid w:val="214F37E1"/>
    <w:rsid w:val="2CAE16F1"/>
    <w:rsid w:val="2F6EBB43"/>
    <w:rsid w:val="46012E42"/>
    <w:rsid w:val="4745B797"/>
    <w:rsid w:val="4AE6EEED"/>
    <w:rsid w:val="5020830F"/>
    <w:rsid w:val="521546DD"/>
    <w:rsid w:val="550C98BA"/>
    <w:rsid w:val="5602E751"/>
    <w:rsid w:val="5A36E702"/>
    <w:rsid w:val="5A67A79D"/>
    <w:rsid w:val="6ECC3A5E"/>
    <w:rsid w:val="70F8F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80C94"/>
  <w14:defaultImageDpi w14:val="0"/>
  <w15:docId w15:val="{C0FE5415-CC85-4B84-8771-3A78C4B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331C"/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702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policy/-/media/Project/UWA/UWA/Policy-Library/Policy/Sustainability/Wellbeing/Safety-and-Health/Safety-and-Health-Policy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.uwa.edu.au/inclusion-divers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wa.edu.au/policy/-/media/Project/UWA/UWA/Policy-Library/Policy/Code-of-Conduct/Code-of-Ethics-and-Code-of-Conduct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BEF01C0F8FA41A6CA223D942F0E2B" ma:contentTypeVersion="16" ma:contentTypeDescription="Create a new document." ma:contentTypeScope="" ma:versionID="7c29b48cb4b2e199f9865f0a2520de2a">
  <xsd:schema xmlns:xsd="http://www.w3.org/2001/XMLSchema" xmlns:xs="http://www.w3.org/2001/XMLSchema" xmlns:p="http://schemas.microsoft.com/office/2006/metadata/properties" xmlns:ns2="694c2b34-44ab-4df3-b040-e7747635d091" xmlns:ns3="5bbb14ae-5435-461e-a609-2f3097a12618" xmlns:ns4="5bbb14ae-5435-461e-a609-2f3097a12618" targetNamespace="http://schemas.microsoft.com/office/2006/metadata/properties" ma:root="true" ma:fieldsID="fa9c43bd213b30269646a4234ecef882" ns2:_="" ns4:_="">
    <xsd:import namespace="694c2b34-44ab-4df3-b040-e7747635d091"/>
    <xsd:import namespace="5bbb14ae-5435-461e-a609-2f3097a12618"/>
    <xsd:import namespace="5bbb14ae-5435-461e-a609-2f3097a12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cessOwner" minOccurs="0"/>
                <xsd:element ref="ns2:Processexpert" minOccurs="0"/>
                <xsd:element ref="ns2:Comments" minOccurs="0"/>
                <xsd:element ref="ns2:Commen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2b34-44ab-4df3-b040-e7747635d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ProcessOwner" ma:index="14" nillable="true" ma:displayName="Process Owner" ma:format="Dropdown" ma:list="UserInfo" ma:SharePointGroup="0" ma:internalName="Process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expert" ma:index="15" nillable="true" ma:displayName="Process expert" ma:format="Dropdown" ma:list="UserInfo" ma:SharePointGroup="0" ma:internalName="Processexper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Comment" ma:index="17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b14ae-5435-461e-a609-2f3097a1261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56e8a89-d4ae-4a27-8dba-3841a8cb58e3}" ma:internalName="TaxCatchAll" ma:showField="CatchAllData" ma:web="5bbb14ae-5435-461e-a609-2f3097a12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b14ae-5435-461e-a609-2f3097a1261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bb14ae-5435-461e-a609-2f3097a12618" xsi:nil="true"/>
    <Processexpert xmlns="694c2b34-44ab-4df3-b040-e7747635d091">
      <UserInfo>
        <DisplayName/>
        <AccountId xsi:nil="true"/>
        <AccountType/>
      </UserInfo>
    </Processexpert>
    <Comment xmlns="694c2b34-44ab-4df3-b040-e7747635d091" xsi:nil="true"/>
    <lcf76f155ced4ddcb4097134ff3c332f xmlns="694c2b34-44ab-4df3-b040-e7747635d091">
      <Terms xmlns="http://schemas.microsoft.com/office/infopath/2007/PartnerControls"/>
    </lcf76f155ced4ddcb4097134ff3c332f>
    <ProcessOwner xmlns="694c2b34-44ab-4df3-b040-e7747635d091">
      <UserInfo>
        <DisplayName/>
        <AccountId xsi:nil="true"/>
        <AccountType/>
      </UserInfo>
    </ProcessOwner>
    <Comments xmlns="694c2b34-44ab-4df3-b040-e7747635d091" xsi:nil="true"/>
  </documentManagement>
</p:properties>
</file>

<file path=customXml/itemProps1.xml><?xml version="1.0" encoding="utf-8"?>
<ds:datastoreItem xmlns:ds="http://schemas.openxmlformats.org/officeDocument/2006/customXml" ds:itemID="{78542C85-D857-4427-BCD7-AAEE70588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c2b34-44ab-4df3-b040-e7747635d091"/>
    <ds:schemaRef ds:uri="5bbb14ae-5435-461e-a609-2f3097a12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E07A8-E753-4BA6-8E9D-9A0DC3744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513F4-F1E3-40E8-933D-2FF771A154E2}">
  <ds:schemaRefs>
    <ds:schemaRef ds:uri="694c2b34-44ab-4df3-b040-e7747635d091"/>
    <ds:schemaRef ds:uri="http://www.w3.org/XML/1998/namespace"/>
    <ds:schemaRef ds:uri="5bbb14ae-5435-461e-a609-2f3097a1261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>The University of Western Australia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Emma Bailey</cp:lastModifiedBy>
  <cp:revision>2</cp:revision>
  <cp:lastPrinted>2020-11-19T18:19:00Z</cp:lastPrinted>
  <dcterms:created xsi:type="dcterms:W3CDTF">2024-11-13T02:29:00Z</dcterms:created>
  <dcterms:modified xsi:type="dcterms:W3CDTF">2024-11-13T02:29:00Z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0x010100746BEF01C0F8FA41A6CA223D942F0E2B</vt:lpwstr>
  </property>
  <property fmtid="{D5CDD505-2E9C-101B-9397-08002B2CF9AE}" pid="3" name="MediaServiceImageTags">
    <vt:lpwstr/>
  </property>
</Properties>
</file>