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210492AC" w14:textId="77777777" w:rsidTr="000B4D7A">
        <w:trPr>
          <w:cantSplit/>
          <w:trHeight w:val="1540"/>
        </w:trPr>
        <w:tc>
          <w:tcPr>
            <w:tcW w:w="3900" w:type="pct"/>
          </w:tcPr>
          <w:p w14:paraId="383FB1D5" w14:textId="77777777" w:rsidR="002C0991" w:rsidRPr="008A0610" w:rsidRDefault="000B4D7A" w:rsidP="008A0610">
            <w:pPr>
              <w:pStyle w:val="DepartmentTitle"/>
              <w:ind w:left="-247"/>
              <w:jc w:val="center"/>
              <w:rPr>
                <w:sz w:val="32"/>
                <w:szCs w:val="28"/>
              </w:rPr>
            </w:pPr>
            <w:bookmarkStart w:id="0" w:name="bmTop"/>
            <w:bookmarkStart w:id="1" w:name="_GoBack"/>
            <w:bookmarkEnd w:id="0"/>
            <w:bookmarkEnd w:id="1"/>
            <w:r>
              <w:t xml:space="preserve">                      </w:t>
            </w:r>
            <w:r w:rsidR="00027DEB" w:rsidRPr="008A0610">
              <w:rPr>
                <w:sz w:val="32"/>
                <w:szCs w:val="28"/>
              </w:rPr>
              <w:t>Department of Health and</w:t>
            </w:r>
          </w:p>
          <w:p w14:paraId="7E9618CF" w14:textId="2A104A7A" w:rsidR="002C0991" w:rsidRPr="008A0610" w:rsidRDefault="000B4D7A" w:rsidP="008A0610">
            <w:pPr>
              <w:pStyle w:val="Sub-branch"/>
              <w:spacing w:before="40" w:after="120"/>
              <w:ind w:left="-247"/>
              <w:jc w:val="center"/>
              <w:rPr>
                <w:caps w:val="0"/>
                <w:w w:val="100"/>
                <w:sz w:val="32"/>
                <w:szCs w:val="28"/>
              </w:rPr>
            </w:pPr>
            <w:r w:rsidRPr="008A0610">
              <w:rPr>
                <w:caps w:val="0"/>
                <w:w w:val="100"/>
                <w:sz w:val="32"/>
                <w:szCs w:val="28"/>
              </w:rPr>
              <w:t xml:space="preserve">                   </w:t>
            </w:r>
            <w:r w:rsidR="00DC2582" w:rsidRPr="008A0610">
              <w:rPr>
                <w:caps w:val="0"/>
                <w:w w:val="100"/>
                <w:sz w:val="32"/>
                <w:szCs w:val="28"/>
              </w:rPr>
              <w:t>Ta</w:t>
            </w:r>
            <w:r w:rsidR="00A80F69" w:rsidRPr="008A0610">
              <w:rPr>
                <w:caps w:val="0"/>
                <w:w w:val="100"/>
                <w:sz w:val="32"/>
                <w:szCs w:val="28"/>
              </w:rPr>
              <w:t>smanian Health Service</w:t>
            </w:r>
          </w:p>
          <w:p w14:paraId="5F42B4A2" w14:textId="77777777" w:rsidR="00DD6876" w:rsidRPr="00DD6876" w:rsidRDefault="00DD6876" w:rsidP="008A0610">
            <w:pPr>
              <w:pStyle w:val="Sub-branch"/>
              <w:spacing w:before="40" w:after="120"/>
              <w:ind w:left="-247"/>
              <w:jc w:val="center"/>
              <w:rPr>
                <w:caps w:val="0"/>
                <w:w w:val="100"/>
                <w:sz w:val="8"/>
                <w:szCs w:val="24"/>
              </w:rPr>
            </w:pPr>
          </w:p>
          <w:p w14:paraId="1D189960" w14:textId="77777777" w:rsidR="00DD6876" w:rsidRDefault="000B4D7A" w:rsidP="008A0610">
            <w:pPr>
              <w:pStyle w:val="Heading1"/>
              <w:tabs>
                <w:tab w:val="left" w:pos="425"/>
                <w:tab w:val="left" w:pos="8280"/>
                <w:tab w:val="left" w:pos="9180"/>
              </w:tabs>
              <w:spacing w:after="0"/>
              <w:ind w:left="-247"/>
              <w:jc w:val="center"/>
            </w:pPr>
            <w:r>
              <w:t xml:space="preserve">               </w:t>
            </w:r>
            <w:r w:rsidR="00DD6876">
              <w:t>Statement of Duties</w:t>
            </w:r>
          </w:p>
        </w:tc>
        <w:tc>
          <w:tcPr>
            <w:tcW w:w="1100" w:type="pct"/>
          </w:tcPr>
          <w:p w14:paraId="53C0A847" w14:textId="77777777" w:rsidR="004966A3" w:rsidRDefault="0021438D">
            <w:pPr>
              <w:pStyle w:val="Logo"/>
            </w:pPr>
            <w:r>
              <w:rPr>
                <w:noProof/>
                <w:lang w:eastAsia="en-AU"/>
              </w:rPr>
              <w:drawing>
                <wp:inline distT="0" distB="0" distL="0" distR="0" wp14:anchorId="20B3D64A" wp14:editId="2E30974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AC40C0B" w14:textId="77777777" w:rsidTr="005713D6">
        <w:tblPrEx>
          <w:tblLook w:val="01E0" w:firstRow="1" w:lastRow="1" w:firstColumn="1" w:lastColumn="1" w:noHBand="0" w:noVBand="0"/>
        </w:tblPrEx>
        <w:tc>
          <w:tcPr>
            <w:tcW w:w="5000" w:type="pct"/>
            <w:gridSpan w:val="2"/>
          </w:tcPr>
          <w:p w14:paraId="477B930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E0EEB0B"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2A7A1435" w14:textId="77777777" w:rsidTr="008A0610">
        <w:tc>
          <w:tcPr>
            <w:tcW w:w="2190" w:type="pct"/>
            <w:tcBorders>
              <w:top w:val="single" w:sz="4" w:space="0" w:color="auto"/>
              <w:left w:val="single" w:sz="4" w:space="0" w:color="auto"/>
              <w:bottom w:val="single" w:sz="4" w:space="0" w:color="auto"/>
              <w:right w:val="single" w:sz="4" w:space="0" w:color="auto"/>
            </w:tcBorders>
          </w:tcPr>
          <w:p w14:paraId="1D5BF82A" w14:textId="46685E78"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03125A">
              <w:rPr>
                <w:rFonts w:cs="Arial"/>
                <w:iCs/>
                <w:kern w:val="36"/>
                <w:lang w:eastAsia="en-AU"/>
              </w:rPr>
              <w:t>Director Clinical Services</w:t>
            </w:r>
            <w:r w:rsidR="00A93086">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6C4C1DC6" w14:textId="0052227C" w:rsidR="005713D6" w:rsidRPr="008A0610"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1B751A" w:rsidRPr="001B751A">
              <w:rPr>
                <w:rFonts w:cs="Arial"/>
                <w:bCs/>
                <w:iCs/>
                <w:kern w:val="36"/>
                <w:lang w:eastAsia="en-AU"/>
              </w:rPr>
              <w:t>525258</w:t>
            </w:r>
            <w:r w:rsidR="00A93086" w:rsidRPr="001B751A">
              <w:rPr>
                <w:rFonts w:cs="Arial"/>
                <w:bCs/>
                <w:iCs/>
                <w:kern w:val="36"/>
                <w:lang w:eastAsia="en-AU"/>
              </w:rPr>
              <w:fldChar w:fldCharType="begin"/>
            </w:r>
            <w:r w:rsidR="00A93086" w:rsidRPr="001B751A">
              <w:rPr>
                <w:rFonts w:cs="Arial"/>
                <w:bCs/>
                <w:iCs/>
                <w:kern w:val="36"/>
                <w:lang w:eastAsia="en-AU"/>
              </w:rPr>
              <w:instrText xml:space="preserve"> DOCPROPERTY  PositionNumber  \* MERGEFORMAT </w:instrText>
            </w:r>
            <w:r w:rsidR="00A93086" w:rsidRPr="001B751A">
              <w:rPr>
                <w:rFonts w:cs="Arial"/>
                <w:bCs/>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3F1F2FD0" w14:textId="1CB7157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B751A">
              <w:rPr>
                <w:rFonts w:cs="Arial"/>
                <w:kern w:val="36"/>
                <w:lang w:eastAsia="en-AU"/>
              </w:rPr>
              <w:t>September 2020</w:t>
            </w:r>
          </w:p>
        </w:tc>
      </w:tr>
      <w:tr w:rsidR="005713D6" w14:paraId="6C2796D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28660055" w14:textId="491CC93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1B751A" w:rsidRPr="006C4815">
              <w:rPr>
                <w:rStyle w:val="InformationBlockChar"/>
                <w:b w:val="0"/>
                <w:bCs/>
              </w:rPr>
              <w:t>Community, Mental Health and Wellbeing</w:t>
            </w:r>
          </w:p>
        </w:tc>
      </w:tr>
      <w:tr w:rsidR="005713D6" w14:paraId="40F38D9A" w14:textId="77777777" w:rsidTr="008A0610">
        <w:tc>
          <w:tcPr>
            <w:tcW w:w="2190" w:type="pct"/>
            <w:tcBorders>
              <w:top w:val="single" w:sz="4" w:space="0" w:color="auto"/>
              <w:left w:val="single" w:sz="4" w:space="0" w:color="auto"/>
              <w:bottom w:val="single" w:sz="4" w:space="0" w:color="auto"/>
              <w:right w:val="single" w:sz="4" w:space="0" w:color="auto"/>
            </w:tcBorders>
          </w:tcPr>
          <w:p w14:paraId="45D3A242" w14:textId="0469319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9662D">
              <w:fldChar w:fldCharType="begin"/>
            </w:r>
            <w:r w:rsidR="00C9662D">
              <w:instrText xml:space="preserve"> DOCPROPERTY  DeptOpUnit  \* MERGEFORMAT </w:instrText>
            </w:r>
            <w:r w:rsidR="00C9662D">
              <w:fldChar w:fldCharType="separate"/>
            </w:r>
            <w:r w:rsidR="0003125A" w:rsidRPr="0003125A">
              <w:rPr>
                <w:rStyle w:val="InformationBlockChar"/>
                <w:b w:val="0"/>
              </w:rPr>
              <w:t xml:space="preserve">Ambulance Tasmania </w:t>
            </w:r>
            <w:r w:rsidR="0003125A">
              <w:t>- Clinical Services</w:t>
            </w:r>
            <w:r w:rsidR="00C9662D">
              <w:rPr>
                <w:rStyle w:val="InformationBlockChar"/>
                <w:b w:val="0"/>
              </w:rPr>
              <w:fldChar w:fldCharType="end"/>
            </w:r>
            <w:r w:rsidR="001B751A" w:rsidRPr="00CB37C6">
              <w:t xml:space="preserve">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3048F1F" w14:textId="4042E92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03125A">
              <w:rPr>
                <w:rFonts w:cs="Arial"/>
                <w:iCs/>
                <w:kern w:val="36"/>
                <w:lang w:eastAsia="en-AU"/>
              </w:rPr>
              <w:t>South</w:t>
            </w:r>
            <w:r w:rsidR="00A93086">
              <w:rPr>
                <w:rFonts w:cs="Arial"/>
                <w:iCs/>
                <w:kern w:val="36"/>
                <w:lang w:eastAsia="en-AU"/>
              </w:rPr>
              <w:fldChar w:fldCharType="end"/>
            </w:r>
          </w:p>
        </w:tc>
      </w:tr>
      <w:tr w:rsidR="005713D6" w14:paraId="49E7C086" w14:textId="77777777" w:rsidTr="008A0610">
        <w:tc>
          <w:tcPr>
            <w:tcW w:w="2190" w:type="pct"/>
            <w:vMerge w:val="restart"/>
            <w:tcBorders>
              <w:top w:val="single" w:sz="4" w:space="0" w:color="auto"/>
              <w:left w:val="single" w:sz="4" w:space="0" w:color="auto"/>
              <w:right w:val="single" w:sz="4" w:space="0" w:color="auto"/>
            </w:tcBorders>
          </w:tcPr>
          <w:p w14:paraId="5A8C11A7" w14:textId="32EDB080" w:rsidR="005713D6" w:rsidRPr="008A0610"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1B751A">
              <w:rPr>
                <w:bCs/>
              </w:rPr>
              <w:t>Ambulance Tasmania Agreement</w:t>
            </w:r>
          </w:p>
        </w:tc>
        <w:tc>
          <w:tcPr>
            <w:tcW w:w="2810" w:type="pct"/>
            <w:gridSpan w:val="2"/>
            <w:tcBorders>
              <w:top w:val="single" w:sz="4" w:space="0" w:color="auto"/>
              <w:left w:val="single" w:sz="4" w:space="0" w:color="auto"/>
              <w:bottom w:val="single" w:sz="4" w:space="0" w:color="auto"/>
              <w:right w:val="single" w:sz="4" w:space="0" w:color="auto"/>
            </w:tcBorders>
          </w:tcPr>
          <w:p w14:paraId="4A8E2329" w14:textId="4F1561D0"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03125A">
              <w:rPr>
                <w:rFonts w:cs="Arial"/>
                <w:iCs/>
                <w:kern w:val="36"/>
                <w:lang w:eastAsia="en-AU"/>
              </w:rPr>
              <w:t>Fixed-Term</w:t>
            </w:r>
            <w:r w:rsidR="00A93086">
              <w:rPr>
                <w:rFonts w:cs="Arial"/>
                <w:iCs/>
                <w:kern w:val="36"/>
                <w:lang w:eastAsia="en-AU"/>
              </w:rPr>
              <w:fldChar w:fldCharType="end"/>
            </w:r>
          </w:p>
        </w:tc>
      </w:tr>
      <w:tr w:rsidR="005713D6" w14:paraId="428FC578" w14:textId="77777777" w:rsidTr="008A0610">
        <w:tc>
          <w:tcPr>
            <w:tcW w:w="2190" w:type="pct"/>
            <w:vMerge/>
            <w:tcBorders>
              <w:left w:val="single" w:sz="4" w:space="0" w:color="auto"/>
              <w:bottom w:val="single" w:sz="4" w:space="0" w:color="auto"/>
              <w:right w:val="single" w:sz="4" w:space="0" w:color="auto"/>
            </w:tcBorders>
          </w:tcPr>
          <w:p w14:paraId="5AD1AC5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38CD99BD" w14:textId="43636DE6"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03125A">
              <w:rPr>
                <w:rFonts w:cs="Arial"/>
                <w:iCs/>
                <w:kern w:val="36"/>
                <w:lang w:eastAsia="en-AU"/>
              </w:rPr>
              <w:t>Full Time</w:t>
            </w:r>
            <w:r w:rsidR="00A93086">
              <w:rPr>
                <w:rFonts w:cs="Arial"/>
                <w:iCs/>
                <w:kern w:val="36"/>
                <w:lang w:eastAsia="en-AU"/>
              </w:rPr>
              <w:fldChar w:fldCharType="end"/>
            </w:r>
          </w:p>
        </w:tc>
      </w:tr>
      <w:tr w:rsidR="005713D6" w14:paraId="1D749DD9" w14:textId="77777777" w:rsidTr="008A0610">
        <w:tc>
          <w:tcPr>
            <w:tcW w:w="2190" w:type="pct"/>
            <w:tcBorders>
              <w:top w:val="single" w:sz="4" w:space="0" w:color="auto"/>
              <w:left w:val="single" w:sz="4" w:space="0" w:color="auto"/>
              <w:bottom w:val="single" w:sz="4" w:space="0" w:color="auto"/>
              <w:right w:val="single" w:sz="4" w:space="0" w:color="auto"/>
            </w:tcBorders>
          </w:tcPr>
          <w:p w14:paraId="20977652" w14:textId="769CADC5"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1B751A">
              <w:rPr>
                <w:rStyle w:val="InformationBlockChar"/>
                <w:b w:val="0"/>
              </w:rPr>
              <w:t>4</w:t>
            </w:r>
          </w:p>
        </w:tc>
        <w:tc>
          <w:tcPr>
            <w:tcW w:w="2810" w:type="pct"/>
            <w:gridSpan w:val="2"/>
            <w:tcBorders>
              <w:top w:val="single" w:sz="4" w:space="0" w:color="auto"/>
              <w:left w:val="single" w:sz="4" w:space="0" w:color="auto"/>
              <w:bottom w:val="single" w:sz="4" w:space="0" w:color="auto"/>
              <w:right w:val="single" w:sz="4" w:space="0" w:color="auto"/>
            </w:tcBorders>
          </w:tcPr>
          <w:p w14:paraId="6DA2E694" w14:textId="16E9345B"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B751A">
              <w:rPr>
                <w:rFonts w:cs="Arial"/>
                <w:iCs/>
                <w:kern w:val="36"/>
                <w:lang w:eastAsia="en-AU"/>
              </w:rPr>
              <w:t>Ambulance Manager</w:t>
            </w:r>
          </w:p>
        </w:tc>
      </w:tr>
      <w:tr w:rsidR="00077A9F" w14:paraId="10BAD26B"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DD85ED5" w14:textId="250A0B4D"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03125A">
              <w:rPr>
                <w:rStyle w:val="InformationBlockChar"/>
                <w:b w:val="0"/>
              </w:rPr>
              <w:t>Chief Executive</w:t>
            </w:r>
            <w:r w:rsidR="00A93086">
              <w:rPr>
                <w:rStyle w:val="InformationBlockChar"/>
                <w:b w:val="0"/>
              </w:rPr>
              <w:fldChar w:fldCharType="end"/>
            </w:r>
            <w:r w:rsidR="008A0610">
              <w:rPr>
                <w:rStyle w:val="InformationBlockChar"/>
                <w:b w:val="0"/>
              </w:rPr>
              <w:t xml:space="preserve"> </w:t>
            </w:r>
            <w:r w:rsidR="008A0610" w:rsidRPr="008A0610">
              <w:rPr>
                <w:rStyle w:val="InformationBlockChar"/>
                <w:b w:val="0"/>
                <w:bCs/>
              </w:rPr>
              <w:t>- Ambulance Tasmania</w:t>
            </w:r>
            <w:r w:rsidR="008A0610">
              <w:rPr>
                <w:rStyle w:val="InformationBlockChar"/>
              </w:rPr>
              <w:t xml:space="preserve"> </w:t>
            </w:r>
          </w:p>
        </w:tc>
      </w:tr>
      <w:tr w:rsidR="00171E96" w14:paraId="6D13E093" w14:textId="77777777" w:rsidTr="008A0610">
        <w:tc>
          <w:tcPr>
            <w:tcW w:w="2190" w:type="pct"/>
            <w:tcBorders>
              <w:top w:val="single" w:sz="4" w:space="0" w:color="auto"/>
              <w:left w:val="single" w:sz="4" w:space="0" w:color="auto"/>
              <w:bottom w:val="single" w:sz="4" w:space="0" w:color="auto"/>
              <w:right w:val="single" w:sz="4" w:space="0" w:color="auto"/>
            </w:tcBorders>
          </w:tcPr>
          <w:p w14:paraId="6A271FD2" w14:textId="402CB74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03125A">
              <w:rPr>
                <w:rStyle w:val="InformationBlockChar"/>
                <w:b w:val="0"/>
              </w:rPr>
              <w:t>Annulled</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79FCAA08" w14:textId="3722954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03125A">
              <w:rPr>
                <w:rStyle w:val="InformationBlockChar"/>
                <w:b w:val="0"/>
              </w:rPr>
              <w:t>Pre-employment</w:t>
            </w:r>
            <w:r w:rsidR="00A93086">
              <w:rPr>
                <w:rStyle w:val="InformationBlockChar"/>
                <w:b w:val="0"/>
              </w:rPr>
              <w:fldChar w:fldCharType="end"/>
            </w:r>
          </w:p>
        </w:tc>
      </w:tr>
    </w:tbl>
    <w:p w14:paraId="1AFF35C4" w14:textId="77777777" w:rsidR="00657794" w:rsidRDefault="0013547B" w:rsidP="008A0610">
      <w:pPr>
        <w:pStyle w:val="Heading4"/>
        <w:spacing w:before="360"/>
      </w:pPr>
      <w:r w:rsidRPr="008743F7">
        <w:t>Focus of Duties:</w:t>
      </w:r>
    </w:p>
    <w:p w14:paraId="75580F6B" w14:textId="3357892B" w:rsidR="00362506" w:rsidRDefault="001A1037" w:rsidP="008A0610">
      <w:pPr>
        <w:pStyle w:val="BulletedListLevel1"/>
        <w:numPr>
          <w:ilvl w:val="0"/>
          <w:numId w:val="0"/>
        </w:numPr>
      </w:pPr>
      <w:r>
        <w:t xml:space="preserve">Responsible </w:t>
      </w:r>
      <w:r w:rsidR="00362506">
        <w:t xml:space="preserve">and accountable </w:t>
      </w:r>
      <w:r>
        <w:t xml:space="preserve">for Ambulance Tasmania’s clinical response and </w:t>
      </w:r>
      <w:r w:rsidR="00AA474C">
        <w:t>governance to COVID-19 and other pandemics</w:t>
      </w:r>
      <w:r w:rsidR="00362506">
        <w:t>.</w:t>
      </w:r>
    </w:p>
    <w:p w14:paraId="2EA06F60" w14:textId="236C47B1" w:rsidR="00226AA5" w:rsidRDefault="00362506" w:rsidP="008A0610">
      <w:pPr>
        <w:pStyle w:val="BulletedListLevel1"/>
        <w:numPr>
          <w:ilvl w:val="0"/>
          <w:numId w:val="0"/>
        </w:numPr>
      </w:pPr>
      <w:r>
        <w:t>C</w:t>
      </w:r>
      <w:r w:rsidR="00A34F09">
        <w:t xml:space="preserve">oordinate </w:t>
      </w:r>
      <w:r>
        <w:t xml:space="preserve">and give effect to </w:t>
      </w:r>
      <w:r w:rsidR="00CC1329">
        <w:t xml:space="preserve">advice from the Director </w:t>
      </w:r>
      <w:r w:rsidR="008A0610">
        <w:t xml:space="preserve">- </w:t>
      </w:r>
      <w:r w:rsidR="00CC1329">
        <w:t>Medical Services</w:t>
      </w:r>
      <w:r>
        <w:t xml:space="preserve"> on all clinical matters relating to Ambulance Tasmania.</w:t>
      </w:r>
    </w:p>
    <w:p w14:paraId="2C0114EC" w14:textId="434EB705" w:rsidR="00B66EEB" w:rsidRDefault="00657794" w:rsidP="008A0610">
      <w:pPr>
        <w:pStyle w:val="BulletedListLevel1"/>
        <w:numPr>
          <w:ilvl w:val="0"/>
          <w:numId w:val="0"/>
        </w:numPr>
      </w:pPr>
      <w:r w:rsidRPr="00FE23F9">
        <w:t>Direct and manage the clinical governance and patient safety program for Ambulance Tasmania to ensure that the clinical care provided is safe, effective and in accordance with contemporary standards and practice.</w:t>
      </w:r>
      <w:r>
        <w:t xml:space="preserve"> </w:t>
      </w:r>
    </w:p>
    <w:p w14:paraId="408C761B" w14:textId="43AAF5FC" w:rsidR="00B66EEB" w:rsidRDefault="00B66EEB" w:rsidP="008A0610">
      <w:pPr>
        <w:pStyle w:val="ListBullet"/>
        <w:numPr>
          <w:ilvl w:val="0"/>
          <w:numId w:val="0"/>
        </w:numPr>
      </w:pPr>
      <w:r>
        <w:t xml:space="preserve">Liaise closely with Director </w:t>
      </w:r>
      <w:r w:rsidR="008A0610">
        <w:t xml:space="preserve">- </w:t>
      </w:r>
      <w:r>
        <w:t>Medical Services in ensuring integrated systems, processes, leadership and culture to provide safe, effective, accountable and person</w:t>
      </w:r>
      <w:r w:rsidR="00205ED4">
        <w:t>-</w:t>
      </w:r>
      <w:r>
        <w:t>centred healthcare underpinned by continuous improvement.</w:t>
      </w:r>
    </w:p>
    <w:p w14:paraId="7EDC5699" w14:textId="2A3F9012" w:rsidR="001A0618" w:rsidRPr="00FE23F9" w:rsidRDefault="00BC411E" w:rsidP="008A0610">
      <w:pPr>
        <w:pStyle w:val="ListBullet"/>
        <w:numPr>
          <w:ilvl w:val="0"/>
          <w:numId w:val="0"/>
        </w:numPr>
        <w:ind w:left="567" w:hanging="567"/>
      </w:pPr>
      <w:r>
        <w:t>Facilitate</w:t>
      </w:r>
      <w:r w:rsidR="001A0618">
        <w:t xml:space="preserve"> and coordinate </w:t>
      </w:r>
      <w:r w:rsidR="00D528FE">
        <w:t xml:space="preserve">advice from the Director </w:t>
      </w:r>
      <w:r w:rsidR="008A0610">
        <w:t xml:space="preserve">- </w:t>
      </w:r>
      <w:r w:rsidR="00D528FE">
        <w:t>Medical Services to the service</w:t>
      </w:r>
      <w:r w:rsidR="00D20D47">
        <w:t>.</w:t>
      </w:r>
    </w:p>
    <w:p w14:paraId="6029E58B" w14:textId="50AD862C" w:rsidR="00657794" w:rsidRPr="00FE23F9" w:rsidRDefault="00657794" w:rsidP="008A0610">
      <w:pPr>
        <w:pStyle w:val="BulletedListLevel1"/>
        <w:numPr>
          <w:ilvl w:val="0"/>
          <w:numId w:val="0"/>
        </w:numPr>
      </w:pPr>
      <w:r w:rsidRPr="00FE23F9">
        <w:t>Develop and monitor clinical targets and milestones ensuring the service operates in an environment where the identification and management of incidents supports continual improvement in the Service.</w:t>
      </w:r>
    </w:p>
    <w:p w14:paraId="4257FB22" w14:textId="72C6FA58" w:rsidR="00657794" w:rsidRPr="00FE23F9" w:rsidRDefault="00657794" w:rsidP="008A0610">
      <w:pPr>
        <w:pStyle w:val="BulletedListLevel1"/>
        <w:numPr>
          <w:ilvl w:val="0"/>
          <w:numId w:val="0"/>
        </w:numPr>
      </w:pPr>
      <w:r w:rsidRPr="00FE23F9">
        <w:t>Manage the development and implementation of clinical protocols, standards and procedures and the provision of appropriate advice and medical expertise. Ensure that all staff are appropriately trained and clinically supported for their role and deliver a safe, effective, evidence</w:t>
      </w:r>
      <w:r w:rsidR="00205ED4">
        <w:t>-</w:t>
      </w:r>
      <w:r w:rsidRPr="00FE23F9">
        <w:t xml:space="preserve">based framework for service delivery. </w:t>
      </w:r>
    </w:p>
    <w:p w14:paraId="444A27EF" w14:textId="77777777" w:rsidR="00657794" w:rsidRDefault="00657794" w:rsidP="008A0610">
      <w:pPr>
        <w:pStyle w:val="BulletedListLevel1"/>
        <w:numPr>
          <w:ilvl w:val="0"/>
          <w:numId w:val="0"/>
        </w:numPr>
      </w:pPr>
      <w:r w:rsidRPr="00FE23F9">
        <w:t>Identify and develop enhancements to clinical service delivery including new interventions, expansion or adjustment of ambulance clinician roles, oversight of research, and clinical and operational education.</w:t>
      </w:r>
    </w:p>
    <w:p w14:paraId="2BDA0382" w14:textId="77777777" w:rsidR="00887E3C" w:rsidRDefault="00657794" w:rsidP="008A0610">
      <w:pPr>
        <w:pStyle w:val="BulletedListLevel1"/>
        <w:numPr>
          <w:ilvl w:val="0"/>
          <w:numId w:val="0"/>
        </w:numPr>
      </w:pPr>
      <w:r w:rsidRPr="00FE23F9">
        <w:lastRenderedPageBreak/>
        <w:t>Provide leadership, advice and guidance to reporting managers and to senior professional staff in the unit to enable them to meet their objectives and effectively manage their responsibilities.</w:t>
      </w:r>
    </w:p>
    <w:p w14:paraId="65C55BE1" w14:textId="77777777" w:rsidR="0013547B" w:rsidRPr="008743F7" w:rsidRDefault="0013547B" w:rsidP="008743F7">
      <w:pPr>
        <w:pStyle w:val="Heading4"/>
      </w:pPr>
      <w:r w:rsidRPr="008743F7">
        <w:t>Duties:</w:t>
      </w:r>
    </w:p>
    <w:p w14:paraId="6FDFF5BB" w14:textId="77777777" w:rsidR="003B29AB" w:rsidRPr="00FE23F9" w:rsidRDefault="003B29AB" w:rsidP="003B29AB">
      <w:pPr>
        <w:pStyle w:val="NumberedList"/>
      </w:pPr>
      <w:r w:rsidRPr="00FE23F9">
        <w:t xml:space="preserve">Manage the development and implementation of the Service’s clinical governance policy and </w:t>
      </w:r>
      <w:r w:rsidRPr="00FE23F9">
        <w:rPr>
          <w:lang w:eastAsia="en-AU"/>
        </w:rPr>
        <w:t>program</w:t>
      </w:r>
      <w:r w:rsidRPr="00FE23F9">
        <w:t xml:space="preserve"> to promote an environment of continual improvement in services, patient care and compliance with Departmental strategies, government reforms and directions.</w:t>
      </w:r>
    </w:p>
    <w:p w14:paraId="7DE2F4A0" w14:textId="77777777" w:rsidR="003B29AB" w:rsidRPr="00FE23F9" w:rsidRDefault="003B29AB" w:rsidP="003B29AB">
      <w:pPr>
        <w:pStyle w:val="NumberedList"/>
      </w:pPr>
      <w:r w:rsidRPr="00FE23F9">
        <w:t xml:space="preserve">Oversee the reporting, investigation and management of incidents to ensure they comply with the </w:t>
      </w:r>
      <w:r w:rsidRPr="00FE23F9">
        <w:rPr>
          <w:lang w:eastAsia="en-AU"/>
        </w:rPr>
        <w:t>clinical</w:t>
      </w:r>
      <w:r w:rsidRPr="00FE23F9">
        <w:t xml:space="preserve"> governance framework and to enable the development of preventative strategies.</w:t>
      </w:r>
    </w:p>
    <w:p w14:paraId="06CF9B56" w14:textId="77777777" w:rsidR="003B29AB" w:rsidRPr="00D552A5" w:rsidRDefault="003B29AB" w:rsidP="003B29AB">
      <w:pPr>
        <w:pStyle w:val="NumberedList"/>
      </w:pPr>
      <w:r w:rsidRPr="00FE23F9">
        <w:t xml:space="preserve">Manage the development and operation of the </w:t>
      </w:r>
      <w:r>
        <w:t>Safety Reporting Learning System (SRLS)</w:t>
      </w:r>
      <w:r w:rsidRPr="00D552A5">
        <w:t xml:space="preserve"> to ensure accurate and timely data is collected and maintained and reports support management decision making.</w:t>
      </w:r>
    </w:p>
    <w:p w14:paraId="6586D36F" w14:textId="68B9F46D" w:rsidR="003B29AB" w:rsidRPr="00D552A5" w:rsidRDefault="003B29AB" w:rsidP="003B29AB">
      <w:pPr>
        <w:pStyle w:val="NumberedList"/>
      </w:pPr>
      <w:r w:rsidRPr="00D552A5">
        <w:t xml:space="preserve">Provide advice, </w:t>
      </w:r>
      <w:r w:rsidRPr="00D552A5">
        <w:rPr>
          <w:lang w:eastAsia="en-AU"/>
        </w:rPr>
        <w:t>information</w:t>
      </w:r>
      <w:r w:rsidRPr="00D552A5">
        <w:t xml:space="preserve"> and recommendations to the </w:t>
      </w:r>
      <w:r w:rsidRPr="00D03469">
        <w:rPr>
          <w:rStyle w:val="InformationBlockChar"/>
          <w:b w:val="0"/>
          <w:sz w:val="24"/>
          <w:szCs w:val="28"/>
        </w:rPr>
        <w:t xml:space="preserve">Chief Executive </w:t>
      </w:r>
      <w:r w:rsidR="008A0610">
        <w:rPr>
          <w:rStyle w:val="InformationBlockChar"/>
          <w:b w:val="0"/>
          <w:sz w:val="24"/>
          <w:szCs w:val="28"/>
        </w:rPr>
        <w:t>- Ambulance Tasmania</w:t>
      </w:r>
      <w:r w:rsidRPr="00D552A5">
        <w:t xml:space="preserve"> and the Executive Management Team (EMT) on clinical governance, patient safety, education and strategic change to enable and support effective decision making.</w:t>
      </w:r>
    </w:p>
    <w:p w14:paraId="006A3513" w14:textId="77777777" w:rsidR="003B29AB" w:rsidRPr="00FE23F9" w:rsidRDefault="003B29AB" w:rsidP="003B29AB">
      <w:pPr>
        <w:pStyle w:val="NumberedList"/>
      </w:pPr>
      <w:r w:rsidRPr="00FE23F9">
        <w:t xml:space="preserve">Manage the Unit’s human, financial and physical resources to ensure they are managed </w:t>
      </w:r>
      <w:r w:rsidRPr="00FE23F9">
        <w:rPr>
          <w:lang w:eastAsia="en-AU"/>
        </w:rPr>
        <w:t>effectively</w:t>
      </w:r>
      <w:r w:rsidRPr="00FE23F9">
        <w:t xml:space="preserve"> and within budget to meet agreed targets, performance standards and objectives.</w:t>
      </w:r>
    </w:p>
    <w:p w14:paraId="0582D506" w14:textId="77777777" w:rsidR="003B29AB" w:rsidRPr="00FE23F9" w:rsidRDefault="003B29AB" w:rsidP="003B29AB">
      <w:pPr>
        <w:pStyle w:val="NumberedList"/>
      </w:pPr>
      <w:r w:rsidRPr="00FE23F9">
        <w:t>Manage projects, including development of strategies to meet community needs, clinical practice initiatives, performance evaluation and improvement, and other policy issues.</w:t>
      </w:r>
    </w:p>
    <w:p w14:paraId="073306B9" w14:textId="363C62A0" w:rsidR="003B29AB" w:rsidRPr="00FE23F9" w:rsidRDefault="00BB101B" w:rsidP="003B29AB">
      <w:pPr>
        <w:pStyle w:val="NumberedList"/>
      </w:pPr>
      <w:r>
        <w:t xml:space="preserve">Via the Manager, Education and Professional Development, oversee </w:t>
      </w:r>
      <w:r w:rsidR="003B29AB" w:rsidRPr="00FE23F9">
        <w:rPr>
          <w:lang w:eastAsia="en-AU"/>
        </w:rPr>
        <w:t>the effective delivery of training, educational and clinical strategies and programs</w:t>
      </w:r>
      <w:r w:rsidR="003B29AB" w:rsidRPr="00FE23F9">
        <w:t>, including the use of new and emerging technologies, to meet clinical skills requirements across all operational occupations.</w:t>
      </w:r>
      <w:r>
        <w:t xml:space="preserve"> </w:t>
      </w:r>
    </w:p>
    <w:p w14:paraId="2514F423" w14:textId="6BE67B45" w:rsidR="00F65B26" w:rsidRPr="00D63E81" w:rsidRDefault="003B29AB" w:rsidP="00066FA3">
      <w:pPr>
        <w:pStyle w:val="NumberedList"/>
      </w:pPr>
      <w:r w:rsidRPr="00FE23F9">
        <w:rPr>
          <w:lang w:eastAsia="en-AU"/>
        </w:rPr>
        <w:t>Lead business and clinical research and analysis, and through resource modelling, process engineering and benchmarking, develop and introduce strategies to improve the cost-effective responsiveness and the clinical quality of patient care.</w:t>
      </w:r>
    </w:p>
    <w:p w14:paraId="2FE6A7E0"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EC308F4"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B3B448B"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81DB8B3" w14:textId="77777777" w:rsidTr="00F85AAC">
        <w:tc>
          <w:tcPr>
            <w:tcW w:w="9571" w:type="dxa"/>
            <w:tcBorders>
              <w:top w:val="nil"/>
              <w:left w:val="nil"/>
              <w:bottom w:val="nil"/>
              <w:right w:val="nil"/>
            </w:tcBorders>
          </w:tcPr>
          <w:p w14:paraId="78E6BEE7" w14:textId="6299E660" w:rsidR="001C0996" w:rsidRDefault="001C0996" w:rsidP="001C0996">
            <w:pPr>
              <w:pStyle w:val="ListBullet"/>
              <w:numPr>
                <w:ilvl w:val="0"/>
                <w:numId w:val="0"/>
              </w:numPr>
            </w:pPr>
            <w:bookmarkStart w:id="3" w:name="bmScopeofWork"/>
            <w:bookmarkEnd w:id="3"/>
            <w:r>
              <w:t xml:space="preserve">Directly responsible and accountable to the </w:t>
            </w:r>
            <w:r w:rsidR="008A0610">
              <w:t>Chief Executive</w:t>
            </w:r>
            <w:r>
              <w:t xml:space="preserve"> </w:t>
            </w:r>
            <w:r w:rsidR="008A0610">
              <w:t>-</w:t>
            </w:r>
            <w:r>
              <w:t xml:space="preserve"> </w:t>
            </w:r>
            <w:r w:rsidR="00205ED4">
              <w:t>Ambulance Tasmania for:</w:t>
            </w:r>
          </w:p>
          <w:p w14:paraId="072B63E2" w14:textId="5B404376" w:rsidR="002275CA" w:rsidRDefault="00205ED4" w:rsidP="002275CA">
            <w:pPr>
              <w:pStyle w:val="ListBullet"/>
            </w:pPr>
            <w:r>
              <w:t>T</w:t>
            </w:r>
            <w:r w:rsidR="002275CA">
              <w:t xml:space="preserve">he clinical development, education, governance, research and patient safety program for Ambulance Tasmania. In this context, the Unit sets the framework, standards, protocols and professional training for the work of more than </w:t>
            </w:r>
            <w:r w:rsidR="00362506">
              <w:t>1000</w:t>
            </w:r>
            <w:r w:rsidR="002275CA">
              <w:t xml:space="preserve"> clinicians undertaking </w:t>
            </w:r>
            <w:r w:rsidR="00362506">
              <w:t>over 100 000</w:t>
            </w:r>
            <w:r w:rsidR="002275CA">
              <w:t xml:space="preserve"> responses per year.</w:t>
            </w:r>
          </w:p>
          <w:p w14:paraId="26A395C4" w14:textId="46A8DF4E" w:rsidR="002275CA" w:rsidRDefault="00205ED4" w:rsidP="002275CA">
            <w:pPr>
              <w:pStyle w:val="ListBullet"/>
            </w:pPr>
            <w:r>
              <w:lastRenderedPageBreak/>
              <w:t>Working</w:t>
            </w:r>
            <w:r w:rsidR="002275CA">
              <w:t xml:space="preserve"> with considerable autonomy to manage the Unit and its functions and has the authority to make all day to day and operational decisions required to ensure agreed performance and financial objectives are met. </w:t>
            </w:r>
          </w:p>
          <w:p w14:paraId="59CF55D5" w14:textId="3DB8B1BF" w:rsidR="009D1796" w:rsidRDefault="009D1796" w:rsidP="009D1796">
            <w:pPr>
              <w:pStyle w:val="ListBullet"/>
            </w:pPr>
            <w:r>
              <w:t>Liais</w:t>
            </w:r>
            <w:r w:rsidR="00205ED4">
              <w:t>ing</w:t>
            </w:r>
            <w:r>
              <w:t xml:space="preserve"> closely with Director </w:t>
            </w:r>
            <w:r w:rsidR="008A0610">
              <w:t xml:space="preserve">- </w:t>
            </w:r>
            <w:r>
              <w:t>Medical Services in ensuring integrated systems, processes, leadership and culture to provide safe, effective, accountable and person centred healthcare underpinned by continuous improvement.</w:t>
            </w:r>
          </w:p>
          <w:p w14:paraId="6CB550AC" w14:textId="7FF706DE" w:rsidR="002275CA" w:rsidRDefault="002275CA" w:rsidP="002275CA">
            <w:pPr>
              <w:pStyle w:val="ListBullet"/>
            </w:pPr>
            <w:r>
              <w:t>Recommend</w:t>
            </w:r>
            <w:r w:rsidR="00205ED4">
              <w:t>ing</w:t>
            </w:r>
            <w:r>
              <w:t xml:space="preserve"> new, or changes to, clinical procedures, systems and protocols based on contemporary clinical practice, the root cause analysis of serious incidents/sentinel events and the analysis of low acuity incidents. </w:t>
            </w:r>
          </w:p>
          <w:p w14:paraId="02E4D9D6" w14:textId="1B8E7DCB" w:rsidR="002275CA" w:rsidRDefault="002275CA" w:rsidP="002275CA">
            <w:pPr>
              <w:pStyle w:val="ListBullet"/>
            </w:pPr>
            <w:r>
              <w:t>Monitor</w:t>
            </w:r>
            <w:r w:rsidR="00205ED4">
              <w:t>ing</w:t>
            </w:r>
            <w:r>
              <w:t xml:space="preserve"> and oversee</w:t>
            </w:r>
            <w:r w:rsidR="00205ED4">
              <w:t>ing</w:t>
            </w:r>
            <w:r>
              <w:t xml:space="preserve"> reviews of clinical incidents, negotiate with other Business Units and makes recommendations and determine policy and procedural changes.</w:t>
            </w:r>
          </w:p>
          <w:p w14:paraId="2085AA41" w14:textId="2DB7DC63" w:rsidR="002275CA" w:rsidRDefault="00205ED4" w:rsidP="002275CA">
            <w:pPr>
              <w:pStyle w:val="ListBullet"/>
            </w:pPr>
            <w:r>
              <w:t>T</w:t>
            </w:r>
            <w:r w:rsidR="002275CA">
              <w:t xml:space="preserve">he development of a Clinical Action Plan which sets out strategies, policies and systems in clinical care. </w:t>
            </w:r>
          </w:p>
          <w:p w14:paraId="42E14C58" w14:textId="0DAD3748" w:rsidR="002275CA" w:rsidRDefault="002275CA" w:rsidP="002275CA">
            <w:pPr>
              <w:pStyle w:val="ListBullet"/>
            </w:pPr>
            <w:r>
              <w:t>Consult</w:t>
            </w:r>
            <w:r w:rsidR="00205ED4">
              <w:t>ing</w:t>
            </w:r>
            <w:r>
              <w:t xml:space="preserve"> with the </w:t>
            </w:r>
            <w:r w:rsidR="008A0610">
              <w:t>Chief Executive - Ambulance Tasmania</w:t>
            </w:r>
            <w:r>
              <w:t xml:space="preserve"> on issues with political implications which could impact other areas or involve significant risk for the organisation and provide recommendations on initiatives and developments.</w:t>
            </w:r>
          </w:p>
          <w:p w14:paraId="583A9672" w14:textId="77777777" w:rsidR="002275CA" w:rsidRDefault="002275CA" w:rsidP="002275CA">
            <w:pPr>
              <w:pStyle w:val="ListBullet"/>
            </w:pPr>
            <w:r>
              <w:t>As a member of the Executive, the Director provides technical and professional input to the development of the Service’s corporate and strategic planning and input to statewide committees.</w:t>
            </w:r>
          </w:p>
          <w:p w14:paraId="5AAA8262" w14:textId="77777777" w:rsidR="002275CA" w:rsidRDefault="002275CA" w:rsidP="002275CA">
            <w:pPr>
              <w:pStyle w:val="ListBullet"/>
            </w:pPr>
            <w:r>
              <w:t>The occupant is accountable for the implementation and support of a positive workplace culture and is responsible for identifying and addressing inappropriate workplace behaviours. The occupant will be a role model for appropriate behaviours in the workplace.</w:t>
            </w:r>
          </w:p>
          <w:p w14:paraId="5A58C3D0" w14:textId="77777777" w:rsidR="002275CA" w:rsidRDefault="002275CA" w:rsidP="002275CA">
            <w:pPr>
              <w:pStyle w:val="ListBullet"/>
            </w:pPr>
            <w:r>
              <w:t>The position holds extensive human resource, clinical, operational and financial authorities to enable timely decision-making on all aspects of clinical and patient safety operations.</w:t>
            </w:r>
          </w:p>
          <w:p w14:paraId="3C430B90" w14:textId="57C700B9" w:rsidR="00D913F3" w:rsidRDefault="002275CA" w:rsidP="003F209B">
            <w:pPr>
              <w:pStyle w:val="ListBullet"/>
            </w:pPr>
            <w:r>
              <w:t xml:space="preserve">The occupant will perform the duties allocated consistent with </w:t>
            </w:r>
            <w:r w:rsidR="008A0610">
              <w:t>Ambulance Tasmania’s</w:t>
            </w:r>
            <w:r>
              <w:t xml:space="preserve"> organisational values and will promote, role model and support those values in the workplace.</w:t>
            </w:r>
          </w:p>
          <w:p w14:paraId="000780BC" w14:textId="38004F4B" w:rsidR="001B751A" w:rsidRDefault="001B751A" w:rsidP="001B751A">
            <w:pPr>
              <w:pStyle w:val="BulletedListLevel1"/>
            </w:pPr>
            <w:r w:rsidRPr="005D1930">
              <w:t xml:space="preserve">Comply </w:t>
            </w:r>
            <w:r w:rsidRPr="005D1930">
              <w:rPr>
                <w:iCs/>
              </w:rPr>
              <w:t>at all times with policy and protocol requirements, in particular those relating to mandatory education, training and assessment</w:t>
            </w:r>
            <w:r w:rsidRPr="005D1930">
              <w:t>.</w:t>
            </w:r>
          </w:p>
          <w:p w14:paraId="773E9D19" w14:textId="07E3766E" w:rsidR="00806033" w:rsidRPr="00264A5A" w:rsidRDefault="006E5C8F" w:rsidP="00264A5A">
            <w:pPr>
              <w:pStyle w:val="ListBullet"/>
            </w:pPr>
            <w:r w:rsidRPr="00F65B26">
              <w:t xml:space="preserve">Health Care Workers within Ambulance Tasmania are expected to comply with the </w:t>
            </w:r>
            <w:r w:rsidRPr="00F65B26">
              <w:rPr>
                <w:i/>
              </w:rPr>
              <w:t>Ambulance Tasmania Clinical Staff Immunisation Policy</w:t>
            </w:r>
            <w:r w:rsidRPr="00F65B26">
              <w:t xml:space="preserve">. This position is a designated Category </w:t>
            </w:r>
            <w:r>
              <w:t>A position.</w:t>
            </w:r>
          </w:p>
        </w:tc>
      </w:tr>
    </w:tbl>
    <w:p w14:paraId="73AB6CBD" w14:textId="77777777" w:rsidR="0013547B" w:rsidRDefault="00831D3C" w:rsidP="008A0610">
      <w:pPr>
        <w:pStyle w:val="Heading4"/>
        <w:spacing w:before="120"/>
      </w:pPr>
      <w:r>
        <w:lastRenderedPageBreak/>
        <w:t>Essential Requirements:</w:t>
      </w:r>
    </w:p>
    <w:p w14:paraId="1FD96890"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ACE3407" w14:textId="77777777" w:rsidR="001B751A" w:rsidRDefault="001B751A" w:rsidP="001B751A">
      <w:pPr>
        <w:pStyle w:val="BulletedListLevel1"/>
      </w:pPr>
      <w:r w:rsidRPr="00E27322">
        <w:rPr>
          <w:rFonts w:eastAsia="Gill Sans MT"/>
        </w:rPr>
        <w:t>Holds a Bachelor of Paramedic Science or other qualification approved by the Service, relevant work experience and an additional qualification in management or equivalent</w:t>
      </w:r>
      <w:r>
        <w:rPr>
          <w:rFonts w:eastAsia="Gill Sans MT"/>
        </w:rPr>
        <w:t>.</w:t>
      </w:r>
    </w:p>
    <w:p w14:paraId="4A942C76" w14:textId="44D19EF6" w:rsidR="00936CDB" w:rsidRDefault="00936CDB" w:rsidP="002926D4">
      <w:pPr>
        <w:pStyle w:val="BulletedListLevel1"/>
        <w:numPr>
          <w:ilvl w:val="0"/>
          <w:numId w:val="23"/>
        </w:numPr>
      </w:pPr>
      <w:r>
        <w:t>Registered with the Paramedicine Board of Australia.</w:t>
      </w:r>
    </w:p>
    <w:p w14:paraId="556FFD93" w14:textId="50A0F998" w:rsidR="00936CDB" w:rsidRDefault="00936CDB" w:rsidP="002926D4">
      <w:pPr>
        <w:pStyle w:val="BulletedListLevel1"/>
        <w:numPr>
          <w:ilvl w:val="0"/>
          <w:numId w:val="23"/>
        </w:numPr>
      </w:pPr>
      <w:r>
        <w:t xml:space="preserve"> Current Driver Licence.</w:t>
      </w:r>
    </w:p>
    <w:p w14:paraId="728D1A0D" w14:textId="06932145" w:rsidR="0013547B" w:rsidRDefault="0013547B" w:rsidP="002926D4">
      <w:pPr>
        <w:pStyle w:val="BulletedListLevel1"/>
        <w:numPr>
          <w:ilvl w:val="0"/>
          <w:numId w:val="23"/>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A2D5857" w14:textId="77777777" w:rsidR="0013547B" w:rsidRDefault="00831D3C" w:rsidP="002926D4">
      <w:pPr>
        <w:pStyle w:val="BulletedListLevel1"/>
        <w:numPr>
          <w:ilvl w:val="0"/>
          <w:numId w:val="32"/>
        </w:numPr>
      </w:pPr>
      <w:r>
        <w:t>Conviction checks in the following areas:</w:t>
      </w:r>
    </w:p>
    <w:p w14:paraId="28A2BF93"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069C2633"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F72240E"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48DE0966" w14:textId="316BF435"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5845A6A" w14:textId="66A3EE48" w:rsidR="001B751A" w:rsidRDefault="001B751A" w:rsidP="002926D4">
      <w:pPr>
        <w:pStyle w:val="BulletedListLevel1"/>
        <w:numPr>
          <w:ilvl w:val="1"/>
          <w:numId w:val="31"/>
        </w:numPr>
        <w:tabs>
          <w:tab w:val="clear" w:pos="720"/>
          <w:tab w:val="num" w:pos="1287"/>
          <w:tab w:val="num" w:pos="1701"/>
        </w:tabs>
        <w:ind w:left="1701" w:hanging="567"/>
      </w:pPr>
      <w:r>
        <w:t>serious traffic offences</w:t>
      </w:r>
    </w:p>
    <w:p w14:paraId="091B5F81" w14:textId="77777777" w:rsidR="007D4E47" w:rsidRDefault="007D4E47" w:rsidP="002926D4">
      <w:pPr>
        <w:pStyle w:val="BulletedListLevel1"/>
        <w:numPr>
          <w:ilvl w:val="0"/>
          <w:numId w:val="32"/>
        </w:numPr>
      </w:pPr>
      <w:r>
        <w:t>Identification check</w:t>
      </w:r>
    </w:p>
    <w:p w14:paraId="7A2B9C58" w14:textId="77777777" w:rsidR="007D4E47" w:rsidRDefault="007D4E47" w:rsidP="002926D4">
      <w:pPr>
        <w:pStyle w:val="BulletedListLevel1"/>
        <w:numPr>
          <w:ilvl w:val="0"/>
          <w:numId w:val="32"/>
        </w:numPr>
      </w:pPr>
      <w:r>
        <w:t>Disciplinary action in previous employment check</w:t>
      </w:r>
      <w:r w:rsidR="004B0994">
        <w:t>.</w:t>
      </w:r>
    </w:p>
    <w:p w14:paraId="7619DCEB" w14:textId="77777777" w:rsidR="007D4E47" w:rsidRDefault="007D4E47" w:rsidP="008743F7">
      <w:pPr>
        <w:pStyle w:val="Heading4"/>
      </w:pPr>
      <w:r>
        <w:t>Desirable Requirements</w:t>
      </w:r>
      <w:r w:rsidR="005E71A7">
        <w:t>:</w:t>
      </w:r>
    </w:p>
    <w:p w14:paraId="0A6BE77D" w14:textId="56CFB3DC" w:rsidR="0014691D" w:rsidRDefault="0014691D" w:rsidP="0014691D">
      <w:pPr>
        <w:pStyle w:val="BulletedListLevel1"/>
      </w:pPr>
      <w:r>
        <w:t>Substantial expertise and experience in ambulance service administration and in the management of ambulance service operations</w:t>
      </w:r>
      <w:r w:rsidR="00BB3A61">
        <w:t xml:space="preserve"> </w:t>
      </w:r>
      <w:r w:rsidR="007C0D05">
        <w:t xml:space="preserve">including clinical governance </w:t>
      </w:r>
    </w:p>
    <w:p w14:paraId="60508B6C" w14:textId="77777777" w:rsidR="001A1D54" w:rsidRPr="00FE23F9" w:rsidRDefault="001A1D54" w:rsidP="001A1D54">
      <w:pPr>
        <w:pStyle w:val="BulletedListLevel1"/>
      </w:pPr>
      <w:r w:rsidRPr="00FE23F9">
        <w:t>Extensive operational experience as a practicing clinician</w:t>
      </w:r>
    </w:p>
    <w:p w14:paraId="507373AC" w14:textId="193EC42C" w:rsidR="0014691D" w:rsidRDefault="0014691D" w:rsidP="0014691D">
      <w:pPr>
        <w:pStyle w:val="BulletedListLevel1"/>
      </w:pPr>
      <w:r>
        <w:t>Demonstrated experience of industry representation at a senior national level</w:t>
      </w:r>
    </w:p>
    <w:p w14:paraId="7039543F" w14:textId="2967C567" w:rsidR="007D4E47" w:rsidRDefault="0014691D" w:rsidP="007E1458">
      <w:pPr>
        <w:pStyle w:val="BulletedListLevel1"/>
      </w:pPr>
      <w:r>
        <w:t>Other relevant tertiary post- graduate qualifications</w:t>
      </w:r>
      <w:r w:rsidR="001A1D54">
        <w:t xml:space="preserve"> </w:t>
      </w:r>
    </w:p>
    <w:p w14:paraId="6261E667" w14:textId="77777777" w:rsidR="0013547B" w:rsidRDefault="0013547B" w:rsidP="008743F7">
      <w:pPr>
        <w:pStyle w:val="Heading4"/>
      </w:pPr>
      <w:r>
        <w:t>Selection Criteria:</w:t>
      </w:r>
    </w:p>
    <w:p w14:paraId="39963255"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Ability to identify, develop and drive strategies for the flexible delivery and design of education programs and the use of new and emerging technologies to support reforms in a complex business environment.</w:t>
      </w:r>
    </w:p>
    <w:p w14:paraId="5215BDDF"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Demonstrated capacity to lead multi-disciplinary teams and work effectively at the senior executive level across health, educational and emergency service sectors.</w:t>
      </w:r>
    </w:p>
    <w:p w14:paraId="2721E96F"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Highly developed written communication, research, project management and consulting skills including interpersonal, presentation and negotiation skills.</w:t>
      </w:r>
    </w:p>
    <w:p w14:paraId="5B04FD7F"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Good knowledge of continuous improvement principles and techniques and how they integrate with organisational reform.</w:t>
      </w:r>
    </w:p>
    <w:p w14:paraId="697DD77D"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Strong skills and extensive experience in review and development of clinical direction, vocational education and training policies, programs and curriculum to meet operational requirements.</w:t>
      </w:r>
    </w:p>
    <w:p w14:paraId="1BC0B4E6"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Ability to translate strategic direction into practical and achievable operational service outcomes within a strict financial framework.</w:t>
      </w:r>
    </w:p>
    <w:p w14:paraId="4AE890E7" w14:textId="77777777" w:rsidR="00AA1939" w:rsidRPr="00AA1939" w:rsidRDefault="00AA1939" w:rsidP="00AA1939">
      <w:pPr>
        <w:pStyle w:val="NumberedList"/>
        <w:keepLines w:val="0"/>
        <w:numPr>
          <w:ilvl w:val="0"/>
          <w:numId w:val="33"/>
        </w:numPr>
        <w:tabs>
          <w:tab w:val="clear" w:pos="567"/>
        </w:tabs>
        <w:spacing w:after="120"/>
        <w:rPr>
          <w:rFonts w:cs="Tahoma"/>
          <w:szCs w:val="24"/>
        </w:rPr>
      </w:pPr>
      <w:r w:rsidRPr="00AA1939">
        <w:rPr>
          <w:rFonts w:cs="Tahoma"/>
          <w:szCs w:val="24"/>
        </w:rPr>
        <w:t>Sound understanding of educational principles, research, patient safety, clinical services redesign, project management and governance principles.</w:t>
      </w:r>
    </w:p>
    <w:p w14:paraId="67005D01" w14:textId="6EA872BA" w:rsidR="0013547B" w:rsidRPr="00AA1939" w:rsidRDefault="00AA1939" w:rsidP="00AA1939">
      <w:pPr>
        <w:pStyle w:val="NumberedList"/>
        <w:keepLines w:val="0"/>
        <w:numPr>
          <w:ilvl w:val="0"/>
          <w:numId w:val="33"/>
        </w:numPr>
        <w:tabs>
          <w:tab w:val="clear" w:pos="567"/>
        </w:tabs>
        <w:spacing w:after="120"/>
        <w:rPr>
          <w:rFonts w:cs="Tahoma"/>
          <w:szCs w:val="24"/>
        </w:rPr>
      </w:pPr>
      <w:r w:rsidRPr="00AA1939">
        <w:rPr>
          <w:rStyle w:val="a"/>
          <w:rFonts w:cs="Tahoma"/>
          <w:szCs w:val="24"/>
        </w:rPr>
        <w:t xml:space="preserve">Demonstrated people management skills, including providing staff support, staff development, </w:t>
      </w:r>
      <w:r w:rsidRPr="00AA1939">
        <w:rPr>
          <w:rFonts w:cs="Tahoma"/>
          <w:szCs w:val="24"/>
        </w:rPr>
        <w:t>performance</w:t>
      </w:r>
      <w:r w:rsidRPr="00AA1939">
        <w:rPr>
          <w:rStyle w:val="a"/>
          <w:rFonts w:cs="Tahoma"/>
          <w:szCs w:val="24"/>
        </w:rPr>
        <w:t xml:space="preserve"> management and conflict resolution.</w:t>
      </w:r>
    </w:p>
    <w:p w14:paraId="13FCCC21" w14:textId="77777777" w:rsidR="0013547B" w:rsidRDefault="0013547B" w:rsidP="008743F7">
      <w:pPr>
        <w:pStyle w:val="Heading4"/>
      </w:pPr>
      <w:r>
        <w:lastRenderedPageBreak/>
        <w:t>Working Environment:</w:t>
      </w:r>
    </w:p>
    <w:p w14:paraId="7F7096D7" w14:textId="77777777" w:rsidR="001B751A" w:rsidRPr="00C134ED" w:rsidRDefault="001B751A" w:rsidP="001B751A">
      <w:pPr>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D579FAF" w14:textId="77777777" w:rsidR="001B751A" w:rsidRPr="00C134ED" w:rsidRDefault="001B751A" w:rsidP="001B751A">
      <w:pPr>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595AD81" w14:textId="44C63ADC" w:rsidR="001B751A" w:rsidRPr="00C134ED" w:rsidRDefault="001B751A" w:rsidP="001B751A">
      <w:pPr>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12" w:history="1">
        <w:r w:rsidRPr="00C134ED">
          <w:rPr>
            <w:bCs/>
            <w:color w:val="0000FF"/>
            <w:u w:val="single"/>
            <w:lang w:val="en-GB"/>
          </w:rPr>
          <w:t>http://www.dpac.tas.gov.au/divisions/ssmo</w:t>
        </w:r>
      </w:hyperlink>
      <w:r w:rsidRPr="00C134ED">
        <w:rPr>
          <w:bCs/>
        </w:rPr>
        <w:t xml:space="preserve"> </w:t>
      </w:r>
    </w:p>
    <w:p w14:paraId="1A2DF8CB" w14:textId="77777777" w:rsidR="001B751A" w:rsidRPr="00C134ED" w:rsidRDefault="001B751A" w:rsidP="001B751A">
      <w:pPr>
        <w:rPr>
          <w:bCs/>
          <w:i/>
        </w:rPr>
      </w:pPr>
      <w:r w:rsidRPr="005D1930">
        <w:rPr>
          <w:bCs/>
          <w:i/>
        </w:rPr>
        <w:t>Fraud Management</w:t>
      </w:r>
      <w:r w:rsidRPr="005D1930">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70AE4FCC" w14:textId="77777777" w:rsidR="001B751A" w:rsidRPr="00C134ED" w:rsidRDefault="001B751A" w:rsidP="001B751A">
      <w:pPr>
        <w:rPr>
          <w:bCs/>
        </w:rPr>
      </w:pPr>
      <w:r w:rsidRPr="00C134ED">
        <w:rPr>
          <w:bCs/>
          <w:i/>
        </w:rPr>
        <w:t>Delegations:</w:t>
      </w:r>
      <w:r w:rsidRPr="00C134E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A382CF5" w14:textId="77777777" w:rsidR="001B751A" w:rsidRPr="00C134ED" w:rsidRDefault="001B751A" w:rsidP="001B751A">
      <w:pPr>
        <w:rPr>
          <w:bCs/>
        </w:rPr>
      </w:pPr>
      <w:r w:rsidRPr="00C134ED">
        <w:rPr>
          <w:bCs/>
          <w:i/>
        </w:rPr>
        <w:t xml:space="preserve">Blood borne viruses and immunisation: </w:t>
      </w:r>
      <w:r w:rsidRPr="00C134ED">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821A9EB" w14:textId="77777777" w:rsidR="001B751A" w:rsidRPr="00C134ED" w:rsidRDefault="001B751A" w:rsidP="001B751A">
      <w:pPr>
        <w:rPr>
          <w:bCs/>
        </w:rPr>
      </w:pPr>
      <w:r w:rsidRPr="005D1930">
        <w:rPr>
          <w:bCs/>
          <w:i/>
        </w:rPr>
        <w:t>Records and Confidentiality:</w:t>
      </w:r>
      <w:r w:rsidRPr="005D1930">
        <w:rPr>
          <w:bCs/>
        </w:rPr>
        <w:t xml:space="preserve"> Officers and employees of the Department are responsible and accountable for making proper records. Confidentiality must be maintained at all times and information must not be accessed or destroyed without proper authority.</w:t>
      </w:r>
    </w:p>
    <w:p w14:paraId="3565E2A0" w14:textId="4262FD77" w:rsidR="005E71A7" w:rsidRPr="008A0610" w:rsidRDefault="001B751A" w:rsidP="001B751A">
      <w:pPr>
        <w:rPr>
          <w:bCs/>
        </w:rPr>
      </w:pPr>
      <w:r w:rsidRPr="00C134ED">
        <w:rPr>
          <w:bCs/>
          <w:i/>
        </w:rPr>
        <w:t>Smoke-free:</w:t>
      </w:r>
      <w:r w:rsidRPr="00C134ED">
        <w:rPr>
          <w:bCs/>
        </w:rPr>
        <w:t xml:space="preserve"> DoH and THS workplaces are smoke-free environments. Smoking is prohibited in all State Government workplaces, including vehicles and vessels.</w:t>
      </w:r>
    </w:p>
    <w:sectPr w:rsidR="005E71A7" w:rsidRPr="008A0610" w:rsidSect="008A0610">
      <w:headerReference w:type="default" r:id="rId13"/>
      <w:footerReference w:type="default" r:id="rId14"/>
      <w:footerReference w:type="first" r:id="rId15"/>
      <w:pgSz w:w="11907" w:h="16840" w:code="9"/>
      <w:pgMar w:top="907" w:right="1134" w:bottom="1276"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3145" w14:textId="77777777" w:rsidR="00C9662D" w:rsidRDefault="00C9662D">
      <w:r>
        <w:separator/>
      </w:r>
    </w:p>
  </w:endnote>
  <w:endnote w:type="continuationSeparator" w:id="0">
    <w:p w14:paraId="205BDB56" w14:textId="77777777" w:rsidR="00C9662D" w:rsidRDefault="00C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2B69"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D25D"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8F5E" w14:textId="77777777" w:rsidR="00C9662D" w:rsidRDefault="00C9662D">
      <w:r>
        <w:separator/>
      </w:r>
    </w:p>
  </w:footnote>
  <w:footnote w:type="continuationSeparator" w:id="0">
    <w:p w14:paraId="026B5503" w14:textId="77777777" w:rsidR="00C9662D" w:rsidRDefault="00C9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2AD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4B6CB8"/>
    <w:multiLevelType w:val="hybridMultilevel"/>
    <w:tmpl w:val="2526827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83EA8"/>
    <w:multiLevelType w:val="hybridMultilevel"/>
    <w:tmpl w:val="0E06478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5960B2C"/>
    <w:multiLevelType w:val="hybridMultilevel"/>
    <w:tmpl w:val="8AAC5AC6"/>
    <w:lvl w:ilvl="0" w:tplc="0C09000F">
      <w:start w:val="1"/>
      <w:numFmt w:val="decimal"/>
      <w:lvlText w:val="%1."/>
      <w:lvlJc w:val="left"/>
      <w:pPr>
        <w:tabs>
          <w:tab w:val="num" w:pos="644"/>
        </w:tabs>
        <w:ind w:left="644"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7B018A4"/>
    <w:multiLevelType w:val="hybridMultilevel"/>
    <w:tmpl w:val="E70695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7"/>
  </w:num>
  <w:num w:numId="13">
    <w:abstractNumId w:val="14"/>
  </w:num>
  <w:num w:numId="14">
    <w:abstractNumId w:val="34"/>
  </w:num>
  <w:num w:numId="15">
    <w:abstractNumId w:val="25"/>
  </w:num>
  <w:num w:numId="16">
    <w:abstractNumId w:val="11"/>
  </w:num>
  <w:num w:numId="17">
    <w:abstractNumId w:val="12"/>
  </w:num>
  <w:num w:numId="18">
    <w:abstractNumId w:val="29"/>
  </w:num>
  <w:num w:numId="19">
    <w:abstractNumId w:val="32"/>
  </w:num>
  <w:num w:numId="20">
    <w:abstractNumId w:val="23"/>
  </w:num>
  <w:num w:numId="21">
    <w:abstractNumId w:val="8"/>
  </w:num>
  <w:num w:numId="22">
    <w:abstractNumId w:val="33"/>
  </w:num>
  <w:num w:numId="23">
    <w:abstractNumId w:val="11"/>
  </w:num>
  <w:num w:numId="24">
    <w:abstractNumId w:val="20"/>
  </w:num>
  <w:num w:numId="25">
    <w:abstractNumId w:val="28"/>
  </w:num>
  <w:num w:numId="26">
    <w:abstractNumId w:val="22"/>
  </w:num>
  <w:num w:numId="27">
    <w:abstractNumId w:val="27"/>
  </w:num>
  <w:num w:numId="28">
    <w:abstractNumId w:val="30"/>
  </w:num>
  <w:num w:numId="29">
    <w:abstractNumId w:val="10"/>
  </w:num>
  <w:num w:numId="30">
    <w:abstractNumId w:val="5"/>
  </w:num>
  <w:num w:numId="31">
    <w:abstractNumId w:val="19"/>
  </w:num>
  <w:num w:numId="32">
    <w:abstractNumId w:val="2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6"/>
  </w:num>
  <w:num w:numId="36">
    <w:abstractNumId w:val="9"/>
  </w:num>
  <w:num w:numId="3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8F"/>
    <w:rsid w:val="00000794"/>
    <w:rsid w:val="00001C8D"/>
    <w:rsid w:val="00012640"/>
    <w:rsid w:val="00020DB7"/>
    <w:rsid w:val="0002652A"/>
    <w:rsid w:val="000270AE"/>
    <w:rsid w:val="00027DEB"/>
    <w:rsid w:val="00030382"/>
    <w:rsid w:val="0003125A"/>
    <w:rsid w:val="00035074"/>
    <w:rsid w:val="00044CB7"/>
    <w:rsid w:val="000459C3"/>
    <w:rsid w:val="00050894"/>
    <w:rsid w:val="00056B27"/>
    <w:rsid w:val="00057178"/>
    <w:rsid w:val="00066FA3"/>
    <w:rsid w:val="00067719"/>
    <w:rsid w:val="00071637"/>
    <w:rsid w:val="00071A9D"/>
    <w:rsid w:val="00073630"/>
    <w:rsid w:val="00076F20"/>
    <w:rsid w:val="00077A9F"/>
    <w:rsid w:val="00093744"/>
    <w:rsid w:val="00093C14"/>
    <w:rsid w:val="00095803"/>
    <w:rsid w:val="00097698"/>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4691D"/>
    <w:rsid w:val="00163726"/>
    <w:rsid w:val="00163C4A"/>
    <w:rsid w:val="00163F75"/>
    <w:rsid w:val="00171E96"/>
    <w:rsid w:val="0017368D"/>
    <w:rsid w:val="0017765C"/>
    <w:rsid w:val="0018018B"/>
    <w:rsid w:val="00191F86"/>
    <w:rsid w:val="00193E1E"/>
    <w:rsid w:val="001969A6"/>
    <w:rsid w:val="001A0618"/>
    <w:rsid w:val="001A1037"/>
    <w:rsid w:val="001A1D54"/>
    <w:rsid w:val="001B2AB0"/>
    <w:rsid w:val="001B3010"/>
    <w:rsid w:val="001B3A56"/>
    <w:rsid w:val="001B751A"/>
    <w:rsid w:val="001B7DD0"/>
    <w:rsid w:val="001C0996"/>
    <w:rsid w:val="001C21AC"/>
    <w:rsid w:val="001D198D"/>
    <w:rsid w:val="001D437E"/>
    <w:rsid w:val="001D7B22"/>
    <w:rsid w:val="001E369D"/>
    <w:rsid w:val="001E6314"/>
    <w:rsid w:val="00200466"/>
    <w:rsid w:val="00205ED4"/>
    <w:rsid w:val="0020761E"/>
    <w:rsid w:val="00207C5E"/>
    <w:rsid w:val="0021332F"/>
    <w:rsid w:val="0021438D"/>
    <w:rsid w:val="00226AA5"/>
    <w:rsid w:val="002275CA"/>
    <w:rsid w:val="00234BA9"/>
    <w:rsid w:val="00242818"/>
    <w:rsid w:val="00253646"/>
    <w:rsid w:val="00253C98"/>
    <w:rsid w:val="00255662"/>
    <w:rsid w:val="00261FB7"/>
    <w:rsid w:val="00264A5A"/>
    <w:rsid w:val="00264ADF"/>
    <w:rsid w:val="002659AB"/>
    <w:rsid w:val="002725DD"/>
    <w:rsid w:val="00275DE8"/>
    <w:rsid w:val="0027736E"/>
    <w:rsid w:val="00285690"/>
    <w:rsid w:val="002906FE"/>
    <w:rsid w:val="00290EB4"/>
    <w:rsid w:val="002926D4"/>
    <w:rsid w:val="00297901"/>
    <w:rsid w:val="002B1A22"/>
    <w:rsid w:val="002B53E8"/>
    <w:rsid w:val="002C0991"/>
    <w:rsid w:val="002C26E9"/>
    <w:rsid w:val="002C5BE5"/>
    <w:rsid w:val="002E5B56"/>
    <w:rsid w:val="002F3BE7"/>
    <w:rsid w:val="002F77C0"/>
    <w:rsid w:val="002F7971"/>
    <w:rsid w:val="00303C12"/>
    <w:rsid w:val="00307944"/>
    <w:rsid w:val="003146AB"/>
    <w:rsid w:val="00314BA8"/>
    <w:rsid w:val="00315078"/>
    <w:rsid w:val="00315CC7"/>
    <w:rsid w:val="00325378"/>
    <w:rsid w:val="00334FAD"/>
    <w:rsid w:val="003366C3"/>
    <w:rsid w:val="00355085"/>
    <w:rsid w:val="00362506"/>
    <w:rsid w:val="00363C0A"/>
    <w:rsid w:val="00363EED"/>
    <w:rsid w:val="00366FFF"/>
    <w:rsid w:val="00371882"/>
    <w:rsid w:val="00371DEF"/>
    <w:rsid w:val="0038005A"/>
    <w:rsid w:val="003917A0"/>
    <w:rsid w:val="00393BB8"/>
    <w:rsid w:val="003A2EF6"/>
    <w:rsid w:val="003B0137"/>
    <w:rsid w:val="003B29AB"/>
    <w:rsid w:val="003C386B"/>
    <w:rsid w:val="003D2357"/>
    <w:rsid w:val="003D5EB2"/>
    <w:rsid w:val="003D6BFC"/>
    <w:rsid w:val="003E20DE"/>
    <w:rsid w:val="003E711D"/>
    <w:rsid w:val="003F209B"/>
    <w:rsid w:val="003F23D3"/>
    <w:rsid w:val="003F6812"/>
    <w:rsid w:val="004139A7"/>
    <w:rsid w:val="00413B07"/>
    <w:rsid w:val="00414DD5"/>
    <w:rsid w:val="004226D3"/>
    <w:rsid w:val="0042361D"/>
    <w:rsid w:val="0043073A"/>
    <w:rsid w:val="00435A4B"/>
    <w:rsid w:val="00443661"/>
    <w:rsid w:val="004442FB"/>
    <w:rsid w:val="00445A56"/>
    <w:rsid w:val="004464B5"/>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23DF9"/>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4FF1"/>
    <w:rsid w:val="005B66C2"/>
    <w:rsid w:val="005C25E6"/>
    <w:rsid w:val="005D6C14"/>
    <w:rsid w:val="005E618B"/>
    <w:rsid w:val="005E71A7"/>
    <w:rsid w:val="005E7E60"/>
    <w:rsid w:val="005F0892"/>
    <w:rsid w:val="006224CF"/>
    <w:rsid w:val="006261E4"/>
    <w:rsid w:val="0063281F"/>
    <w:rsid w:val="00643AD0"/>
    <w:rsid w:val="00655DC0"/>
    <w:rsid w:val="00657794"/>
    <w:rsid w:val="00661105"/>
    <w:rsid w:val="00663EB4"/>
    <w:rsid w:val="00672455"/>
    <w:rsid w:val="006751D7"/>
    <w:rsid w:val="00680225"/>
    <w:rsid w:val="00685C98"/>
    <w:rsid w:val="00695D67"/>
    <w:rsid w:val="006A1768"/>
    <w:rsid w:val="006A2F36"/>
    <w:rsid w:val="006A7CAA"/>
    <w:rsid w:val="006B3D23"/>
    <w:rsid w:val="006B5FF9"/>
    <w:rsid w:val="006D2597"/>
    <w:rsid w:val="006D697E"/>
    <w:rsid w:val="006D7CC4"/>
    <w:rsid w:val="006D7DE3"/>
    <w:rsid w:val="006E5C8F"/>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1470"/>
    <w:rsid w:val="00772750"/>
    <w:rsid w:val="0077559D"/>
    <w:rsid w:val="00775EF9"/>
    <w:rsid w:val="00786110"/>
    <w:rsid w:val="00787EC9"/>
    <w:rsid w:val="00790345"/>
    <w:rsid w:val="007934C5"/>
    <w:rsid w:val="00793FFB"/>
    <w:rsid w:val="00796280"/>
    <w:rsid w:val="007A295B"/>
    <w:rsid w:val="007A3316"/>
    <w:rsid w:val="007A5E2D"/>
    <w:rsid w:val="007A668C"/>
    <w:rsid w:val="007B6864"/>
    <w:rsid w:val="007B6DCE"/>
    <w:rsid w:val="007C0D05"/>
    <w:rsid w:val="007C4710"/>
    <w:rsid w:val="007C4869"/>
    <w:rsid w:val="007C5DB4"/>
    <w:rsid w:val="007D239E"/>
    <w:rsid w:val="007D4E47"/>
    <w:rsid w:val="007D5531"/>
    <w:rsid w:val="007D56EE"/>
    <w:rsid w:val="007E0245"/>
    <w:rsid w:val="007E036E"/>
    <w:rsid w:val="007E1458"/>
    <w:rsid w:val="007E2535"/>
    <w:rsid w:val="007E3BCF"/>
    <w:rsid w:val="007F0235"/>
    <w:rsid w:val="007F58F3"/>
    <w:rsid w:val="007F62C5"/>
    <w:rsid w:val="007F6892"/>
    <w:rsid w:val="00800C63"/>
    <w:rsid w:val="00802D6F"/>
    <w:rsid w:val="008033A3"/>
    <w:rsid w:val="00805675"/>
    <w:rsid w:val="00806033"/>
    <w:rsid w:val="00811069"/>
    <w:rsid w:val="008161B2"/>
    <w:rsid w:val="00821223"/>
    <w:rsid w:val="00831D3C"/>
    <w:rsid w:val="00833232"/>
    <w:rsid w:val="008364B0"/>
    <w:rsid w:val="0084388D"/>
    <w:rsid w:val="00854942"/>
    <w:rsid w:val="00862232"/>
    <w:rsid w:val="00865DFD"/>
    <w:rsid w:val="008721E4"/>
    <w:rsid w:val="008743F7"/>
    <w:rsid w:val="008753F1"/>
    <w:rsid w:val="00887E3C"/>
    <w:rsid w:val="00890944"/>
    <w:rsid w:val="00890F52"/>
    <w:rsid w:val="008913D8"/>
    <w:rsid w:val="008A0610"/>
    <w:rsid w:val="008A2820"/>
    <w:rsid w:val="008A32AE"/>
    <w:rsid w:val="008A5FBB"/>
    <w:rsid w:val="008C08C3"/>
    <w:rsid w:val="008C1FF0"/>
    <w:rsid w:val="008C2EFC"/>
    <w:rsid w:val="008C3F4F"/>
    <w:rsid w:val="008D0FC9"/>
    <w:rsid w:val="008D3E25"/>
    <w:rsid w:val="008D6A01"/>
    <w:rsid w:val="008E2731"/>
    <w:rsid w:val="008E5D8B"/>
    <w:rsid w:val="008E6186"/>
    <w:rsid w:val="008F0B0F"/>
    <w:rsid w:val="008F17EC"/>
    <w:rsid w:val="00917644"/>
    <w:rsid w:val="009206B6"/>
    <w:rsid w:val="00924188"/>
    <w:rsid w:val="00930D8A"/>
    <w:rsid w:val="00931BAA"/>
    <w:rsid w:val="00936CDB"/>
    <w:rsid w:val="009404B0"/>
    <w:rsid w:val="00943CB1"/>
    <w:rsid w:val="00944CCA"/>
    <w:rsid w:val="009466F9"/>
    <w:rsid w:val="00956543"/>
    <w:rsid w:val="00963169"/>
    <w:rsid w:val="009709E1"/>
    <w:rsid w:val="00972477"/>
    <w:rsid w:val="00972A8F"/>
    <w:rsid w:val="009744FD"/>
    <w:rsid w:val="00982F82"/>
    <w:rsid w:val="00983C68"/>
    <w:rsid w:val="00985923"/>
    <w:rsid w:val="009A0FB8"/>
    <w:rsid w:val="009A4802"/>
    <w:rsid w:val="009A4AFF"/>
    <w:rsid w:val="009B4975"/>
    <w:rsid w:val="009C6A2D"/>
    <w:rsid w:val="009C7BA5"/>
    <w:rsid w:val="009D04EE"/>
    <w:rsid w:val="009D1796"/>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34F09"/>
    <w:rsid w:val="00A41341"/>
    <w:rsid w:val="00A54D86"/>
    <w:rsid w:val="00A67115"/>
    <w:rsid w:val="00A704DB"/>
    <w:rsid w:val="00A72EB2"/>
    <w:rsid w:val="00A80F69"/>
    <w:rsid w:val="00A8222A"/>
    <w:rsid w:val="00A929BD"/>
    <w:rsid w:val="00A93086"/>
    <w:rsid w:val="00A9366A"/>
    <w:rsid w:val="00A96F81"/>
    <w:rsid w:val="00AA062C"/>
    <w:rsid w:val="00AA08D5"/>
    <w:rsid w:val="00AA1939"/>
    <w:rsid w:val="00AA474C"/>
    <w:rsid w:val="00AB13D5"/>
    <w:rsid w:val="00AB5566"/>
    <w:rsid w:val="00AC2142"/>
    <w:rsid w:val="00AC74FD"/>
    <w:rsid w:val="00AD2A2A"/>
    <w:rsid w:val="00AD3624"/>
    <w:rsid w:val="00AE1383"/>
    <w:rsid w:val="00AE36F5"/>
    <w:rsid w:val="00AE6B4F"/>
    <w:rsid w:val="00AF56C3"/>
    <w:rsid w:val="00AF63CC"/>
    <w:rsid w:val="00B1278B"/>
    <w:rsid w:val="00B15211"/>
    <w:rsid w:val="00B1526B"/>
    <w:rsid w:val="00B15F00"/>
    <w:rsid w:val="00B20186"/>
    <w:rsid w:val="00B23EDD"/>
    <w:rsid w:val="00B5028F"/>
    <w:rsid w:val="00B51F19"/>
    <w:rsid w:val="00B529CA"/>
    <w:rsid w:val="00B56169"/>
    <w:rsid w:val="00B57144"/>
    <w:rsid w:val="00B62D72"/>
    <w:rsid w:val="00B63D3F"/>
    <w:rsid w:val="00B66EEB"/>
    <w:rsid w:val="00B74A01"/>
    <w:rsid w:val="00B83A24"/>
    <w:rsid w:val="00B8426E"/>
    <w:rsid w:val="00B86216"/>
    <w:rsid w:val="00BB101B"/>
    <w:rsid w:val="00BB3A61"/>
    <w:rsid w:val="00BC01F1"/>
    <w:rsid w:val="00BC0E8C"/>
    <w:rsid w:val="00BC1732"/>
    <w:rsid w:val="00BC411E"/>
    <w:rsid w:val="00BC559C"/>
    <w:rsid w:val="00BC7B8E"/>
    <w:rsid w:val="00BD4D32"/>
    <w:rsid w:val="00BE77D2"/>
    <w:rsid w:val="00BF59C1"/>
    <w:rsid w:val="00C02519"/>
    <w:rsid w:val="00C03029"/>
    <w:rsid w:val="00C11881"/>
    <w:rsid w:val="00C14431"/>
    <w:rsid w:val="00C30D3A"/>
    <w:rsid w:val="00C372A3"/>
    <w:rsid w:val="00C41EA3"/>
    <w:rsid w:val="00C43DF3"/>
    <w:rsid w:val="00C508BF"/>
    <w:rsid w:val="00C55F75"/>
    <w:rsid w:val="00C65846"/>
    <w:rsid w:val="00C65ABE"/>
    <w:rsid w:val="00C703D9"/>
    <w:rsid w:val="00C71D9D"/>
    <w:rsid w:val="00C76928"/>
    <w:rsid w:val="00C840B4"/>
    <w:rsid w:val="00C92388"/>
    <w:rsid w:val="00C95CAF"/>
    <w:rsid w:val="00C9662D"/>
    <w:rsid w:val="00CA44AB"/>
    <w:rsid w:val="00CB37C6"/>
    <w:rsid w:val="00CC0C71"/>
    <w:rsid w:val="00CC1215"/>
    <w:rsid w:val="00CC1329"/>
    <w:rsid w:val="00CD15C9"/>
    <w:rsid w:val="00CD1AD5"/>
    <w:rsid w:val="00CE1E44"/>
    <w:rsid w:val="00CF693F"/>
    <w:rsid w:val="00D03469"/>
    <w:rsid w:val="00D0398E"/>
    <w:rsid w:val="00D05EE1"/>
    <w:rsid w:val="00D1099B"/>
    <w:rsid w:val="00D116A5"/>
    <w:rsid w:val="00D15BC8"/>
    <w:rsid w:val="00D20D47"/>
    <w:rsid w:val="00D31D6D"/>
    <w:rsid w:val="00D34EED"/>
    <w:rsid w:val="00D43549"/>
    <w:rsid w:val="00D47872"/>
    <w:rsid w:val="00D528FE"/>
    <w:rsid w:val="00D63E81"/>
    <w:rsid w:val="00D66B72"/>
    <w:rsid w:val="00D75B8E"/>
    <w:rsid w:val="00D7681F"/>
    <w:rsid w:val="00D77088"/>
    <w:rsid w:val="00D775C7"/>
    <w:rsid w:val="00D81EFA"/>
    <w:rsid w:val="00D913F3"/>
    <w:rsid w:val="00DA0BF8"/>
    <w:rsid w:val="00DA6BF1"/>
    <w:rsid w:val="00DB4011"/>
    <w:rsid w:val="00DB6430"/>
    <w:rsid w:val="00DB6B1E"/>
    <w:rsid w:val="00DB711F"/>
    <w:rsid w:val="00DB763E"/>
    <w:rsid w:val="00DB7CC0"/>
    <w:rsid w:val="00DC2582"/>
    <w:rsid w:val="00DD6876"/>
    <w:rsid w:val="00DE3289"/>
    <w:rsid w:val="00DF0823"/>
    <w:rsid w:val="00DF38CE"/>
    <w:rsid w:val="00DF4DF5"/>
    <w:rsid w:val="00E02F92"/>
    <w:rsid w:val="00E03838"/>
    <w:rsid w:val="00E06887"/>
    <w:rsid w:val="00E14331"/>
    <w:rsid w:val="00E223E1"/>
    <w:rsid w:val="00E42685"/>
    <w:rsid w:val="00E466EF"/>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A0820"/>
    <w:rsid w:val="00EB1CAA"/>
    <w:rsid w:val="00EB601C"/>
    <w:rsid w:val="00EC5994"/>
    <w:rsid w:val="00ED1106"/>
    <w:rsid w:val="00ED4B37"/>
    <w:rsid w:val="00ED6708"/>
    <w:rsid w:val="00ED6A42"/>
    <w:rsid w:val="00EF076E"/>
    <w:rsid w:val="00EF1403"/>
    <w:rsid w:val="00EF1945"/>
    <w:rsid w:val="00EF24E1"/>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69FFF"/>
  <w15:docId w15:val="{7F94365A-6CF9-4F4D-98E5-FEEBE8C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a">
    <w:name w:val="ÀÀ"/>
    <w:basedOn w:val="DefaultParagraphFont"/>
    <w:rsid w:val="00AA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E4AF50497CE48992A9E2D8D60A62E" ma:contentTypeVersion="13" ma:contentTypeDescription="Create a new document." ma:contentTypeScope="" ma:versionID="3498c85107894f62b86f5ebdda05d2e7">
  <xsd:schema xmlns:xsd="http://www.w3.org/2001/XMLSchema" xmlns:xs="http://www.w3.org/2001/XMLSchema" xmlns:p="http://schemas.microsoft.com/office/2006/metadata/properties" xmlns:ns3="0b3af17c-ee41-4472-adf0-5dfb665b7e2b" xmlns:ns4="55b62dfe-1783-4894-bf19-7d5529806046" targetNamespace="http://schemas.microsoft.com/office/2006/metadata/properties" ma:root="true" ma:fieldsID="77e129137ad64a1ca503adf543859b3c" ns3:_="" ns4:_="">
    <xsd:import namespace="0b3af17c-ee41-4472-adf0-5dfb665b7e2b"/>
    <xsd:import namespace="55b62dfe-1783-4894-bf19-7d55298060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f17c-ee41-4472-adf0-5dfb665b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62dfe-1783-4894-bf19-7d5529806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C188-1612-4E07-8D7F-945BF51B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f17c-ee41-4472-adf0-5dfb665b7e2b"/>
    <ds:schemaRef ds:uri="55b62dfe-1783-4894-bf19-7d5529806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89C99-5C06-45B6-9F3B-3291EF024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F748D-E2FA-4A5F-9DEF-AA6EE99BEC8A}">
  <ds:schemaRefs>
    <ds:schemaRef ds:uri="http://schemas.microsoft.com/sharepoint/v3/contenttype/forms"/>
  </ds:schemaRefs>
</ds:datastoreItem>
</file>

<file path=customXml/itemProps4.xml><?xml version="1.0" encoding="utf-8"?>
<ds:datastoreItem xmlns:ds="http://schemas.openxmlformats.org/officeDocument/2006/customXml" ds:itemID="{57A3BBD1-BB8E-48D5-B1BF-6BFE5425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14451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cgeorgakas</dc:creator>
  <cp:keywords/>
  <dc:description/>
  <cp:lastModifiedBy>Reardon, Kaylene</cp:lastModifiedBy>
  <cp:revision>3</cp:revision>
  <cp:lastPrinted>2020-09-21T00:39:00Z</cp:lastPrinted>
  <dcterms:created xsi:type="dcterms:W3CDTF">2020-10-01T23:01:00Z</dcterms:created>
  <dcterms:modified xsi:type="dcterms:W3CDTF">2020-10-01T23:01:00Z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Ambulance Tasmania Award</vt:lpwstr>
  </property>
  <property fmtid="{D5CDD505-2E9C-101B-9397-08002B2CF9AE}" pid="44" name="ReportsTo">
    <vt:lpwstr>Chief Executive</vt:lpwstr>
  </property>
  <property fmtid="{D5CDD505-2E9C-101B-9397-08002B2CF9AE}" pid="45" name="Classification">
    <vt:lpwstr>Ambulance Manager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Director Clinical Services</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Director Clinical Services</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South</vt:lpwstr>
  </property>
  <property fmtid="{D5CDD505-2E9C-101B-9397-08002B2CF9AE}" pid="58" name="Award1">
    <vt:lpwstr>Ambulance Tasmania Award</vt:lpwstr>
  </property>
  <property fmtid="{D5CDD505-2E9C-101B-9397-08002B2CF9AE}" pid="59" name="PositionStatus1">
    <vt:lpwstr>Fixed-Term</vt:lpwstr>
  </property>
  <property fmtid="{D5CDD505-2E9C-101B-9397-08002B2CF9AE}" pid="60" name="Classification1">
    <vt:lpwstr>Ambulance Manager</vt:lpwstr>
  </property>
  <property fmtid="{D5CDD505-2E9C-101B-9397-08002B2CF9AE}" pid="61" name="WorkPattern1">
    <vt:lpwstr/>
  </property>
  <property fmtid="{D5CDD505-2E9C-101B-9397-08002B2CF9AE}" pid="62" name="ReportsTo1">
    <vt:lpwstr>Chief Executive</vt:lpwstr>
  </property>
  <property fmtid="{D5CDD505-2E9C-101B-9397-08002B2CF9AE}" pid="63" name="PositionFTE1">
    <vt:lpwstr/>
  </property>
  <property fmtid="{D5CDD505-2E9C-101B-9397-08002B2CF9AE}" pid="64" name="DeptOpUnit">
    <vt:lpwstr>Ambulance Tasmania - Clinical Services</vt:lpwstr>
  </property>
  <property fmtid="{D5CDD505-2E9C-101B-9397-08002B2CF9AE}" pid="65" name="DeptOpUnit1">
    <vt:lpwstr>Ambulance Tasmania - Clinical Services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vt:lpwstr>
  </property>
  <property fmtid="{D5CDD505-2E9C-101B-9397-08002B2CF9AE}" pid="129" name="SelectTHS1">
    <vt:lpwstr>No</vt:lpwstr>
  </property>
  <property fmtid="{D5CDD505-2E9C-101B-9397-08002B2CF9AE}" pid="130" name="AT">
    <vt:lpwstr>True</vt:lpwstr>
  </property>
  <property fmtid="{D5CDD505-2E9C-101B-9397-08002B2CF9AE}" pid="131" name="AT1">
    <vt:lpwstr>True</vt:lpwstr>
  </property>
  <property fmtid="{D5CDD505-2E9C-101B-9397-08002B2CF9AE}" pid="132" name="ContentTypeId">
    <vt:lpwstr>0x0101005ABE4AF50497CE48992A9E2D8D60A62E</vt:lpwstr>
  </property>
</Properties>
</file>