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2F7AEF13" w14:textId="77777777" w:rsidTr="000B4D7A">
        <w:trPr>
          <w:cantSplit/>
          <w:trHeight w:val="1540"/>
        </w:trPr>
        <w:tc>
          <w:tcPr>
            <w:tcW w:w="3900" w:type="pct"/>
          </w:tcPr>
          <w:p w14:paraId="600E70EF" w14:textId="77777777" w:rsidR="00832281" w:rsidRPr="00815590" w:rsidRDefault="00832281" w:rsidP="00962468">
            <w:pPr>
              <w:pStyle w:val="DepartmentTitle"/>
              <w:ind w:left="1843"/>
              <w:jc w:val="center"/>
              <w:rPr>
                <w:sz w:val="32"/>
                <w:szCs w:val="32"/>
              </w:rPr>
            </w:pPr>
            <w:bookmarkStart w:id="0" w:name="_GoBack"/>
            <w:bookmarkEnd w:id="0"/>
            <w:r w:rsidRPr="00815590">
              <w:rPr>
                <w:sz w:val="32"/>
                <w:szCs w:val="32"/>
              </w:rPr>
              <w:t xml:space="preserve">Department of Health and </w:t>
            </w:r>
          </w:p>
          <w:p w14:paraId="250F6934" w14:textId="77777777" w:rsidR="002C0991" w:rsidRPr="00815590" w:rsidRDefault="00832281" w:rsidP="00962468">
            <w:pPr>
              <w:pStyle w:val="DepartmentTitle"/>
              <w:ind w:left="1843"/>
              <w:jc w:val="center"/>
              <w:rPr>
                <w:caps/>
                <w:sz w:val="32"/>
                <w:szCs w:val="32"/>
              </w:rPr>
            </w:pPr>
            <w:r w:rsidRPr="00815590">
              <w:rPr>
                <w:sz w:val="32"/>
                <w:szCs w:val="32"/>
              </w:rPr>
              <w:t>Tasmanian Health Service</w:t>
            </w:r>
          </w:p>
          <w:p w14:paraId="5B43A457" w14:textId="77777777" w:rsidR="00DD6876" w:rsidRPr="00DD6876" w:rsidRDefault="00DD6876" w:rsidP="00962468">
            <w:pPr>
              <w:pStyle w:val="Sub-branch"/>
              <w:spacing w:before="40" w:after="120"/>
              <w:ind w:left="1843"/>
              <w:jc w:val="center"/>
              <w:rPr>
                <w:caps w:val="0"/>
                <w:w w:val="100"/>
                <w:sz w:val="8"/>
                <w:szCs w:val="24"/>
              </w:rPr>
            </w:pPr>
          </w:p>
          <w:p w14:paraId="4D047D23" w14:textId="77777777" w:rsidR="00DD6876" w:rsidRDefault="00DD6876" w:rsidP="00962468">
            <w:pPr>
              <w:pStyle w:val="Heading1"/>
              <w:tabs>
                <w:tab w:val="left" w:pos="425"/>
                <w:tab w:val="left" w:pos="8280"/>
                <w:tab w:val="left" w:pos="9180"/>
              </w:tabs>
              <w:spacing w:after="0"/>
              <w:ind w:left="1843"/>
              <w:jc w:val="center"/>
            </w:pPr>
            <w:r>
              <w:t>Statement of Duties</w:t>
            </w:r>
          </w:p>
        </w:tc>
        <w:tc>
          <w:tcPr>
            <w:tcW w:w="1100" w:type="pct"/>
          </w:tcPr>
          <w:p w14:paraId="40419842" w14:textId="77777777" w:rsidR="004966A3" w:rsidRDefault="0021438D">
            <w:pPr>
              <w:pStyle w:val="Logo"/>
            </w:pPr>
            <w:r>
              <w:rPr>
                <w:noProof/>
                <w:lang w:eastAsia="en-AU"/>
              </w:rPr>
              <w:drawing>
                <wp:inline distT="0" distB="0" distL="0" distR="0" wp14:anchorId="4514F9C7" wp14:editId="50BF287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C08A0D0" w14:textId="77777777" w:rsidTr="005713D6">
        <w:tblPrEx>
          <w:tblLook w:val="01E0" w:firstRow="1" w:lastRow="1" w:firstColumn="1" w:lastColumn="1" w:noHBand="0" w:noVBand="0"/>
        </w:tblPrEx>
        <w:tc>
          <w:tcPr>
            <w:tcW w:w="5000" w:type="pct"/>
            <w:gridSpan w:val="2"/>
          </w:tcPr>
          <w:p w14:paraId="1A32703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20E1E70"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3"/>
        <w:gridCol w:w="2693"/>
      </w:tblGrid>
      <w:tr w:rsidR="005713D6" w14:paraId="2EDF0B79" w14:textId="77777777" w:rsidTr="00962468">
        <w:tc>
          <w:tcPr>
            <w:tcW w:w="2197" w:type="pct"/>
            <w:tcBorders>
              <w:top w:val="single" w:sz="4" w:space="0" w:color="auto"/>
              <w:left w:val="single" w:sz="4" w:space="0" w:color="auto"/>
              <w:bottom w:val="single" w:sz="4" w:space="0" w:color="auto"/>
              <w:right w:val="single" w:sz="4" w:space="0" w:color="auto"/>
            </w:tcBorders>
          </w:tcPr>
          <w:p w14:paraId="42B25E1E" w14:textId="77777777" w:rsidR="005713D6" w:rsidRPr="00023779" w:rsidRDefault="005713D6" w:rsidP="0002377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023779">
              <w:rPr>
                <w:rStyle w:val="InformationBlockChar"/>
                <w:b w:val="0"/>
              </w:rPr>
              <w:t>Staff Specialist - Gastroenterology</w:t>
            </w:r>
          </w:p>
        </w:tc>
        <w:tc>
          <w:tcPr>
            <w:tcW w:w="1364" w:type="pct"/>
            <w:tcBorders>
              <w:top w:val="single" w:sz="4" w:space="0" w:color="auto"/>
              <w:left w:val="single" w:sz="4" w:space="0" w:color="auto"/>
              <w:bottom w:val="single" w:sz="4" w:space="0" w:color="auto"/>
              <w:right w:val="single" w:sz="4" w:space="0" w:color="auto"/>
            </w:tcBorders>
          </w:tcPr>
          <w:p w14:paraId="4FD17DEA" w14:textId="77777777" w:rsidR="005713D6" w:rsidRPr="00023779" w:rsidRDefault="005713D6" w:rsidP="00023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23779">
              <w:rPr>
                <w:rFonts w:cs="Arial"/>
                <w:iCs/>
                <w:kern w:val="36"/>
                <w:lang w:eastAsia="en-AU"/>
              </w:rPr>
              <w:t>515031</w:t>
            </w:r>
          </w:p>
        </w:tc>
        <w:tc>
          <w:tcPr>
            <w:tcW w:w="1440" w:type="pct"/>
            <w:tcBorders>
              <w:top w:val="single" w:sz="4" w:space="0" w:color="auto"/>
              <w:left w:val="single" w:sz="4" w:space="0" w:color="auto"/>
              <w:bottom w:val="single" w:sz="4" w:space="0" w:color="auto"/>
              <w:right w:val="single" w:sz="4" w:space="0" w:color="auto"/>
            </w:tcBorders>
          </w:tcPr>
          <w:p w14:paraId="32D84BC1" w14:textId="77777777" w:rsidR="005713D6" w:rsidRPr="00E800BD" w:rsidRDefault="005713D6" w:rsidP="0002377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62468">
              <w:rPr>
                <w:rStyle w:val="InformationBlockChar"/>
              </w:rPr>
              <w:t xml:space="preserve">     </w:t>
            </w:r>
            <w:r w:rsidR="00023779">
              <w:rPr>
                <w:rStyle w:val="InformationBlockChar"/>
                <w:b w:val="0"/>
              </w:rPr>
              <w:t>October 2018</w:t>
            </w:r>
          </w:p>
        </w:tc>
      </w:tr>
      <w:tr w:rsidR="005713D6" w14:paraId="399190F1" w14:textId="77777777" w:rsidTr="00E800BD">
        <w:tc>
          <w:tcPr>
            <w:tcW w:w="5000" w:type="pct"/>
            <w:gridSpan w:val="3"/>
            <w:tcBorders>
              <w:top w:val="single" w:sz="4" w:space="0" w:color="auto"/>
              <w:left w:val="single" w:sz="4" w:space="0" w:color="auto"/>
              <w:bottom w:val="single" w:sz="4" w:space="0" w:color="auto"/>
              <w:right w:val="single" w:sz="4" w:space="0" w:color="auto"/>
            </w:tcBorders>
          </w:tcPr>
          <w:p w14:paraId="3DC7EB10" w14:textId="77777777" w:rsidR="005713D6" w:rsidRPr="00E800BD" w:rsidRDefault="005713D6" w:rsidP="00023779">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E800BD">
              <w:fldChar w:fldCharType="begin"/>
            </w:r>
            <w:r w:rsidR="00E800BD">
              <w:instrText xml:space="preserve"> DOCPROPERTY  DeptOpUnit  \* MERGEFORMAT </w:instrText>
            </w:r>
            <w:r w:rsidR="00E800BD">
              <w:fldChar w:fldCharType="separate"/>
            </w:r>
            <w:r w:rsidR="00E800BD" w:rsidRPr="001C00DA">
              <w:rPr>
                <w:rStyle w:val="InformationBlockChar"/>
                <w:b w:val="0"/>
              </w:rPr>
              <w:t xml:space="preserve">Tasmanian Health </w:t>
            </w:r>
            <w:r w:rsidR="00E800BD">
              <w:rPr>
                <w:rStyle w:val="InformationBlockChar"/>
                <w:b w:val="0"/>
              </w:rPr>
              <w:t>Service (THS)</w:t>
            </w:r>
            <w:r w:rsidR="00E800BD">
              <w:t xml:space="preserve"> </w:t>
            </w:r>
            <w:r w:rsidR="00E800BD">
              <w:fldChar w:fldCharType="end"/>
            </w:r>
            <w:r w:rsidR="00962468">
              <w:t xml:space="preserve">– </w:t>
            </w:r>
            <w:r w:rsidR="00023779">
              <w:t>Mersey Community Hospital (MCH)</w:t>
            </w:r>
          </w:p>
        </w:tc>
      </w:tr>
      <w:tr w:rsidR="005713D6" w14:paraId="760F77C1" w14:textId="77777777" w:rsidTr="00962468">
        <w:tc>
          <w:tcPr>
            <w:tcW w:w="2197" w:type="pct"/>
            <w:tcBorders>
              <w:top w:val="single" w:sz="4" w:space="0" w:color="auto"/>
              <w:left w:val="single" w:sz="4" w:space="0" w:color="auto"/>
              <w:bottom w:val="single" w:sz="4" w:space="0" w:color="auto"/>
              <w:right w:val="single" w:sz="4" w:space="0" w:color="auto"/>
            </w:tcBorders>
          </w:tcPr>
          <w:p w14:paraId="20723602" w14:textId="77777777" w:rsidR="005713D6" w:rsidRPr="00023779" w:rsidRDefault="005713D6" w:rsidP="0002377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23779">
              <w:rPr>
                <w:rStyle w:val="InformationBlockChar"/>
                <w:b w:val="0"/>
              </w:rPr>
              <w:t>Gastroenterology</w:t>
            </w:r>
          </w:p>
        </w:tc>
        <w:tc>
          <w:tcPr>
            <w:tcW w:w="2803" w:type="pct"/>
            <w:gridSpan w:val="2"/>
            <w:tcBorders>
              <w:top w:val="single" w:sz="4" w:space="0" w:color="auto"/>
              <w:left w:val="single" w:sz="4" w:space="0" w:color="auto"/>
              <w:bottom w:val="single" w:sz="4" w:space="0" w:color="auto"/>
              <w:right w:val="single" w:sz="4" w:space="0" w:color="auto"/>
            </w:tcBorders>
          </w:tcPr>
          <w:p w14:paraId="588EB701" w14:textId="77777777" w:rsidR="005713D6" w:rsidRDefault="005713D6" w:rsidP="00023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23779">
              <w:rPr>
                <w:rFonts w:cs="Arial"/>
                <w:iCs/>
                <w:kern w:val="36"/>
                <w:lang w:eastAsia="en-AU"/>
              </w:rPr>
              <w:t>North West</w:t>
            </w:r>
          </w:p>
        </w:tc>
      </w:tr>
      <w:tr w:rsidR="005713D6" w14:paraId="20E0DA4A" w14:textId="77777777" w:rsidTr="00962468">
        <w:tc>
          <w:tcPr>
            <w:tcW w:w="2197" w:type="pct"/>
            <w:vMerge w:val="restart"/>
            <w:tcBorders>
              <w:top w:val="single" w:sz="4" w:space="0" w:color="auto"/>
              <w:left w:val="single" w:sz="4" w:space="0" w:color="auto"/>
              <w:right w:val="single" w:sz="4" w:space="0" w:color="auto"/>
            </w:tcBorders>
          </w:tcPr>
          <w:p w14:paraId="4A721183" w14:textId="77777777" w:rsidR="005713D6" w:rsidRPr="00023779" w:rsidRDefault="005713D6" w:rsidP="0002377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023779">
              <w:rPr>
                <w:rStyle w:val="InformationBlockChar"/>
              </w:rPr>
              <w:t xml:space="preserve"> </w:t>
            </w:r>
            <w:r w:rsidR="00023779">
              <w:rPr>
                <w:rStyle w:val="InformationBlockChar"/>
                <w:b w:val="0"/>
              </w:rPr>
              <w:t>Salaried Medical Practitioners (Tasmanian State Service) Agreement</w:t>
            </w:r>
          </w:p>
        </w:tc>
        <w:tc>
          <w:tcPr>
            <w:tcW w:w="2803" w:type="pct"/>
            <w:gridSpan w:val="2"/>
            <w:tcBorders>
              <w:top w:val="single" w:sz="4" w:space="0" w:color="auto"/>
              <w:left w:val="single" w:sz="4" w:space="0" w:color="auto"/>
              <w:bottom w:val="single" w:sz="4" w:space="0" w:color="auto"/>
              <w:right w:val="single" w:sz="4" w:space="0" w:color="auto"/>
            </w:tcBorders>
          </w:tcPr>
          <w:p w14:paraId="1516A5BC" w14:textId="77777777" w:rsidR="005713D6" w:rsidRPr="00C03029" w:rsidRDefault="005713D6" w:rsidP="00E800B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13F99">
              <w:fldChar w:fldCharType="begin"/>
            </w:r>
            <w:r w:rsidR="00E13F99">
              <w:instrText xml:space="preserve"> DOCPROPERTY  PositionStatus  \* MERGEFORMAT </w:instrText>
            </w:r>
            <w:r w:rsidR="00E13F99">
              <w:fldChar w:fldCharType="separate"/>
            </w:r>
            <w:r w:rsidR="00CF352F" w:rsidRPr="00CF352F">
              <w:rPr>
                <w:rFonts w:cs="Arial"/>
                <w:iCs/>
                <w:kern w:val="36"/>
                <w:lang w:eastAsia="en-AU"/>
              </w:rPr>
              <w:t>Permanent</w:t>
            </w:r>
            <w:r w:rsidR="00E13F99">
              <w:rPr>
                <w:rFonts w:cs="Arial"/>
                <w:iCs/>
                <w:kern w:val="36"/>
                <w:lang w:eastAsia="en-AU"/>
              </w:rPr>
              <w:fldChar w:fldCharType="end"/>
            </w:r>
          </w:p>
        </w:tc>
      </w:tr>
      <w:tr w:rsidR="005713D6" w14:paraId="1BB9C939" w14:textId="77777777" w:rsidTr="00962468">
        <w:tc>
          <w:tcPr>
            <w:tcW w:w="2197" w:type="pct"/>
            <w:vMerge/>
            <w:tcBorders>
              <w:left w:val="single" w:sz="4" w:space="0" w:color="auto"/>
              <w:bottom w:val="single" w:sz="4" w:space="0" w:color="auto"/>
              <w:right w:val="single" w:sz="4" w:space="0" w:color="auto"/>
            </w:tcBorders>
          </w:tcPr>
          <w:p w14:paraId="6D231D2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77232E72" w14:textId="77777777" w:rsidR="005713D6" w:rsidRPr="00BC1732" w:rsidRDefault="005713D6" w:rsidP="00023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w:t>
              </w:r>
            </w:fldSimple>
          </w:p>
        </w:tc>
      </w:tr>
      <w:tr w:rsidR="005713D6" w14:paraId="47D80917" w14:textId="77777777" w:rsidTr="00962468">
        <w:tc>
          <w:tcPr>
            <w:tcW w:w="2197" w:type="pct"/>
            <w:tcBorders>
              <w:top w:val="single" w:sz="4" w:space="0" w:color="auto"/>
              <w:left w:val="single" w:sz="4" w:space="0" w:color="auto"/>
              <w:bottom w:val="single" w:sz="4" w:space="0" w:color="auto"/>
              <w:right w:val="single" w:sz="4" w:space="0" w:color="auto"/>
            </w:tcBorders>
          </w:tcPr>
          <w:p w14:paraId="41694249" w14:textId="77777777" w:rsidR="005713D6" w:rsidRDefault="00044CB7" w:rsidP="0002377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23779" w:rsidRPr="00023779">
              <w:rPr>
                <w:rStyle w:val="InformationBlockChar"/>
                <w:b w:val="0"/>
              </w:rPr>
              <w:t>1-11</w:t>
            </w:r>
          </w:p>
        </w:tc>
        <w:tc>
          <w:tcPr>
            <w:tcW w:w="2803" w:type="pct"/>
            <w:gridSpan w:val="2"/>
            <w:tcBorders>
              <w:top w:val="single" w:sz="4" w:space="0" w:color="auto"/>
              <w:left w:val="single" w:sz="4" w:space="0" w:color="auto"/>
              <w:bottom w:val="single" w:sz="4" w:space="0" w:color="auto"/>
              <w:right w:val="single" w:sz="4" w:space="0" w:color="auto"/>
            </w:tcBorders>
          </w:tcPr>
          <w:p w14:paraId="7E20B54B" w14:textId="77777777" w:rsidR="005713D6" w:rsidRDefault="00044CB7" w:rsidP="000237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23779">
              <w:rPr>
                <w:rFonts w:cs="Arial"/>
                <w:iCs/>
                <w:kern w:val="36"/>
                <w:lang w:eastAsia="en-AU"/>
              </w:rPr>
              <w:t>Specialist Medical Practitioner</w:t>
            </w:r>
          </w:p>
        </w:tc>
      </w:tr>
      <w:tr w:rsidR="00077A9F" w14:paraId="7724D882" w14:textId="77777777" w:rsidTr="00E800BD">
        <w:tc>
          <w:tcPr>
            <w:tcW w:w="5000" w:type="pct"/>
            <w:gridSpan w:val="3"/>
            <w:tcBorders>
              <w:top w:val="single" w:sz="4" w:space="0" w:color="auto"/>
              <w:left w:val="single" w:sz="4" w:space="0" w:color="auto"/>
              <w:bottom w:val="single" w:sz="4" w:space="0" w:color="auto"/>
              <w:right w:val="single" w:sz="4" w:space="0" w:color="auto"/>
            </w:tcBorders>
          </w:tcPr>
          <w:p w14:paraId="45E18129" w14:textId="77777777" w:rsidR="00077A9F" w:rsidRPr="00E800BD" w:rsidRDefault="00077A9F" w:rsidP="0002377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23779" w:rsidRPr="00023779">
              <w:rPr>
                <w:rStyle w:val="InformationBlockChar"/>
                <w:b w:val="0"/>
              </w:rPr>
              <w:t>Clinical Lead Gastroenterology/Clinical Director Acute Medicine</w:t>
            </w:r>
          </w:p>
        </w:tc>
      </w:tr>
      <w:tr w:rsidR="00171E96" w14:paraId="53B5CD6C" w14:textId="77777777" w:rsidTr="00962468">
        <w:tc>
          <w:tcPr>
            <w:tcW w:w="2197" w:type="pct"/>
            <w:tcBorders>
              <w:top w:val="single" w:sz="4" w:space="0" w:color="auto"/>
              <w:left w:val="single" w:sz="4" w:space="0" w:color="auto"/>
              <w:bottom w:val="single" w:sz="4" w:space="0" w:color="auto"/>
              <w:right w:val="single" w:sz="4" w:space="0" w:color="auto"/>
            </w:tcBorders>
          </w:tcPr>
          <w:p w14:paraId="5B92F287" w14:textId="77777777" w:rsidR="00171E96" w:rsidRDefault="00171E96" w:rsidP="00E800B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800BD">
              <w:rPr>
                <w:rStyle w:val="InformationBlockChar"/>
                <w:b w:val="0"/>
              </w:rPr>
              <w:t>Annulled</w:t>
            </w:r>
          </w:p>
        </w:tc>
        <w:tc>
          <w:tcPr>
            <w:tcW w:w="2803" w:type="pct"/>
            <w:gridSpan w:val="2"/>
            <w:tcBorders>
              <w:top w:val="single" w:sz="4" w:space="0" w:color="auto"/>
              <w:left w:val="single" w:sz="4" w:space="0" w:color="auto"/>
              <w:bottom w:val="single" w:sz="4" w:space="0" w:color="auto"/>
              <w:right w:val="single" w:sz="4" w:space="0" w:color="auto"/>
            </w:tcBorders>
          </w:tcPr>
          <w:p w14:paraId="2F6F1643" w14:textId="77777777" w:rsidR="00171E96" w:rsidRDefault="00171E96" w:rsidP="00E800B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800BD">
              <w:rPr>
                <w:rStyle w:val="InformationBlockChar"/>
                <w:b w:val="0"/>
              </w:rPr>
              <w:t>Pre-employment</w:t>
            </w:r>
          </w:p>
        </w:tc>
      </w:tr>
    </w:tbl>
    <w:p w14:paraId="00969436" w14:textId="77777777" w:rsidR="0013547B" w:rsidRPr="008743F7" w:rsidRDefault="0013547B" w:rsidP="008743F7">
      <w:pPr>
        <w:pStyle w:val="Heading4"/>
      </w:pPr>
      <w:r w:rsidRPr="008743F7">
        <w:t>Focus of Duties:</w:t>
      </w:r>
    </w:p>
    <w:p w14:paraId="2BC08547" w14:textId="77777777" w:rsidR="00023779" w:rsidRDefault="00023779" w:rsidP="00962468">
      <w:pPr>
        <w:pStyle w:val="BulletedListLevel1"/>
        <w:numPr>
          <w:ilvl w:val="0"/>
          <w:numId w:val="0"/>
        </w:numPr>
        <w:ind w:left="567" w:hanging="567"/>
      </w:pPr>
      <w:r>
        <w:t>Provide specialist medical care to patients attending the North West.</w:t>
      </w:r>
    </w:p>
    <w:p w14:paraId="13C5CE56" w14:textId="77777777" w:rsidR="00023779" w:rsidRDefault="00023779" w:rsidP="00962468">
      <w:pPr>
        <w:pStyle w:val="BulletedListLevel1"/>
        <w:numPr>
          <w:ilvl w:val="0"/>
          <w:numId w:val="0"/>
        </w:numPr>
      </w:pPr>
      <w:r>
        <w:t>Be involved in research and quality improvement activities, undergraduate and post graduate teaching in the North West.</w:t>
      </w:r>
    </w:p>
    <w:p w14:paraId="26897A8B" w14:textId="77777777" w:rsidR="00023779" w:rsidRDefault="00023779" w:rsidP="00962468">
      <w:pPr>
        <w:pStyle w:val="BulletedListLevel1"/>
        <w:numPr>
          <w:ilvl w:val="0"/>
          <w:numId w:val="0"/>
        </w:numPr>
        <w:ind w:left="567" w:hanging="567"/>
      </w:pPr>
      <w:r>
        <w:t>Provide specialist advice to inpatient units as required.</w:t>
      </w:r>
    </w:p>
    <w:p w14:paraId="032EF8A9" w14:textId="77777777" w:rsidR="00103A0E" w:rsidRDefault="0013547B" w:rsidP="00103A0E">
      <w:pPr>
        <w:pStyle w:val="Heading4"/>
      </w:pPr>
      <w:r w:rsidRPr="008743F7">
        <w:t>Dutie</w:t>
      </w:r>
      <w:r w:rsidR="00103A0E">
        <w:t>s</w:t>
      </w:r>
    </w:p>
    <w:p w14:paraId="3C06122C" w14:textId="77777777" w:rsidR="00023779" w:rsidRDefault="00023779" w:rsidP="00023779">
      <w:pPr>
        <w:pStyle w:val="NumberedList"/>
      </w:pPr>
      <w:r w:rsidRPr="00023779">
        <w:t xml:space="preserve"> </w:t>
      </w:r>
      <w:r>
        <w:t>Provide specialist treatment and care for public patients of the North West in Gastroenterology and subspecialty.</w:t>
      </w:r>
    </w:p>
    <w:p w14:paraId="4FF3E89B" w14:textId="77777777" w:rsidR="00023779" w:rsidRDefault="00023779" w:rsidP="00023779">
      <w:pPr>
        <w:pStyle w:val="NumberedList"/>
      </w:pPr>
      <w:r>
        <w:t>Undertake procedures as required in the Department of Gastroenterology.</w:t>
      </w:r>
    </w:p>
    <w:p w14:paraId="5B2F6776" w14:textId="77777777" w:rsidR="00023779" w:rsidRDefault="00023779" w:rsidP="00023779">
      <w:pPr>
        <w:pStyle w:val="NumberedList"/>
      </w:pPr>
      <w:r>
        <w:t>Manage and coordinate Department of Gastroenterology morning handover meetings and participate, along with other staff specialists where relevant, in multidisciplinary meetings.</w:t>
      </w:r>
    </w:p>
    <w:p w14:paraId="44A0FBF3" w14:textId="77777777" w:rsidR="00023779" w:rsidRDefault="00023779" w:rsidP="00023779">
      <w:pPr>
        <w:pStyle w:val="NumberedList"/>
      </w:pPr>
      <w:r>
        <w:t>Attend Department of Gastroenterology mortality and morbidity review.</w:t>
      </w:r>
    </w:p>
    <w:p w14:paraId="6EEE6A33" w14:textId="77777777" w:rsidR="00023779" w:rsidRDefault="00023779" w:rsidP="00023779">
      <w:pPr>
        <w:pStyle w:val="NumberedList"/>
      </w:pPr>
      <w:r>
        <w:t>Assist in collating clinical indicators.</w:t>
      </w:r>
    </w:p>
    <w:p w14:paraId="4B6D06F6" w14:textId="77777777" w:rsidR="00023779" w:rsidRDefault="00023779" w:rsidP="00023779">
      <w:pPr>
        <w:pStyle w:val="NumberedList"/>
      </w:pPr>
      <w:r>
        <w:t>Arrange onward referral of patients for medical services not available locally, ensuring good communication with referring units and community practitioners.</w:t>
      </w:r>
    </w:p>
    <w:p w14:paraId="30B0DC84" w14:textId="77777777" w:rsidR="00023779" w:rsidRDefault="00023779" w:rsidP="00023779">
      <w:pPr>
        <w:pStyle w:val="NumberedList"/>
      </w:pPr>
      <w:r>
        <w:t>Liaise with specialist colleagues as necessary for the care of hospital patients.</w:t>
      </w:r>
    </w:p>
    <w:p w14:paraId="0C0882EE" w14:textId="77777777" w:rsidR="00023779" w:rsidRDefault="00023779" w:rsidP="00023779">
      <w:pPr>
        <w:pStyle w:val="NumberedList"/>
      </w:pPr>
      <w:r>
        <w:t>Provide a consultative service to other specialist units.</w:t>
      </w:r>
    </w:p>
    <w:p w14:paraId="3D93A92C" w14:textId="77777777" w:rsidR="00023779" w:rsidRDefault="00023779" w:rsidP="00023779">
      <w:pPr>
        <w:pStyle w:val="NumberedList"/>
      </w:pPr>
      <w:r>
        <w:t>Participate in and support the various undergraduate and postgraduate teaching programs for nursing and medical staff.</w:t>
      </w:r>
    </w:p>
    <w:p w14:paraId="64CDC61D" w14:textId="77777777" w:rsidR="00023779" w:rsidRDefault="00023779" w:rsidP="00023779">
      <w:pPr>
        <w:pStyle w:val="NumberedList"/>
      </w:pPr>
      <w:r>
        <w:t>Ensure active discharge planning.</w:t>
      </w:r>
    </w:p>
    <w:p w14:paraId="45362B2A" w14:textId="77777777" w:rsidR="00023779" w:rsidRDefault="00023779" w:rsidP="00023779">
      <w:pPr>
        <w:pStyle w:val="NumberedList"/>
      </w:pPr>
      <w:r>
        <w:lastRenderedPageBreak/>
        <w:t>Participate in hospital committees and administrative matters as required by the Executive Director of Services, Executive Director of Medical Services or Clinical Lead Gastroenterology.</w:t>
      </w:r>
    </w:p>
    <w:p w14:paraId="4A22C1EC" w14:textId="77777777" w:rsidR="00023779" w:rsidRDefault="00023779" w:rsidP="00023779">
      <w:pPr>
        <w:pStyle w:val="NumberedList"/>
      </w:pPr>
      <w:r>
        <w:t>Observe all hospital by laws and statutory regulations.</w:t>
      </w:r>
    </w:p>
    <w:p w14:paraId="32766881" w14:textId="77777777" w:rsidR="0013547B" w:rsidRPr="008743F7" w:rsidRDefault="00023779" w:rsidP="008743F7">
      <w:pPr>
        <w:pStyle w:val="NumberedList"/>
      </w:pPr>
      <w:r>
        <w:t>Travel across the North West region to provide services as required/rostered.</w:t>
      </w:r>
    </w:p>
    <w:p w14:paraId="0393FAAD" w14:textId="77777777" w:rsidR="0013547B" w:rsidRDefault="00672455" w:rsidP="00023779">
      <w:pPr>
        <w:pStyle w:val="NumberedList"/>
        <w:numPr>
          <w:ilvl w:val="0"/>
          <w:numId w:val="0"/>
        </w:numPr>
        <w:ind w:left="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F048235"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B041068" w14:textId="77777777" w:rsidR="00F85AAC" w:rsidRDefault="0013547B" w:rsidP="00E800BD">
      <w:pPr>
        <w:pStyle w:val="Heading4"/>
      </w:pPr>
      <w:r>
        <w:t>Scope of Work Performed</w:t>
      </w:r>
      <w:bookmarkStart w:id="2" w:name="bmScopeofWork"/>
      <w:bookmarkEnd w:id="2"/>
    </w:p>
    <w:p w14:paraId="75F647DC" w14:textId="77777777" w:rsidR="00023779" w:rsidRDefault="00023779" w:rsidP="00023779">
      <w:pPr>
        <w:pStyle w:val="ListBullet"/>
      </w:pPr>
      <w:r>
        <w:t>Responsible for the observation of all hospital bylaws and statutory regulations.</w:t>
      </w:r>
    </w:p>
    <w:p w14:paraId="042FBA36" w14:textId="77777777" w:rsidR="00023779" w:rsidRDefault="00023779" w:rsidP="00023779">
      <w:pPr>
        <w:pStyle w:val="ListBullet"/>
      </w:pPr>
      <w:r>
        <w:t>Required to operate independently with limited reporting, acting within clinical privileges as defined.</w:t>
      </w:r>
    </w:p>
    <w:p w14:paraId="360763B0" w14:textId="77777777" w:rsidR="00023779" w:rsidRDefault="00023779" w:rsidP="00023779">
      <w:pPr>
        <w:pStyle w:val="ListBullet"/>
      </w:pPr>
      <w:r>
        <w:t>Responsible for junior medical staff and medical students attached to the medical unit.</w:t>
      </w:r>
    </w:p>
    <w:p w14:paraId="54882802" w14:textId="77777777" w:rsidR="00023779" w:rsidRDefault="00023779" w:rsidP="00023779">
      <w:pPr>
        <w:pStyle w:val="ListBullet"/>
      </w:pPr>
      <w:r>
        <w:t>Responsible to the Clinical Lead Gastroenterology for clinical responsibilities, undergraduate teaching and research.</w:t>
      </w:r>
    </w:p>
    <w:p w14:paraId="0673C31A" w14:textId="77777777" w:rsidR="00023779" w:rsidRDefault="00023779" w:rsidP="00023779">
      <w:pPr>
        <w:pStyle w:val="ListBullet"/>
      </w:pPr>
      <w:r>
        <w:t>Comply at all times with THS policy and protocol requirements, in particular those relating to mandatory education, training and assessment.</w:t>
      </w:r>
    </w:p>
    <w:p w14:paraId="22105EEA" w14:textId="77777777" w:rsidR="0013547B" w:rsidRDefault="00831D3C" w:rsidP="00962468">
      <w:pPr>
        <w:pStyle w:val="Heading4"/>
        <w:spacing w:line="280" w:lineRule="atLeast"/>
      </w:pPr>
      <w:r>
        <w:t>Essential Requirements:</w:t>
      </w:r>
    </w:p>
    <w:p w14:paraId="6915FFC3" w14:textId="77777777" w:rsidR="00672455" w:rsidRPr="00A326D9" w:rsidRDefault="00672455" w:rsidP="00962468">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C01C3FE" w14:textId="77777777" w:rsidR="00023779" w:rsidRDefault="00023779" w:rsidP="00962468">
      <w:pPr>
        <w:pStyle w:val="BulletedListLevel1"/>
        <w:tabs>
          <w:tab w:val="clear" w:pos="567"/>
        </w:tabs>
        <w:spacing w:line="280" w:lineRule="atLeast"/>
      </w:pPr>
      <w:r>
        <w:t>Specialist or limited registration with the Medical Board of Australia in the relevant speciality.</w:t>
      </w:r>
    </w:p>
    <w:p w14:paraId="3AC8AD2F" w14:textId="77777777" w:rsidR="00023779" w:rsidRDefault="00023779" w:rsidP="00962468">
      <w:pPr>
        <w:pStyle w:val="BulletedListLevel1"/>
        <w:tabs>
          <w:tab w:val="clear" w:pos="567"/>
        </w:tabs>
        <w:spacing w:line="280" w:lineRule="atLeast"/>
      </w:pPr>
      <w:r>
        <w:t>Current Driver’s Licence</w:t>
      </w:r>
      <w:r w:rsidR="00656347">
        <w:t>.</w:t>
      </w:r>
    </w:p>
    <w:p w14:paraId="3FA8A99C" w14:textId="77777777" w:rsidR="0013547B" w:rsidRDefault="0013547B" w:rsidP="00962468">
      <w:pPr>
        <w:pStyle w:val="ListBullet"/>
        <w:spacing w:after="120" w:line="280" w:lineRule="atLeast"/>
        <w:rPr>
          <w:lang w:eastAsia="en-AU"/>
        </w:r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47F8EBA" w14:textId="77777777" w:rsidR="0013547B" w:rsidRDefault="00831D3C" w:rsidP="00962468">
      <w:pPr>
        <w:pStyle w:val="BulletedListLevel1"/>
        <w:numPr>
          <w:ilvl w:val="0"/>
          <w:numId w:val="32"/>
        </w:numPr>
        <w:spacing w:line="280" w:lineRule="atLeast"/>
      </w:pPr>
      <w:r>
        <w:t>Conviction checks in the following areas:</w:t>
      </w:r>
    </w:p>
    <w:p w14:paraId="6C93533A" w14:textId="77777777" w:rsidR="00831D3C" w:rsidRDefault="007D4E47" w:rsidP="00962468">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6AECDA38" w14:textId="77777777" w:rsidR="007D4E47" w:rsidRDefault="007D4E47" w:rsidP="00962468">
      <w:pPr>
        <w:pStyle w:val="BulletedListLevel1"/>
        <w:numPr>
          <w:ilvl w:val="1"/>
          <w:numId w:val="31"/>
        </w:numPr>
        <w:tabs>
          <w:tab w:val="clear" w:pos="720"/>
          <w:tab w:val="num" w:pos="1287"/>
          <w:tab w:val="num" w:pos="1701"/>
        </w:tabs>
        <w:spacing w:line="280" w:lineRule="atLeast"/>
        <w:ind w:left="1701" w:hanging="567"/>
      </w:pPr>
      <w:r>
        <w:t>sex related offences</w:t>
      </w:r>
    </w:p>
    <w:p w14:paraId="1B7C83D1" w14:textId="77777777" w:rsidR="007D4E47" w:rsidRDefault="007D4E47" w:rsidP="00962468">
      <w:pPr>
        <w:pStyle w:val="BulletedListLevel1"/>
        <w:numPr>
          <w:ilvl w:val="1"/>
          <w:numId w:val="31"/>
        </w:numPr>
        <w:tabs>
          <w:tab w:val="clear" w:pos="720"/>
          <w:tab w:val="num" w:pos="1287"/>
          <w:tab w:val="num" w:pos="1701"/>
        </w:tabs>
        <w:spacing w:line="280" w:lineRule="atLeast"/>
        <w:ind w:left="1701" w:hanging="567"/>
      </w:pPr>
      <w:r>
        <w:t>serious drug offences</w:t>
      </w:r>
    </w:p>
    <w:p w14:paraId="12D9AAF1" w14:textId="77777777" w:rsidR="007D4E47" w:rsidRDefault="007D4E47" w:rsidP="00962468">
      <w:pPr>
        <w:pStyle w:val="BulletedListLevel1"/>
        <w:numPr>
          <w:ilvl w:val="1"/>
          <w:numId w:val="31"/>
        </w:numPr>
        <w:tabs>
          <w:tab w:val="clear" w:pos="720"/>
          <w:tab w:val="num" w:pos="1287"/>
          <w:tab w:val="num" w:pos="1701"/>
        </w:tabs>
        <w:spacing w:line="280" w:lineRule="atLeast"/>
        <w:ind w:left="1701" w:hanging="567"/>
      </w:pPr>
      <w:r>
        <w:t>crimes involving dishonesty</w:t>
      </w:r>
    </w:p>
    <w:p w14:paraId="437F9400" w14:textId="77777777" w:rsidR="00656347" w:rsidRDefault="00656347" w:rsidP="002926D4">
      <w:pPr>
        <w:pStyle w:val="BulletedListLevel1"/>
        <w:numPr>
          <w:ilvl w:val="1"/>
          <w:numId w:val="31"/>
        </w:numPr>
        <w:tabs>
          <w:tab w:val="clear" w:pos="720"/>
          <w:tab w:val="num" w:pos="1287"/>
          <w:tab w:val="num" w:pos="1701"/>
        </w:tabs>
        <w:ind w:left="1701" w:hanging="567"/>
      </w:pPr>
      <w:r>
        <w:t>serious traffic offences</w:t>
      </w:r>
    </w:p>
    <w:p w14:paraId="105DA389" w14:textId="77777777" w:rsidR="007D4E47" w:rsidRDefault="007D4E47" w:rsidP="002926D4">
      <w:pPr>
        <w:pStyle w:val="BulletedListLevel1"/>
        <w:numPr>
          <w:ilvl w:val="0"/>
          <w:numId w:val="32"/>
        </w:numPr>
      </w:pPr>
      <w:r>
        <w:lastRenderedPageBreak/>
        <w:t>Identification check</w:t>
      </w:r>
    </w:p>
    <w:p w14:paraId="735788F2" w14:textId="77777777" w:rsidR="007D4E47" w:rsidRDefault="007D4E47" w:rsidP="002926D4">
      <w:pPr>
        <w:pStyle w:val="BulletedListLevel1"/>
        <w:numPr>
          <w:ilvl w:val="0"/>
          <w:numId w:val="32"/>
        </w:numPr>
      </w:pPr>
      <w:r>
        <w:t>Disciplinary action in previous employment check</w:t>
      </w:r>
      <w:r w:rsidR="004B0994">
        <w:t>.</w:t>
      </w:r>
    </w:p>
    <w:p w14:paraId="002DA561" w14:textId="77777777" w:rsidR="0013547B" w:rsidRDefault="0013547B" w:rsidP="008743F7">
      <w:pPr>
        <w:pStyle w:val="Heading4"/>
      </w:pPr>
      <w:r>
        <w:t>Selection Criteria:</w:t>
      </w:r>
    </w:p>
    <w:p w14:paraId="722E1848" w14:textId="77777777" w:rsidR="0013547B" w:rsidRDefault="00656347" w:rsidP="002926D4">
      <w:pPr>
        <w:pStyle w:val="NumberedList"/>
        <w:numPr>
          <w:ilvl w:val="0"/>
          <w:numId w:val="33"/>
        </w:numPr>
      </w:pPr>
      <w:r>
        <w:t>Sound knowledge of current specialty practice in Gastroenterology and Hepatology.</w:t>
      </w:r>
    </w:p>
    <w:p w14:paraId="6D667C23" w14:textId="77777777" w:rsidR="00656347" w:rsidRDefault="00656347" w:rsidP="00656347">
      <w:pPr>
        <w:pStyle w:val="NumberedList"/>
        <w:numPr>
          <w:ilvl w:val="0"/>
          <w:numId w:val="33"/>
        </w:numPr>
      </w:pPr>
      <w:r>
        <w:t>Demonstrated ability to provide speciality services as defined by allocated clinical privileges.</w:t>
      </w:r>
    </w:p>
    <w:p w14:paraId="0FB54E38" w14:textId="77777777" w:rsidR="00656347" w:rsidRDefault="00656347" w:rsidP="00656347">
      <w:pPr>
        <w:pStyle w:val="NumberedList"/>
        <w:numPr>
          <w:ilvl w:val="0"/>
          <w:numId w:val="33"/>
        </w:numPr>
      </w:pPr>
      <w:r>
        <w:t>Recent experience in an acute hospital setting.</w:t>
      </w:r>
    </w:p>
    <w:p w14:paraId="3986656E" w14:textId="77777777" w:rsidR="00656347" w:rsidRDefault="00656347" w:rsidP="00656347">
      <w:pPr>
        <w:pStyle w:val="NumberedList"/>
        <w:numPr>
          <w:ilvl w:val="0"/>
          <w:numId w:val="33"/>
        </w:numPr>
      </w:pPr>
      <w:r>
        <w:t>Demonstrated ability to work with a multidisciplinary team of medical, nursing and allied health staff.</w:t>
      </w:r>
    </w:p>
    <w:p w14:paraId="73EDF171" w14:textId="77777777" w:rsidR="00656347" w:rsidRDefault="00656347" w:rsidP="00656347">
      <w:pPr>
        <w:pStyle w:val="NumberedList"/>
        <w:numPr>
          <w:ilvl w:val="0"/>
          <w:numId w:val="33"/>
        </w:numPr>
      </w:pPr>
      <w:r>
        <w:t>Demonstrated effective communication skills in dealing with patients, their relatives and professional colleagues.</w:t>
      </w:r>
    </w:p>
    <w:p w14:paraId="0A547D02" w14:textId="77777777" w:rsidR="00656347" w:rsidRDefault="00656347" w:rsidP="00656347">
      <w:pPr>
        <w:pStyle w:val="NumberedList"/>
        <w:numPr>
          <w:ilvl w:val="0"/>
          <w:numId w:val="33"/>
        </w:numPr>
      </w:pPr>
      <w:r>
        <w:t>Knowledge of continuous quality improvement activities relevant to practice within the clinical discipline.</w:t>
      </w:r>
    </w:p>
    <w:p w14:paraId="664C5A11" w14:textId="77777777" w:rsidR="00656347" w:rsidRDefault="00656347" w:rsidP="00656347">
      <w:pPr>
        <w:pStyle w:val="NumberedList"/>
        <w:numPr>
          <w:ilvl w:val="0"/>
          <w:numId w:val="33"/>
        </w:numPr>
      </w:pPr>
      <w:r>
        <w:t>Evidence of ongoing participation and commitment to continuing medical education.</w:t>
      </w:r>
    </w:p>
    <w:p w14:paraId="1A281BB0" w14:textId="77777777" w:rsidR="0013547B" w:rsidRDefault="0013547B" w:rsidP="008743F7">
      <w:pPr>
        <w:pStyle w:val="Heading4"/>
      </w:pPr>
      <w:r>
        <w:t>Working Environment:</w:t>
      </w:r>
    </w:p>
    <w:p w14:paraId="0FBAFCCB" w14:textId="77777777"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1380A0A9"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8A02D9D"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4402BF0B"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867EF20" w14:textId="77777777"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64D6835"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2A37AF7"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34B13B09"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E3291ED" w14:textId="77777777" w:rsidR="005E71A7" w:rsidRPr="004B0994" w:rsidRDefault="005E71A7" w:rsidP="007C5DB4">
      <w:pPr>
        <w:rPr>
          <w:bCs/>
          <w:lang w:val="en-US"/>
        </w:rPr>
      </w:pPr>
    </w:p>
    <w:sectPr w:rsidR="005E71A7" w:rsidRPr="004B0994" w:rsidSect="00962468">
      <w:headerReference w:type="default" r:id="rId11"/>
      <w:footerReference w:type="default" r:id="rId12"/>
      <w:footerReference w:type="first" r:id="rId13"/>
      <w:pgSz w:w="11907" w:h="16840" w:code="9"/>
      <w:pgMar w:top="907" w:right="1134" w:bottom="1134" w:left="1418"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F252" w14:textId="77777777" w:rsidR="00B712AA" w:rsidRDefault="00B712AA">
      <w:r>
        <w:separator/>
      </w:r>
    </w:p>
  </w:endnote>
  <w:endnote w:type="continuationSeparator" w:id="0">
    <w:p w14:paraId="0A2D437A" w14:textId="77777777" w:rsidR="00B712AA" w:rsidRDefault="00B7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ACB8" w14:textId="77777777" w:rsidR="00F85AAC" w:rsidRDefault="00F85AAC">
    <w:pPr>
      <w:pStyle w:val="Footer"/>
    </w:pPr>
    <w:r>
      <w:t xml:space="preserve">Page </w:t>
    </w:r>
    <w:r>
      <w:fldChar w:fldCharType="begin"/>
    </w:r>
    <w:r>
      <w:instrText xml:space="preserve"> PAGE </w:instrText>
    </w:r>
    <w:r>
      <w:fldChar w:fldCharType="separate"/>
    </w:r>
    <w:r w:rsidR="00E13F99">
      <w:rPr>
        <w:noProof/>
      </w:rPr>
      <w:t>1</w:t>
    </w:r>
    <w:r>
      <w:rPr>
        <w:noProof/>
      </w:rPr>
      <w:fldChar w:fldCharType="end"/>
    </w:r>
    <w:r>
      <w:t xml:space="preserve"> of </w:t>
    </w:r>
    <w:fldSimple w:instr=" NUMPAGES ">
      <w:r w:rsidR="00E13F99">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66F6"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1B75" w14:textId="77777777" w:rsidR="00B712AA" w:rsidRDefault="00B712AA">
      <w:r>
        <w:separator/>
      </w:r>
    </w:p>
  </w:footnote>
  <w:footnote w:type="continuationSeparator" w:id="0">
    <w:p w14:paraId="4C58CEA4" w14:textId="77777777" w:rsidR="00B712AA" w:rsidRDefault="00B7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619F" w14:textId="77777777"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D00AC"/>
    <w:multiLevelType w:val="multilevel"/>
    <w:tmpl w:val="D8BAEC2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5"/>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12640"/>
    <w:rsid w:val="00020DB7"/>
    <w:rsid w:val="00023779"/>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3A0E"/>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56347"/>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66D84"/>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2468"/>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12AA"/>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B43BE"/>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1CB1"/>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3F99"/>
    <w:rsid w:val="00E14331"/>
    <w:rsid w:val="00E223E1"/>
    <w:rsid w:val="00E42685"/>
    <w:rsid w:val="00E55651"/>
    <w:rsid w:val="00E56B0B"/>
    <w:rsid w:val="00E70680"/>
    <w:rsid w:val="00E706B2"/>
    <w:rsid w:val="00E7607F"/>
    <w:rsid w:val="00E800BD"/>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2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33FE-E7E1-4ABB-9F46-F5EF5B37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7E02B5FF.dotm</Template>
  <TotalTime>0</TotalTime>
  <Pages>4</Pages>
  <Words>1277</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9115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djharris</cp:lastModifiedBy>
  <cp:revision>2</cp:revision>
  <cp:lastPrinted>2019-11-04T23:30:00Z</cp:lastPrinted>
  <dcterms:created xsi:type="dcterms:W3CDTF">2019-12-12T23:41:00Z</dcterms:created>
  <dcterms:modified xsi:type="dcterms:W3CDTF">2019-12-12T23:41:00Z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