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9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988"/>
        <w:gridCol w:w="7543"/>
      </w:tblGrid>
      <w:tr w:rsidR="00D572CA" w14:paraId="4E22F1C5" w14:textId="77777777" w:rsidTr="00F66B8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17A5BDE" w14:textId="20CFF9F0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43888064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DA1ED28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813EDA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6F8FE1A6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proofErr w:type="gramStart"/>
            <w:r w:rsidRPr="00A40F48">
              <w:rPr>
                <w:sz w:val="22"/>
                <w:szCs w:val="22"/>
              </w:rPr>
              <w:t>We’ve</w:t>
            </w:r>
            <w:proofErr w:type="gramEnd"/>
            <w:r w:rsidRPr="00A40F48">
              <w:rPr>
                <w:sz w:val="22"/>
                <w:szCs w:val="22"/>
              </w:rPr>
              <w:t xml:space="preserve">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7DD084ED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626CAC9D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6B265C0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4F66664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5BC2FCE4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227382B9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7E26F18D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370DAB5B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46A3B2F6" w14:textId="77777777" w:rsidTr="00AE0032">
        <w:tc>
          <w:tcPr>
            <w:tcW w:w="1043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46AC3AE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EE1C732" w14:textId="3DE516DD" w:rsidR="00C732BC" w:rsidRPr="00B76B2D" w:rsidRDefault="005E38C5" w:rsidP="007E2C7A">
            <w:pPr>
              <w:ind w:left="720" w:hanging="720"/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14:paraId="288335BA" w14:textId="77777777" w:rsidTr="00A5237F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6B795372" w14:textId="343C6B85" w:rsidR="00A5237F" w:rsidRPr="00A5237F" w:rsidRDefault="00A5237F" w:rsidP="00A5237F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A5237F" w14:paraId="4F792783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595A80F5" w14:textId="3F26443B" w:rsidR="00A5237F" w:rsidRDefault="00A5237F" w:rsidP="0073294F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  <w:r w:rsidR="00562305">
              <w:rPr>
                <w:sz w:val="22"/>
              </w:rPr>
              <w:t xml:space="preserve"> 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0120C94" w14:textId="03DB693E" w:rsidR="00A5237F" w:rsidRPr="00BC36E4" w:rsidRDefault="00AA5022" w:rsidP="0073294F">
            <w:pPr>
              <w:ind w:left="720" w:hanging="720"/>
              <w:rPr>
                <w:b/>
                <w:sz w:val="22"/>
                <w:highlight w:val="yellow"/>
              </w:rPr>
            </w:pPr>
            <w:r w:rsidRPr="00B34D3E">
              <w:rPr>
                <w:b/>
                <w:sz w:val="22"/>
              </w:rPr>
              <w:t xml:space="preserve">Tender and Submission Officer </w:t>
            </w:r>
          </w:p>
        </w:tc>
      </w:tr>
      <w:tr w:rsidR="003E4A53" w14:paraId="1209E20D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FB09DDA" w14:textId="16528B86" w:rsidR="003E4A53" w:rsidRDefault="008655D2" w:rsidP="0073294F">
            <w:pPr>
              <w:rPr>
                <w:sz w:val="22"/>
              </w:rPr>
            </w:pPr>
            <w:r>
              <w:rPr>
                <w:sz w:val="22"/>
              </w:rPr>
              <w:t>Division: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5A47ADB" w14:textId="15D42BE4" w:rsidR="003E4A53" w:rsidRDefault="00D707A3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Practice, </w:t>
            </w:r>
            <w:proofErr w:type="gramStart"/>
            <w:r>
              <w:rPr>
                <w:sz w:val="22"/>
              </w:rPr>
              <w:t>Evidence</w:t>
            </w:r>
            <w:proofErr w:type="gramEnd"/>
            <w:r>
              <w:rPr>
                <w:sz w:val="22"/>
              </w:rPr>
              <w:t xml:space="preserve"> and Impact</w:t>
            </w:r>
            <w:r w:rsidR="008655D2">
              <w:rPr>
                <w:sz w:val="22"/>
              </w:rPr>
              <w:t xml:space="preserve"> </w:t>
            </w:r>
          </w:p>
        </w:tc>
      </w:tr>
      <w:tr w:rsidR="00AE0032" w14:paraId="4473B1CD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1FE7226" w14:textId="56DD7C5B" w:rsidR="00AE0032" w:rsidRDefault="009929B5" w:rsidP="00FD67F5">
            <w:pPr>
              <w:rPr>
                <w:sz w:val="22"/>
              </w:rPr>
            </w:pPr>
            <w:r w:rsidRPr="009929B5">
              <w:rPr>
                <w:sz w:val="22"/>
              </w:rPr>
              <w:t>Classification:</w:t>
            </w:r>
            <w:r w:rsidR="00AE0032">
              <w:rPr>
                <w:sz w:val="22"/>
              </w:rPr>
              <w:t xml:space="preserve">                        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96DCD8F" w14:textId="6AFEBC6C" w:rsidR="00AE0032" w:rsidRDefault="005A487F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Business Development Manager</w:t>
            </w:r>
            <w:r w:rsidR="00586A63">
              <w:rPr>
                <w:sz w:val="22"/>
              </w:rPr>
              <w:t xml:space="preserve"> </w:t>
            </w:r>
          </w:p>
        </w:tc>
      </w:tr>
      <w:tr w:rsidR="0073294F" w14:paraId="45810C50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75523E0" w14:textId="3B923C69" w:rsidR="0073294F" w:rsidRDefault="008655D2" w:rsidP="00FD67F5">
            <w:pPr>
              <w:rPr>
                <w:sz w:val="22"/>
              </w:rPr>
            </w:pPr>
            <w:r>
              <w:rPr>
                <w:sz w:val="22"/>
              </w:rPr>
              <w:t>Level: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4E0E22" w14:textId="07A48061" w:rsidR="0073294F" w:rsidRDefault="008655D2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Level 1</w:t>
            </w:r>
            <w:r w:rsidR="00D707A3">
              <w:rPr>
                <w:sz w:val="22"/>
              </w:rPr>
              <w:t xml:space="preserve"> </w:t>
            </w:r>
          </w:p>
        </w:tc>
      </w:tr>
      <w:tr w:rsidR="00281C4B" w14:paraId="6E6CA2E8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09C865B" w14:textId="28136F45" w:rsidR="00281C4B" w:rsidRPr="000045FD" w:rsidRDefault="00281C4B" w:rsidP="00FD67F5">
            <w:pPr>
              <w:rPr>
                <w:sz w:val="22"/>
              </w:rPr>
            </w:pPr>
            <w:r w:rsidRPr="000045FD">
              <w:rPr>
                <w:sz w:val="22"/>
              </w:rPr>
              <w:t>Commencement: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FDAF818" w14:textId="3315FA72" w:rsidR="00281C4B" w:rsidRPr="000045FD" w:rsidRDefault="00281C4B" w:rsidP="0073294F">
            <w:pPr>
              <w:ind w:left="720" w:hanging="720"/>
              <w:rPr>
                <w:sz w:val="22"/>
              </w:rPr>
            </w:pPr>
            <w:r w:rsidRPr="000045FD">
              <w:rPr>
                <w:sz w:val="22"/>
              </w:rPr>
              <w:t>September 2021</w:t>
            </w:r>
          </w:p>
        </w:tc>
      </w:tr>
      <w:tr w:rsidR="00EF6399" w14:paraId="256CF6E5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AD76964" w14:textId="33F3269A" w:rsidR="00EF6399" w:rsidRPr="000045FD" w:rsidRDefault="00EF6399" w:rsidP="00FD67F5">
            <w:pPr>
              <w:rPr>
                <w:sz w:val="22"/>
              </w:rPr>
            </w:pPr>
            <w:r w:rsidRPr="000045FD">
              <w:rPr>
                <w:sz w:val="22"/>
              </w:rPr>
              <w:t>Hours: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6CC2165" w14:textId="491DA162" w:rsidR="00EF6399" w:rsidRPr="000045FD" w:rsidRDefault="00EF6399" w:rsidP="0073294F">
            <w:pPr>
              <w:ind w:left="720" w:hanging="720"/>
              <w:rPr>
                <w:sz w:val="22"/>
              </w:rPr>
            </w:pPr>
            <w:r w:rsidRPr="000045FD">
              <w:rPr>
                <w:sz w:val="22"/>
              </w:rPr>
              <w:t xml:space="preserve">16 hours per week over four weekdays: </w:t>
            </w:r>
            <w:r w:rsidR="000045FD">
              <w:rPr>
                <w:sz w:val="22"/>
              </w:rPr>
              <w:t xml:space="preserve"> (Part-time)</w:t>
            </w:r>
          </w:p>
          <w:p w14:paraId="74F2E5F6" w14:textId="1F6BFC18" w:rsidR="00EF6399" w:rsidRPr="000045FD" w:rsidRDefault="00EF6399" w:rsidP="0073294F">
            <w:pPr>
              <w:ind w:left="720" w:hanging="720"/>
              <w:rPr>
                <w:sz w:val="22"/>
              </w:rPr>
            </w:pPr>
            <w:r w:rsidRPr="000045FD">
              <w:rPr>
                <w:sz w:val="22"/>
              </w:rPr>
              <w:t>Monday – Thursday 9.00a – 1.00p /OR/ 1.00p – 5.00p</w:t>
            </w:r>
          </w:p>
        </w:tc>
      </w:tr>
      <w:tr w:rsidR="00EF6399" w14:paraId="0917F140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23268DB" w14:textId="5662EF33" w:rsidR="00EF6399" w:rsidRPr="000045FD" w:rsidRDefault="00EF6399" w:rsidP="00FD67F5">
            <w:pPr>
              <w:rPr>
                <w:sz w:val="22"/>
              </w:rPr>
            </w:pPr>
            <w:r w:rsidRPr="000045FD">
              <w:rPr>
                <w:sz w:val="22"/>
              </w:rPr>
              <w:t xml:space="preserve">Location: 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2ED6A69" w14:textId="0987B0AB" w:rsidR="00EF6399" w:rsidRPr="000045FD" w:rsidRDefault="00EF6399" w:rsidP="0073294F">
            <w:pPr>
              <w:ind w:left="720" w:hanging="720"/>
              <w:rPr>
                <w:sz w:val="22"/>
              </w:rPr>
            </w:pPr>
            <w:r w:rsidRPr="000045FD">
              <w:rPr>
                <w:sz w:val="22"/>
              </w:rPr>
              <w:t>Hybrid: Work from home and/or office location anywhere in Australia</w:t>
            </w:r>
          </w:p>
        </w:tc>
      </w:tr>
      <w:tr w:rsidR="00EA020C" w14:paraId="41E0E7B6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2C22A5D" w14:textId="63B95CE5" w:rsidR="00EA020C" w:rsidRDefault="00F738FC" w:rsidP="00222952">
            <w:pPr>
              <w:rPr>
                <w:sz w:val="22"/>
              </w:rPr>
            </w:pPr>
            <w:r>
              <w:rPr>
                <w:sz w:val="22"/>
              </w:rPr>
              <w:t>Program: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DDFE855" w14:textId="1F03DA82" w:rsidR="00EA020C" w:rsidRDefault="00AA5022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Business Development</w:t>
            </w:r>
            <w:r w:rsidR="00B56091">
              <w:rPr>
                <w:sz w:val="22"/>
              </w:rPr>
              <w:t xml:space="preserve">   </w:t>
            </w:r>
          </w:p>
        </w:tc>
      </w:tr>
      <w:tr w:rsidR="00C805F7" w14:paraId="29B29707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56F4D72" w14:textId="77777777" w:rsidR="00C805F7" w:rsidRPr="00B76B2D" w:rsidRDefault="00E5049B" w:rsidP="00222952">
            <w:pPr>
              <w:rPr>
                <w:sz w:val="22"/>
              </w:rPr>
            </w:pPr>
            <w:r>
              <w:rPr>
                <w:sz w:val="22"/>
              </w:rPr>
              <w:t>Report</w:t>
            </w:r>
            <w:r w:rsidR="009537C6">
              <w:rPr>
                <w:sz w:val="22"/>
              </w:rPr>
              <w:t>s</w:t>
            </w:r>
            <w:r>
              <w:rPr>
                <w:sz w:val="22"/>
              </w:rPr>
              <w:t xml:space="preserve"> t</w:t>
            </w:r>
            <w:r w:rsidR="00C805F7">
              <w:rPr>
                <w:sz w:val="22"/>
              </w:rPr>
              <w:t>o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9FAE866" w14:textId="1102D833" w:rsidR="00C805F7" w:rsidRPr="00B76B2D" w:rsidRDefault="00AA5022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General Manager, Business Development </w:t>
            </w:r>
          </w:p>
        </w:tc>
      </w:tr>
      <w:tr w:rsidR="00C805F7" w14:paraId="68D0A3A8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358B8B1" w14:textId="77777777" w:rsidR="00C805F7" w:rsidRPr="00B76B2D" w:rsidRDefault="00C805F7" w:rsidP="00222952">
            <w:pPr>
              <w:rPr>
                <w:sz w:val="22"/>
              </w:rPr>
            </w:pPr>
            <w:r>
              <w:rPr>
                <w:sz w:val="22"/>
              </w:rPr>
              <w:t>Position Purpose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8698D5A" w14:textId="71E26E1D" w:rsidR="00A5703A" w:rsidRDefault="00C13C68" w:rsidP="006E0009">
            <w:pPr>
              <w:rPr>
                <w:sz w:val="22"/>
              </w:rPr>
            </w:pPr>
            <w:r>
              <w:rPr>
                <w:sz w:val="22"/>
              </w:rPr>
              <w:t xml:space="preserve">To work as part of a team to identify national and local opportunities </w:t>
            </w:r>
            <w:r w:rsidR="00A5703A">
              <w:rPr>
                <w:sz w:val="22"/>
              </w:rPr>
              <w:t>for impact growth.</w:t>
            </w:r>
          </w:p>
          <w:p w14:paraId="4DC9FF44" w14:textId="2B13E91D" w:rsidR="00A24057" w:rsidRDefault="00A5703A" w:rsidP="006E0009">
            <w:pPr>
              <w:rPr>
                <w:sz w:val="22"/>
              </w:rPr>
            </w:pPr>
            <w:r>
              <w:rPr>
                <w:sz w:val="22"/>
              </w:rPr>
              <w:t>To liaise tender sponsors, enable internal and external stakeholders, coordinate subject matter experts, conduct research, project-manage inputs, manage reviews</w:t>
            </w:r>
            <w:r w:rsidR="000342E1">
              <w:rPr>
                <w:sz w:val="22"/>
              </w:rPr>
              <w:t xml:space="preserve"> (bronze, </w:t>
            </w:r>
            <w:proofErr w:type="gramStart"/>
            <w:r w:rsidR="000342E1">
              <w:rPr>
                <w:sz w:val="22"/>
              </w:rPr>
              <w:t>silver</w:t>
            </w:r>
            <w:proofErr w:type="gramEnd"/>
            <w:r w:rsidR="000342E1">
              <w:rPr>
                <w:sz w:val="22"/>
              </w:rPr>
              <w:t xml:space="preserve"> and gold)</w:t>
            </w:r>
            <w:r w:rsidR="00A24057">
              <w:rPr>
                <w:sz w:val="22"/>
              </w:rPr>
              <w:t>, facilitate interactions with finance, write tenders, grants and proposals and submit all content on deadline for Mission Australia.</w:t>
            </w:r>
          </w:p>
          <w:p w14:paraId="35E2CACA" w14:textId="588A6546" w:rsidR="00A24057" w:rsidRDefault="00A24057" w:rsidP="006E0009">
            <w:pPr>
              <w:rPr>
                <w:sz w:val="22"/>
              </w:rPr>
            </w:pPr>
          </w:p>
          <w:p w14:paraId="505C099E" w14:textId="75E9CE68" w:rsidR="00A24057" w:rsidRDefault="00A24057" w:rsidP="006E0009">
            <w:pPr>
              <w:rPr>
                <w:sz w:val="22"/>
              </w:rPr>
            </w:pPr>
          </w:p>
          <w:p w14:paraId="25A06E15" w14:textId="16ABF0AD" w:rsidR="00A24057" w:rsidRDefault="00A24057" w:rsidP="006E0009">
            <w:pPr>
              <w:rPr>
                <w:sz w:val="22"/>
              </w:rPr>
            </w:pPr>
          </w:p>
          <w:p w14:paraId="5D3CD68A" w14:textId="01FF6718" w:rsidR="00A24057" w:rsidRDefault="00A24057" w:rsidP="006E0009">
            <w:pPr>
              <w:rPr>
                <w:sz w:val="22"/>
              </w:rPr>
            </w:pPr>
          </w:p>
          <w:p w14:paraId="3E22B9F8" w14:textId="5545260D" w:rsidR="00A24057" w:rsidRDefault="00A24057" w:rsidP="006E0009">
            <w:pPr>
              <w:rPr>
                <w:sz w:val="22"/>
              </w:rPr>
            </w:pPr>
          </w:p>
          <w:p w14:paraId="58D1B217" w14:textId="7FA9EF5F" w:rsidR="00A24057" w:rsidRDefault="00A24057" w:rsidP="006E0009">
            <w:pPr>
              <w:rPr>
                <w:sz w:val="22"/>
              </w:rPr>
            </w:pPr>
          </w:p>
          <w:p w14:paraId="3551199B" w14:textId="03502029" w:rsidR="00A24057" w:rsidRDefault="00A24057" w:rsidP="006E0009">
            <w:pPr>
              <w:rPr>
                <w:sz w:val="22"/>
              </w:rPr>
            </w:pPr>
          </w:p>
          <w:p w14:paraId="33EE77FF" w14:textId="77777777" w:rsidR="00A24057" w:rsidRDefault="00A24057" w:rsidP="006E0009">
            <w:pPr>
              <w:rPr>
                <w:sz w:val="22"/>
              </w:rPr>
            </w:pPr>
          </w:p>
          <w:p w14:paraId="0A14220E" w14:textId="77777777" w:rsidR="00155C6F" w:rsidRDefault="00155C6F" w:rsidP="006E0009">
            <w:pPr>
              <w:rPr>
                <w:sz w:val="22"/>
              </w:rPr>
            </w:pPr>
          </w:p>
          <w:p w14:paraId="5DF706E7" w14:textId="2A2430F9" w:rsidR="00C805F7" w:rsidRPr="00B76B2D" w:rsidRDefault="00C805F7" w:rsidP="006E0009">
            <w:pPr>
              <w:rPr>
                <w:sz w:val="22"/>
              </w:rPr>
            </w:pPr>
          </w:p>
        </w:tc>
      </w:tr>
      <w:tr w:rsidR="00C805F7" w14:paraId="3E4D42B6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272358C5" w14:textId="77777777" w:rsidR="00C805F7" w:rsidRPr="00B76B2D" w:rsidRDefault="00C805F7" w:rsidP="00155C6F">
            <w:pPr>
              <w:ind w:left="-71" w:firstLine="71"/>
              <w:rPr>
                <w:sz w:val="22"/>
              </w:rPr>
            </w:pP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2115742" w14:textId="77777777" w:rsidR="00C805F7" w:rsidRPr="00B76B2D" w:rsidRDefault="00C805F7" w:rsidP="002E59FA">
            <w:pPr>
              <w:rPr>
                <w:sz w:val="22"/>
              </w:rPr>
            </w:pPr>
          </w:p>
        </w:tc>
      </w:tr>
    </w:tbl>
    <w:p w14:paraId="350521C0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A3D23D7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14:paraId="137DBA7A" w14:textId="77777777" w:rsidTr="00A5237F">
              <w:tc>
                <w:tcPr>
                  <w:tcW w:w="4597" w:type="dxa"/>
                  <w:shd w:val="clear" w:color="auto" w:fill="auto"/>
                </w:tcPr>
                <w:p w14:paraId="20EC903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E65D3DE" w14:textId="3948CD5A" w:rsidR="00422424" w:rsidRPr="00664708" w:rsidRDefault="00A24057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 xml:space="preserve">Tender, </w:t>
                  </w:r>
                  <w:proofErr w:type="gramStart"/>
                  <w:r>
                    <w:rPr>
                      <w:b/>
                      <w:color w:val="522F8C"/>
                    </w:rPr>
                    <w:t>Grant</w:t>
                  </w:r>
                  <w:proofErr w:type="gramEnd"/>
                  <w:r>
                    <w:rPr>
                      <w:b/>
                      <w:color w:val="522F8C"/>
                    </w:rPr>
                    <w:t xml:space="preserve"> and Proposal Writing</w:t>
                  </w:r>
                </w:p>
              </w:tc>
            </w:tr>
            <w:tr w:rsidR="00422424" w14:paraId="3720B13C" w14:textId="77777777" w:rsidTr="00A5237F">
              <w:tc>
                <w:tcPr>
                  <w:tcW w:w="4597" w:type="dxa"/>
                  <w:shd w:val="clear" w:color="auto" w:fill="auto"/>
                </w:tcPr>
                <w:p w14:paraId="596791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3617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22424" w14:paraId="13B1F36F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34AE0EF9" w14:textId="4509D6FA" w:rsidR="003E4A53" w:rsidRDefault="00A24057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Read tender requirements and details</w:t>
                  </w:r>
                  <w:r w:rsidR="009124CE">
                    <w:t>.</w:t>
                  </w:r>
                </w:p>
                <w:p w14:paraId="25890AB1" w14:textId="6771495E" w:rsidR="009124CE" w:rsidRDefault="009124CE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Understand Funder objectives and drivers.</w:t>
                  </w:r>
                </w:p>
                <w:p w14:paraId="00188DA5" w14:textId="0ED3E9A0" w:rsidR="009124CE" w:rsidRDefault="009124CE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Facilitate interactions with </w:t>
                  </w:r>
                  <w:r w:rsidR="00EF6399">
                    <w:t xml:space="preserve">community services and </w:t>
                  </w:r>
                  <w:r>
                    <w:t>finance.</w:t>
                  </w:r>
                </w:p>
                <w:p w14:paraId="6B2989A3" w14:textId="38B199ED" w:rsidR="009124CE" w:rsidRDefault="009124CE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Write tenders, grants and/or proposals to a high standard addressing Funder objectives and following MA format and style guide.</w:t>
                  </w:r>
                </w:p>
                <w:p w14:paraId="7E5F00EB" w14:textId="1AB73FA0" w:rsidR="00172B4F" w:rsidRDefault="00172B4F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Maintain systems, processes, spreadsheets, </w:t>
                  </w:r>
                  <w:proofErr w:type="gramStart"/>
                  <w:r>
                    <w:t>databases</w:t>
                  </w:r>
                  <w:proofErr w:type="gramEnd"/>
                  <w:r>
                    <w:t xml:space="preserve"> and workspaces.</w:t>
                  </w:r>
                </w:p>
                <w:p w14:paraId="48D518B4" w14:textId="77777777" w:rsidR="0029666D" w:rsidRDefault="00172B4F" w:rsidP="00172B4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Familiar with use of Microsoft Word, Excel, </w:t>
                  </w:r>
                  <w:proofErr w:type="spellStart"/>
                  <w:r>
                    <w:t>Powerpoint</w:t>
                  </w:r>
                  <w:proofErr w:type="spellEnd"/>
                  <w:r>
                    <w:t xml:space="preserve">, Teams, </w:t>
                  </w:r>
                  <w:proofErr w:type="spellStart"/>
                  <w:r>
                    <w:t>Sharepoint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PowerBI</w:t>
                  </w:r>
                  <w:proofErr w:type="spellEnd"/>
                  <w:r w:rsidR="0029666D">
                    <w:t>.</w:t>
                  </w:r>
                </w:p>
                <w:p w14:paraId="698F6AFC" w14:textId="06CC665D" w:rsidR="0029666D" w:rsidRDefault="0029666D" w:rsidP="00172B4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Coordinate and drive mandatory peer and service delivery review</w:t>
                  </w:r>
                  <w:r w:rsidR="00EF6399">
                    <w:t>s</w:t>
                  </w:r>
                  <w:r>
                    <w:t xml:space="preserve"> (prior to submission on deadline.</w:t>
                  </w:r>
                </w:p>
                <w:p w14:paraId="23835321" w14:textId="0E9D57F2" w:rsidR="003E4A53" w:rsidRPr="00172B4F" w:rsidRDefault="0029666D" w:rsidP="00EF6399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Ensure all tenders adhere to the decisions made at the Opportunity Assessment Meeting.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9C80312" w14:textId="7087D17E" w:rsidR="003E4A53" w:rsidRDefault="00172B4F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Tenders are written in a technically proficient manner and submitted on time.</w:t>
                  </w:r>
                </w:p>
                <w:p w14:paraId="257CD3FF" w14:textId="1955CE52" w:rsidR="00172B4F" w:rsidRDefault="00172B4F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Tenders align to funder objectives and succinctly promote Mission Australia capabilities and capacity to respond to the opportunity.</w:t>
                  </w:r>
                </w:p>
                <w:p w14:paraId="0BD8DE22" w14:textId="5825C096" w:rsidR="00172B4F" w:rsidRDefault="00172B4F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Tenders and feedback are recorded </w:t>
                  </w:r>
                  <w:r w:rsidR="00EF6399">
                    <w:t>accurately,</w:t>
                  </w:r>
                  <w:r w:rsidR="0029666D">
                    <w:t xml:space="preserve"> </w:t>
                  </w:r>
                  <w:r>
                    <w:t>and all details are included in all databases and registers in a timely manner.</w:t>
                  </w:r>
                </w:p>
                <w:p w14:paraId="5F31AD35" w14:textId="37DEA0DC" w:rsidR="0029666D" w:rsidRDefault="00456A6D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Reviewers are coordinated in a friendly manner and within desired timeframes enabling thorough review.</w:t>
                  </w:r>
                </w:p>
                <w:p w14:paraId="72CDE77E" w14:textId="2396D348" w:rsidR="00456A6D" w:rsidRDefault="00456A6D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proofErr w:type="gramStart"/>
                  <w:r>
                    <w:t>Tenders</w:t>
                  </w:r>
                  <w:proofErr w:type="gramEnd"/>
                  <w:r>
                    <w:t xml:space="preserve"> contents falls within parameters set at the Opportunity Assessment Meeting and all risks mitigated.</w:t>
                  </w:r>
                </w:p>
                <w:p w14:paraId="6C34339E" w14:textId="1FEBC36D" w:rsidR="00456A6D" w:rsidRPr="00C12934" w:rsidRDefault="00456A6D" w:rsidP="003E4A5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The finance team is coordinated in a friendly manner and budgets are completed within desired timeframes enabling thorough review.</w:t>
                  </w:r>
                </w:p>
                <w:p w14:paraId="4EFE7A98" w14:textId="103AAB7B" w:rsidR="00422424" w:rsidRPr="00A5237F" w:rsidRDefault="00422424" w:rsidP="00172B4F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29"/>
                  </w:pPr>
                </w:p>
              </w:tc>
            </w:tr>
            <w:tr w:rsidR="00422424" w14:paraId="586543E8" w14:textId="77777777" w:rsidTr="00A5237F">
              <w:tc>
                <w:tcPr>
                  <w:tcW w:w="4597" w:type="dxa"/>
                  <w:shd w:val="clear" w:color="auto" w:fill="auto"/>
                </w:tcPr>
                <w:p w14:paraId="2CD4B77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78F881A" w14:textId="0FDF2082" w:rsidR="00422424" w:rsidRPr="00664708" w:rsidRDefault="00456A6D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Project Management</w:t>
                  </w:r>
                </w:p>
              </w:tc>
            </w:tr>
            <w:tr w:rsidR="00155C6F" w14:paraId="072C5100" w14:textId="77777777" w:rsidTr="00A5237F">
              <w:tc>
                <w:tcPr>
                  <w:tcW w:w="4597" w:type="dxa"/>
                  <w:shd w:val="clear" w:color="auto" w:fill="auto"/>
                </w:tcPr>
                <w:p w14:paraId="05B42DA2" w14:textId="56AEBF6B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C475247" w14:textId="08F24B55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16238C1B" w14:textId="77777777" w:rsidTr="00A5237F">
              <w:tc>
                <w:tcPr>
                  <w:tcW w:w="4597" w:type="dxa"/>
                  <w:shd w:val="clear" w:color="auto" w:fill="auto"/>
                </w:tcPr>
                <w:p w14:paraId="67B390F6" w14:textId="2CA8878C" w:rsidR="00155C6F" w:rsidRDefault="00456A6D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Create project plan, coordinate milestones</w:t>
                  </w:r>
                  <w:r w:rsidR="00E85ACD">
                    <w:t>.</w:t>
                  </w:r>
                </w:p>
                <w:p w14:paraId="5864CB9E" w14:textId="75645C7B" w:rsidR="00E85ACD" w:rsidRDefault="00E85ACD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Liaise with tender sponsors, enable internal and external stakeholders, coordinate subject matter experts.</w:t>
                  </w:r>
                </w:p>
                <w:p w14:paraId="06440993" w14:textId="01BF14B4" w:rsidR="00E85ACD" w:rsidRDefault="00E85ACD" w:rsidP="00C70B4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Conduct research, project-manage inputs</w:t>
                  </w:r>
                  <w:r w:rsidR="00C70B42">
                    <w:t>, manage reviews (Bronze, Silver and Gold).</w:t>
                  </w:r>
                </w:p>
                <w:p w14:paraId="1A89F9EF" w14:textId="36182879" w:rsidR="00C70B42" w:rsidRDefault="00C70B42" w:rsidP="00C70B4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Use Mission Australia’s preferred project management methodology to coordinate tenders.</w:t>
                  </w:r>
                </w:p>
                <w:p w14:paraId="57D5837F" w14:textId="0C6EB438" w:rsidR="00C70B42" w:rsidRPr="00C12934" w:rsidRDefault="00C70B42" w:rsidP="00C70B42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lastRenderedPageBreak/>
                    <w:t>Work collaboratively</w:t>
                  </w:r>
                  <w:r w:rsidR="00D41795">
                    <w:t xml:space="preserve"> with and contribute to the PMO team on complex tenders, national or multi region submissions.</w:t>
                  </w:r>
                </w:p>
                <w:p w14:paraId="6910DEB9" w14:textId="5BED21EA" w:rsidR="00155C6F" w:rsidRPr="003E4A53" w:rsidRDefault="00155C6F" w:rsidP="00456A6D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6613555A" w14:textId="29C83BDB" w:rsidR="00155C6F" w:rsidRDefault="00A10556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lastRenderedPageBreak/>
                    <w:t>Tenders are coordinated in an efficient manner and submitted on time.</w:t>
                  </w:r>
                </w:p>
                <w:p w14:paraId="01AD0F2A" w14:textId="653F5130" w:rsidR="00A10556" w:rsidRPr="00C12934" w:rsidRDefault="00A10556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Project Plans are established for all tenders and reviewed regularly with clear escalation points to identify and mitigate risks.</w:t>
                  </w:r>
                </w:p>
                <w:p w14:paraId="03662E86" w14:textId="77777777" w:rsidR="00155C6F" w:rsidRDefault="00A10556" w:rsidP="002F29BC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Project Plans are </w:t>
                  </w:r>
                  <w:proofErr w:type="gramStart"/>
                  <w:r>
                    <w:t>clear</w:t>
                  </w:r>
                  <w:proofErr w:type="gramEnd"/>
                  <w:r>
                    <w:t xml:space="preserve"> and timeframes are workable.</w:t>
                  </w:r>
                </w:p>
                <w:p w14:paraId="473D4F99" w14:textId="6FF0B0A8" w:rsidR="00A10556" w:rsidRPr="002F29BC" w:rsidRDefault="00A10556" w:rsidP="002F29BC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Internal and ext</w:t>
                  </w:r>
                  <w:r w:rsidR="00395AD3">
                    <w:t>ernal stakeholders are engaged in project planning and agree to timeframes.</w:t>
                  </w:r>
                </w:p>
              </w:tc>
            </w:tr>
            <w:tr w:rsidR="00155C6F" w14:paraId="7DE0EFA2" w14:textId="77777777" w:rsidTr="00A5237F">
              <w:tc>
                <w:tcPr>
                  <w:tcW w:w="4597" w:type="dxa"/>
                  <w:shd w:val="clear" w:color="auto" w:fill="auto"/>
                </w:tcPr>
                <w:p w14:paraId="6CC2B462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8F05DF" w14:textId="7E1319D4" w:rsidR="00155C6F" w:rsidRPr="00664708" w:rsidRDefault="00395AD3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Research and Analysis</w:t>
                  </w:r>
                </w:p>
              </w:tc>
            </w:tr>
            <w:tr w:rsidR="00155C6F" w14:paraId="4D4B3172" w14:textId="77777777" w:rsidTr="00A5237F">
              <w:tc>
                <w:tcPr>
                  <w:tcW w:w="4597" w:type="dxa"/>
                  <w:shd w:val="clear" w:color="auto" w:fill="auto"/>
                </w:tcPr>
                <w:p w14:paraId="39561FD3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0FB2CD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37FC15BD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6FBDB2D9" w14:textId="405E41E6" w:rsidR="00395AD3" w:rsidRDefault="00395AD3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Conduct research on demographic information and evidence</w:t>
                  </w:r>
                  <w:r w:rsidR="00EF6399">
                    <w:t>-</w:t>
                  </w:r>
                  <w:r>
                    <w:t>based service delivery to support tenders.</w:t>
                  </w:r>
                </w:p>
                <w:p w14:paraId="70EABF81" w14:textId="56DB6D32" w:rsidR="002166D0" w:rsidRPr="003E4A53" w:rsidRDefault="00395AD3" w:rsidP="00EF6399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Undertake research and identify evidence </w:t>
                  </w:r>
                  <w:r w:rsidR="00D45668">
                    <w:t>and data to support service model and tender.</w:t>
                  </w:r>
                  <w: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A7C1134" w14:textId="2E4CAEEA" w:rsidR="00155C6F" w:rsidRPr="00B6110C" w:rsidRDefault="00F477EE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B6110C">
                    <w:t>Relevant and accurate data and research is included in tenders.</w:t>
                  </w:r>
                </w:p>
                <w:p w14:paraId="4EDF1F0C" w14:textId="26AF6EE2" w:rsidR="00F477EE" w:rsidRPr="00B6110C" w:rsidRDefault="00F477EE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B6110C">
                    <w:t>Knowledge and information of all Mission Australia services is utilised to support tenders.</w:t>
                  </w:r>
                </w:p>
                <w:p w14:paraId="333DA699" w14:textId="202283D0" w:rsidR="00F477EE" w:rsidRPr="00B6110C" w:rsidRDefault="00F477EE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B6110C">
                    <w:t>Information gathered is shared across team and stored in workspace.</w:t>
                  </w:r>
                </w:p>
                <w:p w14:paraId="6727932F" w14:textId="3FEEE3EA" w:rsidR="00F477EE" w:rsidRPr="00B6110C" w:rsidRDefault="00F477EE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 w:rsidRPr="00B6110C">
                    <w:t xml:space="preserve">Opportunity Assessments provide accurate information and supporting evidence to enable decision making at </w:t>
                  </w:r>
                  <w:r w:rsidRPr="00B34D3E">
                    <w:t>Business Gating</w:t>
                  </w:r>
                  <w:r w:rsidRPr="00B6110C">
                    <w:t xml:space="preserve"> Meeting.</w:t>
                  </w:r>
                </w:p>
                <w:p w14:paraId="78C1A5A1" w14:textId="27CF9893" w:rsidR="00155C6F" w:rsidRPr="00B6110C" w:rsidRDefault="00155C6F" w:rsidP="00F477EE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080" w:hanging="360"/>
                  </w:pPr>
                </w:p>
              </w:tc>
            </w:tr>
            <w:tr w:rsidR="00155C6F" w14:paraId="5D2E30E5" w14:textId="77777777" w:rsidTr="00A5237F">
              <w:tc>
                <w:tcPr>
                  <w:tcW w:w="4597" w:type="dxa"/>
                  <w:shd w:val="clear" w:color="auto" w:fill="auto"/>
                </w:tcPr>
                <w:p w14:paraId="5CDABE1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EBA53D0" w14:textId="2C6CB9DD" w:rsidR="00155C6F" w:rsidRPr="00664708" w:rsidRDefault="00B6110C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Relationship Management and Communications</w:t>
                  </w:r>
                </w:p>
              </w:tc>
            </w:tr>
            <w:tr w:rsidR="00155C6F" w14:paraId="6D8C5DC6" w14:textId="77777777" w:rsidTr="00A5237F">
              <w:tc>
                <w:tcPr>
                  <w:tcW w:w="4597" w:type="dxa"/>
                  <w:shd w:val="clear" w:color="auto" w:fill="auto"/>
                </w:tcPr>
                <w:p w14:paraId="5016B554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237463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5F50655B" w14:textId="77777777" w:rsidTr="00A5237F">
              <w:tc>
                <w:tcPr>
                  <w:tcW w:w="4597" w:type="dxa"/>
                  <w:shd w:val="clear" w:color="auto" w:fill="auto"/>
                </w:tcPr>
                <w:p w14:paraId="5B686388" w14:textId="38C9B560" w:rsidR="00155C6F" w:rsidRDefault="00F72030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Develop and maintain relationships with </w:t>
                  </w:r>
                  <w:r w:rsidR="00EF6399">
                    <w:t xml:space="preserve">community services, </w:t>
                  </w:r>
                  <w:proofErr w:type="gramStart"/>
                  <w:r w:rsidR="00EF6399">
                    <w:t>finance</w:t>
                  </w:r>
                  <w:proofErr w:type="gramEnd"/>
                  <w:r>
                    <w:t xml:space="preserve"> and management </w:t>
                  </w:r>
                  <w:r w:rsidR="00EF6399">
                    <w:t xml:space="preserve">colleagues </w:t>
                  </w:r>
                  <w:r>
                    <w:t>to ensure that all required materials are prepared for tenders.</w:t>
                  </w:r>
                </w:p>
                <w:p w14:paraId="7782BBFA" w14:textId="179F7750" w:rsidR="00F72030" w:rsidRDefault="00F72030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 xml:space="preserve">Work with leadership team to ensure ongoing communication and escalation of risks, tender </w:t>
                  </w:r>
                  <w:proofErr w:type="gramStart"/>
                  <w:r>
                    <w:t>progress</w:t>
                  </w:r>
                  <w:proofErr w:type="gramEnd"/>
                  <w:r>
                    <w:t xml:space="preserve"> and other issues.</w:t>
                  </w:r>
                </w:p>
                <w:p w14:paraId="1F6CC547" w14:textId="0E80B6AD" w:rsidR="00155C6F" w:rsidRPr="003E4A53" w:rsidRDefault="00155C6F" w:rsidP="00F72030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129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3E9717F9" w14:textId="5E694506" w:rsidR="00155C6F" w:rsidRDefault="00F72030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Strong relationships are formed across all divisions of Mission Australia.</w:t>
                  </w:r>
                </w:p>
                <w:p w14:paraId="0789D119" w14:textId="4723C117" w:rsidR="00F72030" w:rsidRPr="00C12934" w:rsidRDefault="00F72030" w:rsidP="00155C6F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ind w:left="489"/>
                  </w:pPr>
                  <w:r>
                    <w:t>Leadership team are well informed and able to address any issues early/quickly.</w:t>
                  </w:r>
                </w:p>
                <w:p w14:paraId="2AD8EEDD" w14:textId="0779B433" w:rsidR="00155C6F" w:rsidRPr="002F29BC" w:rsidRDefault="00155C6F" w:rsidP="00F72030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489"/>
                  </w:pPr>
                </w:p>
              </w:tc>
            </w:tr>
          </w:tbl>
          <w:p w14:paraId="7C67EEB2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AC0FEE" w:rsidRPr="00193477" w14:paraId="31D37761" w14:textId="77777777" w:rsidTr="00AC0FEE">
        <w:trPr>
          <w:gridAfter w:val="1"/>
          <w:wAfter w:w="163" w:type="pct"/>
          <w:trHeight w:val="541"/>
        </w:trPr>
        <w:tc>
          <w:tcPr>
            <w:tcW w:w="4837" w:type="pct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5312610F" w14:textId="77777777" w:rsidR="00497BFE" w:rsidRPr="00E13A79" w:rsidRDefault="00497BFE" w:rsidP="00497BFE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>Not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 xml:space="preserve">e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-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The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ut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li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ted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in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h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6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po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ion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de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c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r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ip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on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ay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not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be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5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l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l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encomp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ss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ing.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49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>p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loyees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>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ay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be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requ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4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to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per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f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orm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h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er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ona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b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le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 xml:space="preserve"> d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ut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1"/>
                <w:sz w:val="20"/>
                <w:szCs w:val="20"/>
              </w:rPr>
              <w:t>i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es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3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as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1"/>
                <w:sz w:val="20"/>
                <w:szCs w:val="20"/>
              </w:rPr>
              <w:t xml:space="preserve"> 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reque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pacing w:val="-2"/>
                <w:sz w:val="20"/>
                <w:szCs w:val="20"/>
              </w:rPr>
              <w:t>s</w:t>
            </w:r>
            <w:r w:rsidRPr="00E13A79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ted.</w:t>
            </w:r>
          </w:p>
          <w:p w14:paraId="5694CEA3" w14:textId="4C5908D2" w:rsidR="00AC0FEE" w:rsidRDefault="00AC0FEE" w:rsidP="00497BFE">
            <w:pPr>
              <w:tabs>
                <w:tab w:val="left" w:pos="989"/>
              </w:tabs>
              <w:spacing w:after="0"/>
              <w:rPr>
                <w:b/>
                <w:color w:val="722D69"/>
                <w:sz w:val="28"/>
              </w:rPr>
            </w:pPr>
          </w:p>
          <w:p w14:paraId="25C833C2" w14:textId="77777777" w:rsidR="00AC0FEE" w:rsidRDefault="00AC0FEE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>
              <w:rPr>
                <w:b/>
                <w:color w:val="722D69"/>
                <w:sz w:val="28"/>
              </w:rPr>
              <w:t xml:space="preserve"> Work Health and Safety</w:t>
            </w:r>
          </w:p>
          <w:p w14:paraId="5F0F9402" w14:textId="7D35F8DE" w:rsidR="00AC0FEE" w:rsidRPr="00246AF5" w:rsidRDefault="00497BFE" w:rsidP="00347FE2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Everyone is responsible for safe</w:t>
            </w:r>
            <w:r w:rsidR="00CA77DD">
              <w:rPr>
                <w:sz w:val="22"/>
              </w:rPr>
              <w:t>ty and must maintain</w:t>
            </w:r>
            <w:r w:rsidR="00AC0FEE" w:rsidRPr="00246AF5">
              <w:rPr>
                <w:sz w:val="22"/>
              </w:rPr>
              <w:t>:</w:t>
            </w:r>
          </w:p>
          <w:p w14:paraId="480BF5A2" w14:textId="77777777" w:rsidR="00492794" w:rsidRDefault="00492794" w:rsidP="00492794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A safe working environment for themselves and others in the workplace</w:t>
            </w:r>
            <w:r>
              <w:rPr>
                <w:sz w:val="22"/>
              </w:rPr>
              <w:t>.</w:t>
            </w:r>
            <w:r w:rsidRPr="00F84051">
              <w:rPr>
                <w:sz w:val="22"/>
              </w:rPr>
              <w:t xml:space="preserve"> </w:t>
            </w:r>
          </w:p>
          <w:p w14:paraId="0DDB27FD" w14:textId="77777777" w:rsidR="00492794" w:rsidRDefault="00492794" w:rsidP="00492794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Ensure required workplace health and safety actions are completed as required</w:t>
            </w:r>
            <w:r>
              <w:rPr>
                <w:sz w:val="22"/>
              </w:rPr>
              <w:t>.</w:t>
            </w:r>
          </w:p>
          <w:p w14:paraId="2B99CA1C" w14:textId="77777777" w:rsidR="00492794" w:rsidRPr="00FB1B05" w:rsidRDefault="00492794" w:rsidP="00492794">
            <w:pPr>
              <w:numPr>
                <w:ilvl w:val="0"/>
                <w:numId w:val="21"/>
              </w:numPr>
              <w:autoSpaceDE w:val="0"/>
              <w:autoSpaceDN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Participate in </w:t>
            </w:r>
            <w:r w:rsidRPr="00FB1B05">
              <w:rPr>
                <w:sz w:val="22"/>
              </w:rPr>
              <w:t>learning and development programs about workplace health and safety</w:t>
            </w:r>
            <w:r>
              <w:rPr>
                <w:sz w:val="22"/>
              </w:rPr>
              <w:t>.</w:t>
            </w:r>
          </w:p>
          <w:p w14:paraId="45EB6CAA" w14:textId="77777777" w:rsidR="00492794" w:rsidRPr="00593E68" w:rsidRDefault="00492794" w:rsidP="00492794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D26C27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>
              <w:rPr>
                <w:sz w:val="22"/>
              </w:rPr>
              <w:t>.</w:t>
            </w:r>
          </w:p>
          <w:p w14:paraId="3ACCB86F" w14:textId="44DEBAFB" w:rsidR="00492794" w:rsidRPr="00EF6399" w:rsidRDefault="00AC0FEE" w:rsidP="00EF6399">
            <w:pPr>
              <w:ind w:left="720" w:hanging="1004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  </w:t>
            </w:r>
          </w:p>
          <w:p w14:paraId="2D6C610A" w14:textId="3E95BCD4" w:rsidR="00AC0FEE" w:rsidRPr="00193477" w:rsidRDefault="00AC0FEE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Pr="0087756E">
              <w:rPr>
                <w:b/>
                <w:color w:val="722D69"/>
                <w:sz w:val="28"/>
              </w:rPr>
              <w:t>pose and Values</w:t>
            </w:r>
          </w:p>
        </w:tc>
      </w:tr>
      <w:tr w:rsidR="00474630" w:rsidRPr="000B007D" w14:paraId="1F841F23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1897874D" w14:textId="16DF21FE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AC0FEE">
              <w:rPr>
                <w:sz w:val="22"/>
              </w:rPr>
              <w:t xml:space="preserve"> Australia’s purpose and values.</w:t>
            </w:r>
          </w:p>
          <w:p w14:paraId="082E5E42" w14:textId="10A0B775" w:rsidR="00474630" w:rsidRPr="000B007D" w:rsidRDefault="00474630" w:rsidP="00347FE2">
            <w:pPr>
              <w:pStyle w:val="ListParagraph"/>
              <w:numPr>
                <w:ilvl w:val="0"/>
                <w:numId w:val="21"/>
              </w:numPr>
              <w:spacing w:after="60"/>
              <w:ind w:right="-125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Positively and </w:t>
            </w:r>
            <w:r w:rsidR="00720165" w:rsidRPr="000B007D">
              <w:rPr>
                <w:sz w:val="22"/>
              </w:rPr>
              <w:t>constructively,</w:t>
            </w:r>
            <w:r w:rsidRPr="000B007D">
              <w:rPr>
                <w:sz w:val="22"/>
              </w:rPr>
              <w:t xml:space="preserve"> represent our organisation to externa</w:t>
            </w:r>
            <w:r w:rsidR="00AC0FEE">
              <w:rPr>
                <w:sz w:val="22"/>
              </w:rPr>
              <w:t>l contacts at all opportunities.</w:t>
            </w:r>
          </w:p>
          <w:p w14:paraId="75E2AFD0" w14:textId="209CE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lastRenderedPageBreak/>
              <w:t xml:space="preserve">Behave in a way that contributes to a workplace that is free of discrimination, harassment and </w:t>
            </w:r>
            <w:proofErr w:type="gramStart"/>
            <w:r w:rsidRPr="000B007D">
              <w:rPr>
                <w:sz w:val="22"/>
              </w:rPr>
              <w:t>bullying beha</w:t>
            </w:r>
            <w:r w:rsidR="00AC0FEE">
              <w:rPr>
                <w:sz w:val="22"/>
              </w:rPr>
              <w:t>viour at all times</w:t>
            </w:r>
            <w:proofErr w:type="gramEnd"/>
            <w:r w:rsidR="00AC0FEE">
              <w:rPr>
                <w:sz w:val="22"/>
              </w:rPr>
              <w:t>.</w:t>
            </w:r>
          </w:p>
          <w:p w14:paraId="147FB45A" w14:textId="04AC73D4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</w:t>
            </w:r>
            <w:r w:rsidR="00347FE2">
              <w:rPr>
                <w:sz w:val="22"/>
              </w:rPr>
              <w:t>tralia policies and practices (e.g.</w:t>
            </w:r>
            <w:r w:rsidRPr="000B007D">
              <w:rPr>
                <w:sz w:val="22"/>
              </w:rPr>
              <w:t xml:space="preserve">  </w:t>
            </w:r>
            <w:r w:rsidR="00347FE2" w:rsidRPr="000B007D">
              <w:rPr>
                <w:sz w:val="22"/>
              </w:rPr>
              <w:t>Financial</w:t>
            </w:r>
            <w:r w:rsidR="00AC0FEE">
              <w:rPr>
                <w:sz w:val="22"/>
              </w:rPr>
              <w:t>, HR, etc.).</w:t>
            </w:r>
          </w:p>
          <w:p w14:paraId="0236A8DB" w14:textId="66D065B2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AC0FEE">
              <w:rPr>
                <w:sz w:val="22"/>
              </w:rPr>
              <w:t xml:space="preserve"> others working in the business.</w:t>
            </w:r>
          </w:p>
          <w:p w14:paraId="05F889F7" w14:textId="495C2A86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Follow reasonable directions given by the company in relation to </w:t>
            </w:r>
            <w:r>
              <w:rPr>
                <w:sz w:val="22"/>
              </w:rPr>
              <w:t>Work</w:t>
            </w:r>
            <w:r w:rsidR="00347FE2">
              <w:rPr>
                <w:sz w:val="22"/>
              </w:rPr>
              <w:t xml:space="preserve"> Health and Safety</w:t>
            </w:r>
            <w:r w:rsidR="00AC0FEE">
              <w:rPr>
                <w:sz w:val="22"/>
              </w:rPr>
              <w:t>.</w:t>
            </w:r>
          </w:p>
          <w:p w14:paraId="2AD1893F" w14:textId="4757C293" w:rsidR="00F143C4" w:rsidRDefault="00F143C4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474630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AC0FEE">
              <w:rPr>
                <w:sz w:val="22"/>
              </w:rPr>
              <w:t>.</w:t>
            </w:r>
          </w:p>
          <w:p w14:paraId="438B0F6B" w14:textId="65D5B60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Promote and work within Mission Australia's client service delivery principles, ethics, </w:t>
            </w:r>
            <w:proofErr w:type="gramStart"/>
            <w:r w:rsidRPr="000B007D">
              <w:rPr>
                <w:sz w:val="22"/>
              </w:rPr>
              <w:t>policies</w:t>
            </w:r>
            <w:proofErr w:type="gramEnd"/>
            <w:r w:rsidRPr="000B007D">
              <w:rPr>
                <w:sz w:val="22"/>
              </w:rPr>
              <w:t xml:space="preserve"> and practice standards</w:t>
            </w:r>
            <w:r w:rsidR="00AC0FEE">
              <w:rPr>
                <w:sz w:val="22"/>
              </w:rPr>
              <w:t>.</w:t>
            </w:r>
          </w:p>
          <w:p w14:paraId="328E5FBB" w14:textId="44FBB733" w:rsidR="00E21A8C" w:rsidRPr="00E21A8C" w:rsidRDefault="00E21A8C" w:rsidP="00E21A8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1" w:history="1">
              <w:r w:rsidRPr="00E21A8C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  <w:r w:rsidRPr="00E21A8C">
              <w:rPr>
                <w:rFonts w:asciiTheme="minorHAnsi" w:hAnsiTheme="minorHAnsi" w:cstheme="minorHAnsi"/>
                <w:color w:val="EC008C"/>
                <w:sz w:val="22"/>
                <w:szCs w:val="22"/>
              </w:rPr>
              <w:t>.</w:t>
            </w:r>
          </w:p>
          <w:p w14:paraId="48DB48C9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>Actively support Mission Australia’s Reconciliation Action Plan.</w:t>
            </w:r>
          </w:p>
        </w:tc>
      </w:tr>
    </w:tbl>
    <w:p w14:paraId="2AAB4C92" w14:textId="77777777" w:rsidR="009537C6" w:rsidRDefault="009537C6" w:rsidP="000B007D">
      <w:pPr>
        <w:ind w:left="720" w:hanging="1004"/>
        <w:rPr>
          <w:b/>
          <w:color w:val="722D69"/>
          <w:sz w:val="28"/>
        </w:rPr>
      </w:pPr>
    </w:p>
    <w:p w14:paraId="08A54220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14:paraId="15784CD3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8B3C" w14:textId="77777777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 xml:space="preserve">nowledge, </w:t>
            </w:r>
            <w:proofErr w:type="gramStart"/>
            <w:r w:rsidR="00F143C4">
              <w:rPr>
                <w:b/>
                <w:color w:val="522F8C"/>
              </w:rPr>
              <w:t>skills</w:t>
            </w:r>
            <w:proofErr w:type="gramEnd"/>
            <w:r w:rsidR="00F143C4">
              <w:rPr>
                <w:b/>
                <w:color w:val="522F8C"/>
              </w:rPr>
              <w:t xml:space="preserve">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14:paraId="6DDBBA2D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11A46" w14:textId="5DE31508" w:rsidR="00F143C4" w:rsidRDefault="00F72030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minimum of 2 years’ experience in tender writing</w:t>
            </w:r>
            <w:r w:rsidR="00375D4B">
              <w:rPr>
                <w:sz w:val="22"/>
                <w:szCs w:val="22"/>
              </w:rPr>
              <w:t>.</w:t>
            </w:r>
          </w:p>
          <w:p w14:paraId="34EA64B2" w14:textId="77777777" w:rsidR="00DA0910" w:rsidRDefault="00DA0910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 qualification in relevant discipline (preferred)</w:t>
            </w:r>
            <w:r w:rsidR="00375D4B">
              <w:rPr>
                <w:sz w:val="22"/>
                <w:szCs w:val="22"/>
              </w:rPr>
              <w:t>.</w:t>
            </w:r>
          </w:p>
          <w:p w14:paraId="57F0038F" w14:textId="77777777" w:rsidR="00375D4B" w:rsidRDefault="00375D4B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excellent writing and analytical skills including the preparation of tenders and reports.</w:t>
            </w:r>
          </w:p>
          <w:p w14:paraId="0A145280" w14:textId="438CBD30" w:rsidR="00375D4B" w:rsidRDefault="00EF6399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375D4B">
              <w:rPr>
                <w:sz w:val="22"/>
                <w:szCs w:val="22"/>
              </w:rPr>
              <w:t>nderstanding of issues in community services sector.</w:t>
            </w:r>
          </w:p>
          <w:p w14:paraId="7618238C" w14:textId="77777777" w:rsidR="00375D4B" w:rsidRDefault="00375D4B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record in successful submission of funding applications.</w:t>
            </w:r>
          </w:p>
          <w:p w14:paraId="0C74B448" w14:textId="6BC27D0C" w:rsidR="00375D4B" w:rsidRDefault="00375D4B" w:rsidP="00155C6F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skilled in using relevant software applications.</w:t>
            </w:r>
            <w:r w:rsidR="00655EDE">
              <w:rPr>
                <w:sz w:val="22"/>
                <w:szCs w:val="22"/>
              </w:rPr>
              <w:br/>
            </w:r>
          </w:p>
          <w:p w14:paraId="76C5C79E" w14:textId="46395F91" w:rsidR="005D2398" w:rsidRPr="00AD2BB5" w:rsidRDefault="00375D4B" w:rsidP="00AD2BB5">
            <w:pPr>
              <w:pStyle w:val="ListParagraph"/>
              <w:numPr>
                <w:ilvl w:val="0"/>
                <w:numId w:val="25"/>
              </w:numPr>
              <w:spacing w:after="60"/>
              <w:ind w:left="922" w:hanging="56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experience and ability in:</w:t>
            </w:r>
            <w:r w:rsidR="005D2398">
              <w:rPr>
                <w:sz w:val="22"/>
                <w:szCs w:val="22"/>
              </w:rPr>
              <w:br/>
              <w:t>- Project coordination.</w:t>
            </w:r>
            <w:r w:rsidR="005D2398">
              <w:rPr>
                <w:sz w:val="22"/>
                <w:szCs w:val="22"/>
              </w:rPr>
              <w:br/>
              <w:t xml:space="preserve">- </w:t>
            </w:r>
            <w:r w:rsidR="005B6251">
              <w:rPr>
                <w:sz w:val="22"/>
                <w:szCs w:val="22"/>
              </w:rPr>
              <w:t>Research including qualitative and quantitate methods, data analysis and reporting.</w:t>
            </w:r>
            <w:r w:rsidR="005B6251">
              <w:rPr>
                <w:sz w:val="22"/>
                <w:szCs w:val="22"/>
              </w:rPr>
              <w:br/>
              <w:t xml:space="preserve">- </w:t>
            </w:r>
            <w:r w:rsidR="00655EDE">
              <w:rPr>
                <w:sz w:val="22"/>
                <w:szCs w:val="22"/>
              </w:rPr>
              <w:t>Working to a high level of accuracy and detail.</w:t>
            </w:r>
            <w:r w:rsidR="00655EDE">
              <w:rPr>
                <w:sz w:val="22"/>
                <w:szCs w:val="22"/>
              </w:rPr>
              <w:br/>
              <w:t>- Managing and meeting deadlines.</w:t>
            </w:r>
            <w:r w:rsidR="00655EDE">
              <w:rPr>
                <w:sz w:val="22"/>
                <w:szCs w:val="22"/>
              </w:rPr>
              <w:br/>
              <w:t>-</w:t>
            </w:r>
            <w:r w:rsidR="007454D8">
              <w:rPr>
                <w:sz w:val="22"/>
                <w:szCs w:val="22"/>
              </w:rPr>
              <w:t xml:space="preserve"> Operating within guidelines and direction with minimal supervision and using initiative.</w:t>
            </w:r>
            <w:r w:rsidR="007454D8">
              <w:rPr>
                <w:sz w:val="22"/>
                <w:szCs w:val="22"/>
              </w:rPr>
              <w:br/>
              <w:t xml:space="preserve">- Demonstrated experience and proven ability to foster constructive relationships with </w:t>
            </w:r>
            <w:r w:rsidR="007454D8">
              <w:rPr>
                <w:sz w:val="22"/>
                <w:szCs w:val="22"/>
              </w:rPr>
              <w:br/>
              <w:t xml:space="preserve">   internal and external stakeholders.</w:t>
            </w:r>
          </w:p>
          <w:p w14:paraId="4327EDD4" w14:textId="386EE7A3" w:rsidR="00375D4B" w:rsidRPr="00F143C4" w:rsidRDefault="00375D4B" w:rsidP="005D2398">
            <w:pPr>
              <w:pStyle w:val="ListParagraph"/>
              <w:spacing w:after="60"/>
              <w:ind w:left="922"/>
              <w:contextualSpacing w:val="0"/>
              <w:rPr>
                <w:sz w:val="22"/>
                <w:szCs w:val="22"/>
              </w:rPr>
            </w:pPr>
          </w:p>
        </w:tc>
      </w:tr>
      <w:tr w:rsidR="00474630" w:rsidRPr="00193477" w14:paraId="0A7F0AE6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823A39" w14:textId="77777777" w:rsidR="00B47289" w:rsidRDefault="00B47289" w:rsidP="00AD2BB5">
            <w:pPr>
              <w:spacing w:before="40" w:after="60"/>
              <w:rPr>
                <w:b/>
                <w:color w:val="522F8C"/>
              </w:rPr>
            </w:pPr>
          </w:p>
          <w:p w14:paraId="3F766B0F" w14:textId="682109CB" w:rsidR="00347FE2" w:rsidRPr="008F0D93" w:rsidRDefault="00347FE2" w:rsidP="00347FE2">
            <w:pPr>
              <w:spacing w:after="60"/>
              <w:ind w:left="34"/>
              <w:rPr>
                <w:b/>
                <w:color w:val="522F8C"/>
              </w:rPr>
            </w:pPr>
            <w:r w:rsidRPr="008F0D93">
              <w:rPr>
                <w:b/>
                <w:color w:val="522F8C"/>
              </w:rPr>
              <w:t>Competencies</w:t>
            </w:r>
          </w:p>
          <w:p w14:paraId="3CF5EC9A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oriented and takes accountability to achieve results in line with set timeframes.</w:t>
            </w:r>
          </w:p>
          <w:p w14:paraId="418294BB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and maintains sustainable internal and external relationships.</w:t>
            </w:r>
          </w:p>
          <w:p w14:paraId="49909A08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courage in leadership to confront issues and </w:t>
            </w:r>
            <w:proofErr w:type="gramStart"/>
            <w:r>
              <w:rPr>
                <w:sz w:val="22"/>
                <w:szCs w:val="22"/>
              </w:rPr>
              <w:t>risks, and</w:t>
            </w:r>
            <w:proofErr w:type="gramEnd"/>
            <w:r>
              <w:rPr>
                <w:sz w:val="22"/>
                <w:szCs w:val="22"/>
              </w:rPr>
              <w:t xml:space="preserve"> escalates as appropriate in accordance with procedure.</w:t>
            </w:r>
          </w:p>
          <w:p w14:paraId="4B72056A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communication and active listening skills, demonstrating the ability to present information, decision and reasons confidently, </w:t>
            </w:r>
            <w:proofErr w:type="gramStart"/>
            <w:r>
              <w:rPr>
                <w:sz w:val="22"/>
                <w:szCs w:val="22"/>
              </w:rPr>
              <w:t>clearly</w:t>
            </w:r>
            <w:proofErr w:type="gramEnd"/>
            <w:r>
              <w:rPr>
                <w:sz w:val="22"/>
                <w:szCs w:val="22"/>
              </w:rPr>
              <w:t xml:space="preserve"> and concisely selecting the appropriate medium.</w:t>
            </w:r>
          </w:p>
          <w:p w14:paraId="70468B8C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experience working and collaborating effectively with others, ensuring key stakeholders are involved, sharing </w:t>
            </w:r>
            <w:proofErr w:type="gramStart"/>
            <w:r>
              <w:rPr>
                <w:sz w:val="22"/>
                <w:szCs w:val="22"/>
              </w:rPr>
              <w:t>information</w:t>
            </w:r>
            <w:proofErr w:type="gramEnd"/>
            <w:r>
              <w:rPr>
                <w:sz w:val="22"/>
                <w:szCs w:val="22"/>
              </w:rPr>
              <w:t xml:space="preserve"> and ensuring people are kept informed of progress, changes and issues.</w:t>
            </w:r>
          </w:p>
          <w:p w14:paraId="5D64641B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deal with ambiguity and complexity. </w:t>
            </w:r>
          </w:p>
          <w:p w14:paraId="6F614F86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 w:rsidRPr="008F0D93">
              <w:rPr>
                <w:sz w:val="22"/>
                <w:szCs w:val="22"/>
              </w:rPr>
              <w:lastRenderedPageBreak/>
              <w:t>Demonstrated strong leadership skills with effective change management capabilities.</w:t>
            </w:r>
          </w:p>
          <w:p w14:paraId="1C006983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629508CA" w14:textId="77777777"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474630" w:rsidRPr="000B007D" w14:paraId="77E79244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1950C1" w14:textId="77777777" w:rsidR="00F143C4" w:rsidRDefault="00580E93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80" w:hanging="43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Limited timeframes for tenders and need to conduct thorough research and evidence gathering to support the development of quality tenders.</w:t>
            </w:r>
          </w:p>
          <w:p w14:paraId="5C728DA3" w14:textId="77777777" w:rsidR="00580E93" w:rsidRDefault="00580E93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80" w:hanging="43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to deadlines with multiple external influencers – for example differing priorities of key stakeholders, information not being received in time and review process.</w:t>
            </w:r>
          </w:p>
          <w:p w14:paraId="567B7F84" w14:textId="77777777" w:rsidR="00580E93" w:rsidRDefault="00580E93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80" w:hanging="43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times, volume of work required to meet deadlines – therefore need to thrive under pressure.</w:t>
            </w:r>
          </w:p>
          <w:p w14:paraId="46D1C10B" w14:textId="6BC4B44F" w:rsidR="00580E93" w:rsidRPr="00F143C4" w:rsidRDefault="00580E93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80" w:hanging="43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in and with teams that may </w:t>
            </w:r>
            <w:proofErr w:type="gramStart"/>
            <w:r>
              <w:rPr>
                <w:sz w:val="22"/>
                <w:szCs w:val="22"/>
              </w:rPr>
              <w:t>be located in</w:t>
            </w:r>
            <w:proofErr w:type="gramEnd"/>
            <w:r>
              <w:rPr>
                <w:sz w:val="22"/>
                <w:szCs w:val="22"/>
              </w:rPr>
              <w:t xml:space="preserve"> different states.</w:t>
            </w:r>
          </w:p>
        </w:tc>
      </w:tr>
    </w:tbl>
    <w:p w14:paraId="6CA875A7" w14:textId="77777777" w:rsidR="00347FE2" w:rsidRDefault="00347FE2" w:rsidP="00580E93">
      <w:pPr>
        <w:rPr>
          <w:b/>
          <w:color w:val="722D69"/>
          <w:sz w:val="28"/>
        </w:rPr>
      </w:pPr>
    </w:p>
    <w:p w14:paraId="1B972F1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</w:t>
      </w:r>
      <w:proofErr w:type="gramStart"/>
      <w:r>
        <w:rPr>
          <w:b/>
          <w:color w:val="722D69"/>
          <w:sz w:val="28"/>
        </w:rPr>
        <w:t>required</w:t>
      </w:r>
      <w:proofErr w:type="gramEnd"/>
      <w:r>
        <w:rPr>
          <w:b/>
          <w:color w:val="722D69"/>
          <w:sz w:val="28"/>
        </w:rPr>
        <w:t xml:space="preserve"> </w:t>
      </w:r>
    </w:p>
    <w:p w14:paraId="11F53E46" w14:textId="5E56E296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0862C585" w14:textId="63B1B063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2BB5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50403ABC" w14:textId="1C33C379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B1A19B6" w14:textId="266C6CF5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35925AC" w14:textId="71BA29E4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proofErr w:type="gramStart"/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proofErr w:type="gramEnd"/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713620D6" w14:textId="77777777" w:rsidR="00995B30" w:rsidRDefault="00995B30" w:rsidP="00580E93">
      <w:pPr>
        <w:rPr>
          <w:b/>
          <w:color w:val="722D69"/>
          <w:sz w:val="28"/>
        </w:rPr>
      </w:pPr>
    </w:p>
    <w:p w14:paraId="7EA6A08A" w14:textId="2CE32A15" w:rsidR="00834EC7" w:rsidRPr="003E4A53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</w:p>
    <w:tbl>
      <w:tblPr>
        <w:tblW w:w="5515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2005"/>
      </w:tblGrid>
      <w:tr w:rsidR="00716708" w14:paraId="4E9B5431" w14:textId="77777777" w:rsidTr="00995B30">
        <w:tc>
          <w:tcPr>
            <w:tcW w:w="928" w:type="pct"/>
            <w:hideMark/>
          </w:tcPr>
          <w:p w14:paraId="5969C305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0" w:type="pct"/>
          </w:tcPr>
          <w:p w14:paraId="496B7E71" w14:textId="27C432F2" w:rsidR="00716708" w:rsidRPr="00B76B2D" w:rsidRDefault="00995B30" w:rsidP="00662039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Sarah Reed – GM Business Development </w:t>
            </w:r>
          </w:p>
        </w:tc>
        <w:tc>
          <w:tcPr>
            <w:tcW w:w="855" w:type="pct"/>
          </w:tcPr>
          <w:p w14:paraId="3BDE96E8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1007" w:type="pct"/>
          </w:tcPr>
          <w:p w14:paraId="655024A9" w14:textId="4D9B4F4D" w:rsidR="00716708" w:rsidRPr="00B76B2D" w:rsidRDefault="004856B0" w:rsidP="00995B30">
            <w:pPr>
              <w:rPr>
                <w:sz w:val="22"/>
              </w:rPr>
            </w:pPr>
            <w:r>
              <w:rPr>
                <w:sz w:val="22"/>
              </w:rPr>
              <w:t>1 June 2021</w:t>
            </w:r>
          </w:p>
        </w:tc>
      </w:tr>
    </w:tbl>
    <w:p w14:paraId="37F9ABC0" w14:textId="5FBF92E8" w:rsidR="007117A1" w:rsidRDefault="007117A1" w:rsidP="00B56F98"/>
    <w:sectPr w:rsidR="007117A1" w:rsidSect="00E21A8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94" w:footer="95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7A8B" w14:textId="77777777" w:rsidR="00001253" w:rsidRDefault="00001253" w:rsidP="00985745">
      <w:r>
        <w:separator/>
      </w:r>
    </w:p>
  </w:endnote>
  <w:endnote w:type="continuationSeparator" w:id="0">
    <w:p w14:paraId="204694C9" w14:textId="77777777" w:rsidR="00001253" w:rsidRDefault="00001253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268D" w14:textId="16198C35" w:rsidR="00347FE2" w:rsidRDefault="00347FE2" w:rsidP="00480DFF">
    <w:pPr>
      <w:pStyle w:val="x9MAfooter"/>
    </w:pPr>
    <w:r>
      <w:drawing>
        <wp:anchor distT="0" distB="0" distL="114300" distR="114300" simplePos="0" relativeHeight="251651072" behindDoc="0" locked="0" layoutInCell="1" allowOverlap="1" wp14:anchorId="30948799" wp14:editId="707AC1B2">
          <wp:simplePos x="0" y="0"/>
          <wp:positionH relativeFrom="column">
            <wp:posOffset>-263906</wp:posOffset>
          </wp:positionH>
          <wp:positionV relativeFrom="paragraph">
            <wp:posOffset>83286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29FC0" w14:textId="44EB9A09" w:rsidR="00E756B3" w:rsidRDefault="00662039" w:rsidP="00480DFF">
    <w:pPr>
      <w:pStyle w:val="x9MAfooter"/>
    </w:pPr>
    <w:r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720165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47E2" w14:textId="77777777" w:rsidR="00E756B3" w:rsidRDefault="00E756B3" w:rsidP="004B7E91">
    <w:pPr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CFF5" w14:textId="77777777" w:rsidR="00001253" w:rsidRDefault="00001253" w:rsidP="00985745">
      <w:r>
        <w:separator/>
      </w:r>
    </w:p>
  </w:footnote>
  <w:footnote w:type="continuationSeparator" w:id="0">
    <w:p w14:paraId="78E33CF0" w14:textId="77777777" w:rsidR="00001253" w:rsidRDefault="00001253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E82" w14:textId="21B7AABA" w:rsidR="00E756B3" w:rsidRPr="00347FE2" w:rsidRDefault="00347FE2" w:rsidP="00B26A13">
    <w:pPr>
      <w:pStyle w:val="Header"/>
      <w:tabs>
        <w:tab w:val="left" w:pos="8553"/>
      </w:tabs>
      <w:rPr>
        <w:sz w:val="16"/>
        <w:szCs w:val="16"/>
      </w:rPr>
    </w:pPr>
    <w:r w:rsidRPr="00347FE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506A441" wp14:editId="1E1D69BB">
          <wp:simplePos x="0" y="0"/>
          <wp:positionH relativeFrom="column">
            <wp:posOffset>-186791</wp:posOffset>
          </wp:positionH>
          <wp:positionV relativeFrom="paragraph">
            <wp:posOffset>-156896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C4EA" w14:textId="327B4FE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51088" wp14:editId="77649FD9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2D9" w14:textId="50D41060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b/>
                              <w:color w:val="FFFFFF"/>
                            </w:rPr>
                            <w:t>Position Title</w:t>
                          </w:r>
                          <w:r w:rsidR="00562305">
                            <w:rPr>
                              <w:b/>
                              <w:color w:val="FFFFFF"/>
                            </w:rPr>
                            <w:t>: Tender and Submission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-6.15pt;width:359.3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8I8gEAAMYDAAAOAAAAZHJzL2Uyb0RvYy54bWysU9tu2zAMfR+wfxD0vjhOkz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" filled="f" stroked="f">
              <v:textbox>
                <w:txbxContent>
                  <w:p w14:paraId="76F062D9" w14:textId="50D41060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>
                      <w:rPr>
                        <w:b/>
                        <w:color w:val="FFFFFF"/>
                      </w:rPr>
                      <w:t>Position Title</w:t>
                    </w:r>
                    <w:r w:rsidR="00562305">
                      <w:rPr>
                        <w:b/>
                        <w:color w:val="FFFFFF"/>
                      </w:rPr>
                      <w:t>: Tender and Submission Officer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6EFF94E" wp14:editId="4C64CAD9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7B8"/>
    <w:multiLevelType w:val="hybridMultilevel"/>
    <w:tmpl w:val="61825464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F5B"/>
    <w:multiLevelType w:val="hybridMultilevel"/>
    <w:tmpl w:val="24E496DC"/>
    <w:lvl w:ilvl="0" w:tplc="5E101836">
      <w:numFmt w:val="bullet"/>
      <w:lvlText w:val="-"/>
      <w:lvlJc w:val="left"/>
      <w:pPr>
        <w:ind w:left="12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1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25"/>
  </w:num>
  <w:num w:numId="9">
    <w:abstractNumId w:val="22"/>
  </w:num>
  <w:num w:numId="10">
    <w:abstractNumId w:val="16"/>
  </w:num>
  <w:num w:numId="11">
    <w:abstractNumId w:val="20"/>
  </w:num>
  <w:num w:numId="12">
    <w:abstractNumId w:val="24"/>
  </w:num>
  <w:num w:numId="13">
    <w:abstractNumId w:val="29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17"/>
  </w:num>
  <w:num w:numId="21">
    <w:abstractNumId w:val="23"/>
  </w:num>
  <w:num w:numId="22">
    <w:abstractNumId w:val="4"/>
  </w:num>
  <w:num w:numId="23">
    <w:abstractNumId w:val="19"/>
  </w:num>
  <w:num w:numId="24">
    <w:abstractNumId w:val="28"/>
  </w:num>
  <w:num w:numId="25">
    <w:abstractNumId w:val="18"/>
  </w:num>
  <w:num w:numId="26">
    <w:abstractNumId w:val="6"/>
  </w:num>
  <w:num w:numId="27">
    <w:abstractNumId w:val="31"/>
  </w:num>
  <w:num w:numId="28">
    <w:abstractNumId w:val="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1253"/>
    <w:rsid w:val="00002AC8"/>
    <w:rsid w:val="00002CA3"/>
    <w:rsid w:val="0000441D"/>
    <w:rsid w:val="000045FD"/>
    <w:rsid w:val="000059EA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983"/>
    <w:rsid w:val="00030F01"/>
    <w:rsid w:val="000339F0"/>
    <w:rsid w:val="000342E1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57F54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71B9F"/>
    <w:rsid w:val="00071E3E"/>
    <w:rsid w:val="0007266A"/>
    <w:rsid w:val="00073FA4"/>
    <w:rsid w:val="000742DE"/>
    <w:rsid w:val="000759A6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20E22"/>
    <w:rsid w:val="00122285"/>
    <w:rsid w:val="00122A59"/>
    <w:rsid w:val="001254EC"/>
    <w:rsid w:val="001272B5"/>
    <w:rsid w:val="0012793F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2B4F"/>
    <w:rsid w:val="00173FCC"/>
    <w:rsid w:val="00174C84"/>
    <w:rsid w:val="001772F3"/>
    <w:rsid w:val="00177910"/>
    <w:rsid w:val="00177AA5"/>
    <w:rsid w:val="00180AF9"/>
    <w:rsid w:val="0018328E"/>
    <w:rsid w:val="00183C42"/>
    <w:rsid w:val="00183F31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3228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66D0"/>
    <w:rsid w:val="00217FDE"/>
    <w:rsid w:val="0022182C"/>
    <w:rsid w:val="00222952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4B"/>
    <w:rsid w:val="00281C50"/>
    <w:rsid w:val="0028438F"/>
    <w:rsid w:val="00284414"/>
    <w:rsid w:val="00284938"/>
    <w:rsid w:val="00285D7B"/>
    <w:rsid w:val="00286AB1"/>
    <w:rsid w:val="00287A8A"/>
    <w:rsid w:val="002917B9"/>
    <w:rsid w:val="00293984"/>
    <w:rsid w:val="00294300"/>
    <w:rsid w:val="00295CC7"/>
    <w:rsid w:val="00296369"/>
    <w:rsid w:val="00296667"/>
    <w:rsid w:val="0029666D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561"/>
    <w:rsid w:val="00347CB1"/>
    <w:rsid w:val="00347FE2"/>
    <w:rsid w:val="00350666"/>
    <w:rsid w:val="00350779"/>
    <w:rsid w:val="00351B1A"/>
    <w:rsid w:val="00351DD2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75D4B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AD3"/>
    <w:rsid w:val="00395FE2"/>
    <w:rsid w:val="003974F7"/>
    <w:rsid w:val="003975D0"/>
    <w:rsid w:val="003A010A"/>
    <w:rsid w:val="003A058E"/>
    <w:rsid w:val="003A1736"/>
    <w:rsid w:val="003A23DE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6A6D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2F91"/>
    <w:rsid w:val="00473909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6B0"/>
    <w:rsid w:val="00485F0F"/>
    <w:rsid w:val="00486F97"/>
    <w:rsid w:val="00487138"/>
    <w:rsid w:val="0048717B"/>
    <w:rsid w:val="00487850"/>
    <w:rsid w:val="00487EB8"/>
    <w:rsid w:val="0049053A"/>
    <w:rsid w:val="00492512"/>
    <w:rsid w:val="00492794"/>
    <w:rsid w:val="0049394C"/>
    <w:rsid w:val="00494E4C"/>
    <w:rsid w:val="00496875"/>
    <w:rsid w:val="00497BFE"/>
    <w:rsid w:val="004A052D"/>
    <w:rsid w:val="004A0629"/>
    <w:rsid w:val="004A1A0D"/>
    <w:rsid w:val="004A3C29"/>
    <w:rsid w:val="004A46B2"/>
    <w:rsid w:val="004A4A81"/>
    <w:rsid w:val="004A4AC1"/>
    <w:rsid w:val="004A57C3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093C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2D6A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305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0E93"/>
    <w:rsid w:val="00581068"/>
    <w:rsid w:val="005817C9"/>
    <w:rsid w:val="005833DF"/>
    <w:rsid w:val="00583714"/>
    <w:rsid w:val="00583D6D"/>
    <w:rsid w:val="00584285"/>
    <w:rsid w:val="005845CC"/>
    <w:rsid w:val="00586A63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7F"/>
    <w:rsid w:val="005A48C4"/>
    <w:rsid w:val="005A7D9D"/>
    <w:rsid w:val="005B35BC"/>
    <w:rsid w:val="005B3FFE"/>
    <w:rsid w:val="005B6251"/>
    <w:rsid w:val="005B63AD"/>
    <w:rsid w:val="005B74C7"/>
    <w:rsid w:val="005C1B05"/>
    <w:rsid w:val="005C2185"/>
    <w:rsid w:val="005C39BE"/>
    <w:rsid w:val="005C7506"/>
    <w:rsid w:val="005D0868"/>
    <w:rsid w:val="005D14B9"/>
    <w:rsid w:val="005D2398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56A"/>
    <w:rsid w:val="005E38C5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364"/>
    <w:rsid w:val="00606F8A"/>
    <w:rsid w:val="00607524"/>
    <w:rsid w:val="006079C1"/>
    <w:rsid w:val="00607FB4"/>
    <w:rsid w:val="00610442"/>
    <w:rsid w:val="0061129F"/>
    <w:rsid w:val="0061417E"/>
    <w:rsid w:val="0061497C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5EDE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08"/>
    <w:rsid w:val="00716769"/>
    <w:rsid w:val="00716DE9"/>
    <w:rsid w:val="00720165"/>
    <w:rsid w:val="0072034A"/>
    <w:rsid w:val="007209B8"/>
    <w:rsid w:val="00721F47"/>
    <w:rsid w:val="007232A0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0575"/>
    <w:rsid w:val="007412FD"/>
    <w:rsid w:val="00741740"/>
    <w:rsid w:val="00744CB1"/>
    <w:rsid w:val="007454A0"/>
    <w:rsid w:val="007454D8"/>
    <w:rsid w:val="00745F6E"/>
    <w:rsid w:val="0074631E"/>
    <w:rsid w:val="007471DA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5D2D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6CC5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22DA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55D2"/>
    <w:rsid w:val="00866453"/>
    <w:rsid w:val="00866EE5"/>
    <w:rsid w:val="0087149C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4CE"/>
    <w:rsid w:val="0091290B"/>
    <w:rsid w:val="0091315E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5DF"/>
    <w:rsid w:val="00934C84"/>
    <w:rsid w:val="00937FDE"/>
    <w:rsid w:val="009407D4"/>
    <w:rsid w:val="00941BD6"/>
    <w:rsid w:val="00942603"/>
    <w:rsid w:val="00943314"/>
    <w:rsid w:val="009447B1"/>
    <w:rsid w:val="00946BE9"/>
    <w:rsid w:val="00946C1F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046"/>
    <w:rsid w:val="009909FE"/>
    <w:rsid w:val="00990DD8"/>
    <w:rsid w:val="0099115E"/>
    <w:rsid w:val="0099186C"/>
    <w:rsid w:val="00991BAD"/>
    <w:rsid w:val="009929B5"/>
    <w:rsid w:val="0099520E"/>
    <w:rsid w:val="00995B30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33A1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003C"/>
    <w:rsid w:val="00A10556"/>
    <w:rsid w:val="00A11564"/>
    <w:rsid w:val="00A11660"/>
    <w:rsid w:val="00A11E3F"/>
    <w:rsid w:val="00A14F2B"/>
    <w:rsid w:val="00A15A8A"/>
    <w:rsid w:val="00A16C2F"/>
    <w:rsid w:val="00A2050B"/>
    <w:rsid w:val="00A2160E"/>
    <w:rsid w:val="00A23FFF"/>
    <w:rsid w:val="00A24057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1BA"/>
    <w:rsid w:val="00A43219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03A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5022"/>
    <w:rsid w:val="00AA6134"/>
    <w:rsid w:val="00AA629F"/>
    <w:rsid w:val="00AA652A"/>
    <w:rsid w:val="00AB1184"/>
    <w:rsid w:val="00AB1279"/>
    <w:rsid w:val="00AB306E"/>
    <w:rsid w:val="00AB4050"/>
    <w:rsid w:val="00AB5A57"/>
    <w:rsid w:val="00AB5F85"/>
    <w:rsid w:val="00AC0927"/>
    <w:rsid w:val="00AC0B3A"/>
    <w:rsid w:val="00AC0FEE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2BB5"/>
    <w:rsid w:val="00AD4E20"/>
    <w:rsid w:val="00AD50EE"/>
    <w:rsid w:val="00AD7086"/>
    <w:rsid w:val="00AD77F4"/>
    <w:rsid w:val="00AE0032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4D3E"/>
    <w:rsid w:val="00B35710"/>
    <w:rsid w:val="00B377EC"/>
    <w:rsid w:val="00B411DF"/>
    <w:rsid w:val="00B44E8E"/>
    <w:rsid w:val="00B453FA"/>
    <w:rsid w:val="00B46B99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6F98"/>
    <w:rsid w:val="00B579C9"/>
    <w:rsid w:val="00B6008F"/>
    <w:rsid w:val="00B6110C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6E4"/>
    <w:rsid w:val="00BC3FCE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03B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3C68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3652A"/>
    <w:rsid w:val="00C402CE"/>
    <w:rsid w:val="00C4171F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0B42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A77DD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541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795"/>
    <w:rsid w:val="00D41FCD"/>
    <w:rsid w:val="00D42EDB"/>
    <w:rsid w:val="00D43E64"/>
    <w:rsid w:val="00D441D6"/>
    <w:rsid w:val="00D453AA"/>
    <w:rsid w:val="00D45668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07A3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0910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51B0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4B7E"/>
    <w:rsid w:val="00E15AFC"/>
    <w:rsid w:val="00E16B04"/>
    <w:rsid w:val="00E17919"/>
    <w:rsid w:val="00E200C4"/>
    <w:rsid w:val="00E20116"/>
    <w:rsid w:val="00E21A8C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142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5ACD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F5E"/>
    <w:rsid w:val="00EA4B47"/>
    <w:rsid w:val="00EA4D00"/>
    <w:rsid w:val="00EA57AF"/>
    <w:rsid w:val="00EA5F72"/>
    <w:rsid w:val="00EA6927"/>
    <w:rsid w:val="00EA6E7A"/>
    <w:rsid w:val="00EA745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399"/>
    <w:rsid w:val="00EF6592"/>
    <w:rsid w:val="00F002C1"/>
    <w:rsid w:val="00F0055D"/>
    <w:rsid w:val="00F00655"/>
    <w:rsid w:val="00F0114E"/>
    <w:rsid w:val="00F0145F"/>
    <w:rsid w:val="00F017ED"/>
    <w:rsid w:val="00F025AA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32E"/>
    <w:rsid w:val="00F465EF"/>
    <w:rsid w:val="00F46B41"/>
    <w:rsid w:val="00F475D1"/>
    <w:rsid w:val="00F477EE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030"/>
    <w:rsid w:val="00F72999"/>
    <w:rsid w:val="00F72D1D"/>
    <w:rsid w:val="00F738FC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7F5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417CE2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sionaustralia.com.au/what-we-do/children-youth-families-and-communities/keeping-children-and-young-people-sa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C4A16D17E8419442D7717BA10AA9" ma:contentTypeVersion="13" ma:contentTypeDescription="Create a new document." ma:contentTypeScope="" ma:versionID="07c167b4fc6bd3ff6d099fe6c0af59da">
  <xsd:schema xmlns:xsd="http://www.w3.org/2001/XMLSchema" xmlns:xs="http://www.w3.org/2001/XMLSchema" xmlns:p="http://schemas.microsoft.com/office/2006/metadata/properties" xmlns:ns3="6a8d6e8b-b664-4100-beb9-f030da1ac8d1" xmlns:ns4="21ad8933-00f9-4a85-9191-0e0a5b382344" targetNamespace="http://schemas.microsoft.com/office/2006/metadata/properties" ma:root="true" ma:fieldsID="124ea8908d5360f3e321d9dd1ba1c3f8" ns3:_="" ns4:_="">
    <xsd:import namespace="6a8d6e8b-b664-4100-beb9-f030da1ac8d1"/>
    <xsd:import namespace="21ad8933-00f9-4a85-9191-0e0a5b382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6e8b-b664-4100-beb9-f030da1ac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8933-00f9-4a85-9191-0e0a5b382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E6CC0-D35A-4D5A-88F2-ED5AD225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4CCD9-F3C1-46E6-A0A8-573512302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d6e8b-b664-4100-beb9-f030da1ac8d1"/>
    <ds:schemaRef ds:uri="21ad8933-00f9-4a85-9191-0e0a5b382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85B27-32E1-44B6-ADA4-6046FB79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Maria Mazzone</cp:lastModifiedBy>
  <cp:revision>2</cp:revision>
  <cp:lastPrinted>2014-03-03T01:31:00Z</cp:lastPrinted>
  <dcterms:created xsi:type="dcterms:W3CDTF">2021-06-03T05:06:00Z</dcterms:created>
  <dcterms:modified xsi:type="dcterms:W3CDTF">2021-06-03T05:06:00Z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0x010100816CC4A16D17E8419442D7717BA10AA9</vt:lpwstr>
  </property>
</Properties>
</file>