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0E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231A586B" wp14:editId="44BED757">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12D63EBA"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40311A8C"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698E5CE3" w14:textId="77777777" w:rsidTr="000C510C">
        <w:tc>
          <w:tcPr>
            <w:tcW w:w="2802" w:type="dxa"/>
            <w:vAlign w:val="center"/>
          </w:tcPr>
          <w:p w14:paraId="36D4307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0553591D" w14:textId="77777777" w:rsidR="001564EA" w:rsidRPr="003B6E0C" w:rsidRDefault="00D136F3" w:rsidP="000C510C">
            <w:pPr>
              <w:ind w:left="34"/>
              <w:rPr>
                <w:rFonts w:ascii="Century Gothic" w:hAnsi="Century Gothic" w:cs="Gill Sans"/>
                <w:sz w:val="32"/>
              </w:rPr>
            </w:pPr>
            <w:r>
              <w:rPr>
                <w:rFonts w:ascii="Century Gothic" w:hAnsi="Century Gothic" w:cs="Gill Sans"/>
                <w:sz w:val="32"/>
              </w:rPr>
              <w:t>Safe at Home Legal Practitioner</w:t>
            </w:r>
          </w:p>
        </w:tc>
      </w:tr>
      <w:tr w:rsidR="001564EA" w:rsidRPr="003B6E0C" w14:paraId="05D33D83" w14:textId="77777777" w:rsidTr="000C510C">
        <w:tc>
          <w:tcPr>
            <w:tcW w:w="2802" w:type="dxa"/>
            <w:vAlign w:val="center"/>
          </w:tcPr>
          <w:p w14:paraId="158E68E1"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135A2F3F" w14:textId="0E6C7725" w:rsidR="001564EA" w:rsidRPr="003B6E0C" w:rsidRDefault="0003739B" w:rsidP="0003739B">
            <w:pPr>
              <w:rPr>
                <w:rFonts w:ascii="Century Gothic" w:hAnsi="Century Gothic" w:cs="Gill Sans"/>
                <w:sz w:val="24"/>
                <w:szCs w:val="24"/>
              </w:rPr>
            </w:pPr>
            <w:r>
              <w:rPr>
                <w:rFonts w:ascii="Century Gothic" w:hAnsi="Century Gothic" w:cs="Gill Sans"/>
                <w:sz w:val="24"/>
                <w:szCs w:val="24"/>
              </w:rPr>
              <w:t>000361, 002941</w:t>
            </w:r>
            <w:r w:rsidR="00D136F3">
              <w:rPr>
                <w:rFonts w:ascii="Century Gothic" w:hAnsi="Century Gothic" w:cs="Gill Sans"/>
                <w:sz w:val="24"/>
                <w:szCs w:val="24"/>
              </w:rPr>
              <w:t>, 003327, 003328, 003325, 003326</w:t>
            </w:r>
            <w:r w:rsidR="00982F2A">
              <w:rPr>
                <w:rFonts w:ascii="Century Gothic" w:hAnsi="Century Gothic" w:cs="Gill Sans"/>
                <w:sz w:val="24"/>
                <w:szCs w:val="24"/>
              </w:rPr>
              <w:t>, 004330</w:t>
            </w:r>
            <w:r w:rsidR="00604279">
              <w:rPr>
                <w:rFonts w:ascii="Century Gothic" w:hAnsi="Century Gothic" w:cs="Gill Sans"/>
                <w:sz w:val="24"/>
                <w:szCs w:val="24"/>
              </w:rPr>
              <w:t>, 004462, 004463</w:t>
            </w:r>
          </w:p>
        </w:tc>
      </w:tr>
      <w:tr w:rsidR="001564EA" w:rsidRPr="003B6E0C" w14:paraId="02A6A90C" w14:textId="77777777" w:rsidTr="000C510C">
        <w:trPr>
          <w:trHeight w:val="406"/>
        </w:trPr>
        <w:tc>
          <w:tcPr>
            <w:tcW w:w="2802" w:type="dxa"/>
            <w:vAlign w:val="center"/>
          </w:tcPr>
          <w:p w14:paraId="13EB71D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4A7B98ED" w14:textId="77777777" w:rsidR="001564EA" w:rsidRPr="003B6E0C" w:rsidRDefault="00D136F3" w:rsidP="00D136F3">
            <w:pPr>
              <w:ind w:left="34"/>
              <w:rPr>
                <w:rFonts w:ascii="Century Gothic" w:hAnsi="Century Gothic" w:cs="Gill Sans"/>
                <w:sz w:val="24"/>
                <w:szCs w:val="24"/>
              </w:rPr>
            </w:pPr>
            <w:r>
              <w:rPr>
                <w:rFonts w:ascii="Century Gothic" w:hAnsi="Century Gothic" w:cs="Gill Sans"/>
                <w:sz w:val="24"/>
                <w:szCs w:val="24"/>
              </w:rPr>
              <w:t xml:space="preserve">Southern, Northern, Western </w:t>
            </w:r>
          </w:p>
        </w:tc>
      </w:tr>
      <w:tr w:rsidR="001564EA" w:rsidRPr="003B6E0C" w14:paraId="2665A3FF" w14:textId="77777777" w:rsidTr="000C510C">
        <w:tc>
          <w:tcPr>
            <w:tcW w:w="2802" w:type="dxa"/>
            <w:vAlign w:val="center"/>
          </w:tcPr>
          <w:p w14:paraId="4EAFE8E1"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4D85F06F" w14:textId="77777777" w:rsidR="001564EA" w:rsidRPr="003B6E0C" w:rsidRDefault="00D136F3" w:rsidP="000C510C">
            <w:pPr>
              <w:ind w:left="34"/>
              <w:rPr>
                <w:rFonts w:ascii="Century Gothic" w:hAnsi="Century Gothic" w:cs="Gill Sans"/>
                <w:sz w:val="24"/>
                <w:szCs w:val="24"/>
              </w:rPr>
            </w:pPr>
            <w:r>
              <w:rPr>
                <w:rFonts w:ascii="Century Gothic" w:hAnsi="Century Gothic" w:cs="Gill Sans"/>
                <w:sz w:val="24"/>
                <w:szCs w:val="24"/>
              </w:rPr>
              <w:t>Prosecution Services</w:t>
            </w:r>
          </w:p>
        </w:tc>
      </w:tr>
      <w:tr w:rsidR="001564EA" w:rsidRPr="003B6E0C" w14:paraId="7BCA4251" w14:textId="77777777" w:rsidTr="000C510C">
        <w:tc>
          <w:tcPr>
            <w:tcW w:w="2802" w:type="dxa"/>
            <w:vAlign w:val="center"/>
          </w:tcPr>
          <w:p w14:paraId="2451470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5D1EA5C4" w14:textId="77777777" w:rsidR="001564EA" w:rsidRPr="003B6E0C" w:rsidRDefault="00D136F3" w:rsidP="000C510C">
            <w:pPr>
              <w:ind w:left="34"/>
              <w:rPr>
                <w:rFonts w:ascii="Century Gothic" w:hAnsi="Century Gothic" w:cs="Gill Sans"/>
                <w:sz w:val="24"/>
                <w:szCs w:val="24"/>
              </w:rPr>
            </w:pPr>
            <w:r>
              <w:rPr>
                <w:rFonts w:ascii="Century Gothic" w:hAnsi="Century Gothic" w:cs="Gill Sans"/>
                <w:sz w:val="24"/>
                <w:szCs w:val="24"/>
              </w:rPr>
              <w:t>South, North, West</w:t>
            </w:r>
          </w:p>
        </w:tc>
      </w:tr>
      <w:tr w:rsidR="001564EA" w:rsidRPr="003B6E0C" w14:paraId="09A4E742" w14:textId="77777777" w:rsidTr="000C510C">
        <w:tc>
          <w:tcPr>
            <w:tcW w:w="2802" w:type="dxa"/>
            <w:vAlign w:val="center"/>
          </w:tcPr>
          <w:p w14:paraId="195F0FC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6EECB33C" w14:textId="77777777" w:rsidR="001564EA" w:rsidRPr="003B6E0C" w:rsidRDefault="00D136F3" w:rsidP="000C510C">
            <w:pPr>
              <w:ind w:left="34"/>
              <w:rPr>
                <w:rFonts w:ascii="Century Gothic" w:hAnsi="Century Gothic" w:cs="Gill Sans"/>
                <w:sz w:val="24"/>
                <w:szCs w:val="24"/>
              </w:rPr>
            </w:pPr>
            <w:r>
              <w:rPr>
                <w:rFonts w:ascii="Century Gothic" w:hAnsi="Century Gothic" w:cs="Gill Sans"/>
                <w:sz w:val="24"/>
                <w:szCs w:val="24"/>
              </w:rPr>
              <w:t>Inspector / Principal Legal Officer</w:t>
            </w:r>
          </w:p>
        </w:tc>
      </w:tr>
      <w:tr w:rsidR="001564EA" w:rsidRPr="003B6E0C" w14:paraId="5082C7E2" w14:textId="77777777" w:rsidTr="000C510C">
        <w:tc>
          <w:tcPr>
            <w:tcW w:w="2802" w:type="dxa"/>
            <w:vAlign w:val="center"/>
          </w:tcPr>
          <w:p w14:paraId="1648762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74EA0305"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69E577A1" w14:textId="77777777" w:rsidTr="000C510C">
        <w:tc>
          <w:tcPr>
            <w:tcW w:w="2802" w:type="dxa"/>
            <w:vAlign w:val="center"/>
          </w:tcPr>
          <w:p w14:paraId="443B06B0"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277C62C2" w14:textId="7D70784F" w:rsidR="001564EA" w:rsidRPr="003B6E0C" w:rsidRDefault="00D136F3" w:rsidP="000C510C">
            <w:pPr>
              <w:ind w:left="34"/>
              <w:rPr>
                <w:rFonts w:ascii="Century Gothic" w:hAnsi="Century Gothic" w:cs="Gill Sans"/>
                <w:sz w:val="24"/>
                <w:szCs w:val="24"/>
              </w:rPr>
            </w:pPr>
            <w:r>
              <w:rPr>
                <w:rFonts w:ascii="Century Gothic" w:hAnsi="Century Gothic" w:cs="Gill Sans"/>
                <w:sz w:val="24"/>
                <w:szCs w:val="24"/>
              </w:rPr>
              <w:t xml:space="preserve">Full-time, </w:t>
            </w:r>
            <w:r w:rsidR="00604279">
              <w:rPr>
                <w:rFonts w:ascii="Century Gothic" w:hAnsi="Century Gothic" w:cs="Gill Sans"/>
                <w:sz w:val="24"/>
                <w:szCs w:val="24"/>
              </w:rPr>
              <w:t>P</w:t>
            </w:r>
            <w:r>
              <w:rPr>
                <w:rFonts w:ascii="Century Gothic" w:hAnsi="Century Gothic" w:cs="Gill Sans"/>
                <w:sz w:val="24"/>
                <w:szCs w:val="24"/>
              </w:rPr>
              <w:t xml:space="preserve">art-time, </w:t>
            </w:r>
            <w:r w:rsidR="00604279">
              <w:rPr>
                <w:rFonts w:ascii="Century Gothic" w:hAnsi="Century Gothic" w:cs="Gill Sans"/>
                <w:sz w:val="24"/>
                <w:szCs w:val="24"/>
              </w:rPr>
              <w:t>P</w:t>
            </w:r>
            <w:r>
              <w:rPr>
                <w:rFonts w:ascii="Century Gothic" w:hAnsi="Century Gothic" w:cs="Gill Sans"/>
                <w:sz w:val="24"/>
                <w:szCs w:val="24"/>
              </w:rPr>
              <w:t xml:space="preserve">ermanent, </w:t>
            </w:r>
            <w:r w:rsidR="00604279">
              <w:rPr>
                <w:rFonts w:ascii="Century Gothic" w:hAnsi="Century Gothic" w:cs="Gill Sans"/>
                <w:sz w:val="24"/>
                <w:szCs w:val="24"/>
              </w:rPr>
              <w:t>Fixed term</w:t>
            </w:r>
          </w:p>
        </w:tc>
      </w:tr>
      <w:tr w:rsidR="001564EA" w:rsidRPr="003B6E0C" w14:paraId="32EDBB71" w14:textId="77777777" w:rsidTr="000C510C">
        <w:tc>
          <w:tcPr>
            <w:tcW w:w="2802" w:type="dxa"/>
            <w:vAlign w:val="center"/>
          </w:tcPr>
          <w:p w14:paraId="232B3C7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4CBABCE7" w14:textId="77777777" w:rsidR="001564EA" w:rsidRPr="003B6E0C" w:rsidRDefault="00D136F3" w:rsidP="000C510C">
            <w:pPr>
              <w:ind w:left="34"/>
              <w:rPr>
                <w:rFonts w:ascii="Century Gothic" w:hAnsi="Century Gothic" w:cs="Gill Sans"/>
                <w:sz w:val="24"/>
                <w:szCs w:val="24"/>
              </w:rPr>
            </w:pPr>
            <w:r>
              <w:rPr>
                <w:rFonts w:ascii="Century Gothic" w:hAnsi="Century Gothic" w:cs="Gill Sans"/>
                <w:sz w:val="24"/>
                <w:szCs w:val="24"/>
              </w:rPr>
              <w:t>Level 1</w:t>
            </w:r>
          </w:p>
        </w:tc>
      </w:tr>
    </w:tbl>
    <w:p w14:paraId="653CA980" w14:textId="77777777" w:rsidR="001564EA" w:rsidRPr="003C45A6" w:rsidRDefault="001564EA" w:rsidP="001564EA">
      <w:pPr>
        <w:pBdr>
          <w:bottom w:val="single" w:sz="4" w:space="1" w:color="auto"/>
        </w:pBdr>
        <w:rPr>
          <w:rFonts w:ascii="Century Gothic" w:hAnsi="Century Gothic" w:cs="Gill Sans"/>
        </w:rPr>
      </w:pPr>
    </w:p>
    <w:p w14:paraId="633F9054" w14:textId="77777777" w:rsidR="001564EA" w:rsidRDefault="001564EA" w:rsidP="00604279">
      <w:pPr>
        <w:spacing w:before="120" w:beforeAutospacing="0" w:after="120" w:afterAutospacing="0"/>
        <w:jc w:val="both"/>
        <w:rPr>
          <w:rFonts w:ascii="Century Gothic" w:hAnsi="Century Gothic" w:cs="Gill Sans"/>
          <w:sz w:val="32"/>
        </w:rPr>
      </w:pPr>
      <w:r w:rsidRPr="003B6E0C">
        <w:rPr>
          <w:rFonts w:ascii="Century Gothic" w:hAnsi="Century Gothic" w:cs="Gill Sans"/>
          <w:b/>
          <w:sz w:val="28"/>
          <w:szCs w:val="28"/>
        </w:rPr>
        <w:t>Focus:</w:t>
      </w:r>
      <w:r w:rsidRPr="003C45A6">
        <w:rPr>
          <w:rFonts w:ascii="Century Gothic" w:hAnsi="Century Gothic" w:cs="Gill Sans"/>
          <w:sz w:val="32"/>
        </w:rPr>
        <w:t xml:space="preserve"> </w:t>
      </w:r>
      <w:r w:rsidRPr="003C45A6">
        <w:rPr>
          <w:rFonts w:ascii="Century Gothic" w:hAnsi="Century Gothic" w:cs="Gill Sans"/>
          <w:sz w:val="32"/>
        </w:rPr>
        <w:tab/>
      </w:r>
    </w:p>
    <w:p w14:paraId="1890D7E3" w14:textId="77777777" w:rsidR="00D136F3" w:rsidRDefault="00D136F3" w:rsidP="00604279">
      <w:pPr>
        <w:ind w:right="-1"/>
        <w:jc w:val="both"/>
        <w:rPr>
          <w:rFonts w:ascii="Century Gothic" w:hAnsi="Century Gothic" w:cs="Gill Sans"/>
          <w:sz w:val="24"/>
          <w:szCs w:val="24"/>
        </w:rPr>
      </w:pPr>
      <w:r w:rsidRPr="001734BD">
        <w:rPr>
          <w:rFonts w:ascii="Century Gothic" w:hAnsi="Century Gothic" w:cs="Gill Sans"/>
          <w:i/>
          <w:sz w:val="24"/>
          <w:szCs w:val="24"/>
        </w:rPr>
        <w:t>Safe at Home</w:t>
      </w:r>
      <w:r w:rsidRPr="001734BD">
        <w:rPr>
          <w:rFonts w:ascii="Century Gothic" w:hAnsi="Century Gothic" w:cs="Gill Sans"/>
          <w:sz w:val="24"/>
          <w:szCs w:val="24"/>
        </w:rPr>
        <w:t xml:space="preserve"> is a pro arrest, pro prosecution response to family violence that integrates and extends the range of services available to support victims and children.  Safe at Home Legal Practitioners will provide legal support to the Department in relation to family violence matters.</w:t>
      </w:r>
    </w:p>
    <w:p w14:paraId="07B6CC20" w14:textId="77777777" w:rsidR="00157582" w:rsidRDefault="001564EA" w:rsidP="00604279">
      <w:pPr>
        <w:spacing w:before="0" w:beforeAutospacing="0" w:after="120" w:afterAutospacing="0"/>
        <w:jc w:val="both"/>
        <w:rPr>
          <w:rFonts w:ascii="Century Gothic" w:hAnsi="Century Gothic" w:cs="Gill Sans"/>
          <w:sz w:val="32"/>
        </w:rPr>
      </w:pPr>
      <w:r w:rsidRPr="003B6E0C">
        <w:rPr>
          <w:rFonts w:ascii="Century Gothic" w:hAnsi="Century Gothic" w:cs="Gill Sans"/>
          <w:b/>
          <w:sz w:val="28"/>
          <w:szCs w:val="28"/>
        </w:rPr>
        <w:t>Primary Duties:</w:t>
      </w:r>
      <w:r w:rsidRPr="003C45A6">
        <w:rPr>
          <w:rFonts w:ascii="Century Gothic" w:hAnsi="Century Gothic" w:cs="Gill Sans"/>
          <w:sz w:val="32"/>
        </w:rPr>
        <w:tab/>
      </w:r>
      <w:r>
        <w:rPr>
          <w:rFonts w:ascii="Century Gothic" w:hAnsi="Century Gothic" w:cs="Gill Sans"/>
          <w:sz w:val="32"/>
        </w:rPr>
        <w:tab/>
      </w:r>
      <w:r>
        <w:rPr>
          <w:rFonts w:ascii="Century Gothic" w:hAnsi="Century Gothic" w:cs="Gill Sans"/>
          <w:sz w:val="32"/>
        </w:rPr>
        <w:tab/>
      </w:r>
    </w:p>
    <w:p w14:paraId="0AC1A4FF" w14:textId="77777777" w:rsidR="00D136F3" w:rsidRPr="001734BD" w:rsidRDefault="00D136F3" w:rsidP="00604279">
      <w:pPr>
        <w:keepLines w:val="0"/>
        <w:widowControl w:val="0"/>
        <w:numPr>
          <w:ilvl w:val="0"/>
          <w:numId w:val="1"/>
        </w:numPr>
        <w:overflowPunct w:val="0"/>
        <w:autoSpaceDE w:val="0"/>
        <w:autoSpaceDN w:val="0"/>
        <w:adjustRightInd w:val="0"/>
        <w:spacing w:before="240" w:beforeAutospacing="0" w:after="240" w:afterAutospacing="0"/>
        <w:ind w:left="284" w:hanging="284"/>
        <w:jc w:val="both"/>
        <w:textAlignment w:val="baseline"/>
        <w:rPr>
          <w:rFonts w:ascii="Century Gothic" w:hAnsi="Century Gothic" w:cs="Gill Sans"/>
          <w:sz w:val="24"/>
          <w:szCs w:val="24"/>
        </w:rPr>
      </w:pPr>
      <w:r w:rsidRPr="001734BD">
        <w:rPr>
          <w:rFonts w:ascii="Century Gothic" w:hAnsi="Century Gothic" w:cs="Gill Sans"/>
          <w:sz w:val="24"/>
          <w:szCs w:val="24"/>
        </w:rPr>
        <w:t>To have carriage, subject to direction, of family violence matters and liaise with complainants, police officers and other stakeholders.</w:t>
      </w:r>
    </w:p>
    <w:p w14:paraId="41E3750C" w14:textId="77777777" w:rsidR="00D136F3" w:rsidRPr="001734BD" w:rsidRDefault="00D136F3" w:rsidP="00604279">
      <w:pPr>
        <w:keepLines w:val="0"/>
        <w:widowControl w:val="0"/>
        <w:numPr>
          <w:ilvl w:val="0"/>
          <w:numId w:val="1"/>
        </w:numPr>
        <w:overflowPunct w:val="0"/>
        <w:autoSpaceDE w:val="0"/>
        <w:autoSpaceDN w:val="0"/>
        <w:adjustRightInd w:val="0"/>
        <w:spacing w:before="240" w:beforeAutospacing="0" w:after="240" w:afterAutospacing="0"/>
        <w:ind w:left="284" w:hanging="284"/>
        <w:jc w:val="both"/>
        <w:textAlignment w:val="baseline"/>
        <w:rPr>
          <w:rFonts w:ascii="Century Gothic" w:hAnsi="Century Gothic" w:cs="Gill Sans"/>
          <w:sz w:val="24"/>
          <w:szCs w:val="24"/>
        </w:rPr>
      </w:pPr>
      <w:r w:rsidRPr="001734BD">
        <w:rPr>
          <w:rFonts w:ascii="Century Gothic" w:hAnsi="Century Gothic" w:cs="Gill Sans"/>
          <w:sz w:val="24"/>
          <w:szCs w:val="24"/>
        </w:rPr>
        <w:t>To act as Prosecutor or Junior Counsel in family violence prosecutions and related proceedings.</w:t>
      </w:r>
    </w:p>
    <w:p w14:paraId="4E0E1FDB" w14:textId="77777777" w:rsidR="00D136F3" w:rsidRPr="001734BD" w:rsidRDefault="00D136F3" w:rsidP="00604279">
      <w:pPr>
        <w:keepLines w:val="0"/>
        <w:widowControl w:val="0"/>
        <w:numPr>
          <w:ilvl w:val="0"/>
          <w:numId w:val="1"/>
        </w:numPr>
        <w:overflowPunct w:val="0"/>
        <w:autoSpaceDE w:val="0"/>
        <w:autoSpaceDN w:val="0"/>
        <w:adjustRightInd w:val="0"/>
        <w:spacing w:before="240" w:beforeAutospacing="0" w:after="240" w:afterAutospacing="0"/>
        <w:ind w:left="284" w:hanging="284"/>
        <w:jc w:val="both"/>
        <w:textAlignment w:val="baseline"/>
        <w:rPr>
          <w:rFonts w:ascii="Century Gothic" w:hAnsi="Century Gothic" w:cs="Gill Sans"/>
          <w:sz w:val="24"/>
          <w:szCs w:val="24"/>
        </w:rPr>
      </w:pPr>
      <w:r w:rsidRPr="001734BD">
        <w:rPr>
          <w:rFonts w:ascii="Century Gothic" w:hAnsi="Century Gothic" w:cs="Gill Sans"/>
          <w:sz w:val="24"/>
          <w:szCs w:val="24"/>
        </w:rPr>
        <w:t xml:space="preserve">To provide legal advice and assistance to police prosecution and operational divisions in relation to family violence matters. </w:t>
      </w:r>
    </w:p>
    <w:p w14:paraId="0EE8EDE0" w14:textId="77777777" w:rsidR="00D136F3" w:rsidRPr="001734BD" w:rsidRDefault="00D136F3" w:rsidP="00604279">
      <w:pPr>
        <w:keepLines w:val="0"/>
        <w:widowControl w:val="0"/>
        <w:numPr>
          <w:ilvl w:val="0"/>
          <w:numId w:val="1"/>
        </w:numPr>
        <w:overflowPunct w:val="0"/>
        <w:autoSpaceDE w:val="0"/>
        <w:autoSpaceDN w:val="0"/>
        <w:adjustRightInd w:val="0"/>
        <w:spacing w:before="240" w:beforeAutospacing="0" w:after="240" w:afterAutospacing="0"/>
        <w:ind w:left="284" w:hanging="284"/>
        <w:jc w:val="both"/>
        <w:textAlignment w:val="baseline"/>
        <w:rPr>
          <w:rFonts w:ascii="Century Gothic" w:hAnsi="Century Gothic" w:cs="Gill Sans"/>
          <w:sz w:val="24"/>
          <w:szCs w:val="24"/>
        </w:rPr>
      </w:pPr>
      <w:r w:rsidRPr="001734BD">
        <w:rPr>
          <w:rFonts w:ascii="Century Gothic" w:hAnsi="Century Gothic" w:cs="Gill Sans"/>
          <w:sz w:val="24"/>
          <w:szCs w:val="24"/>
        </w:rPr>
        <w:t>To perform such other professional work as directed from time to time.</w:t>
      </w:r>
    </w:p>
    <w:p w14:paraId="18FA71A2" w14:textId="77777777" w:rsidR="004858F6" w:rsidRDefault="004858F6" w:rsidP="00AE6B71">
      <w:pPr>
        <w:spacing w:before="120" w:beforeAutospacing="0"/>
        <w:rPr>
          <w:rFonts w:ascii="Century Gothic" w:hAnsi="Century Gothic" w:cs="Gill Sans"/>
          <w:b/>
          <w:sz w:val="28"/>
          <w:szCs w:val="28"/>
        </w:rPr>
      </w:pPr>
    </w:p>
    <w:p w14:paraId="5AE623B9" w14:textId="77777777" w:rsidR="00157582" w:rsidRDefault="001564EA" w:rsidP="00604279">
      <w:pPr>
        <w:spacing w:before="120" w:beforeAutospacing="0"/>
        <w:jc w:val="both"/>
        <w:rPr>
          <w:rFonts w:ascii="Century Gothic" w:hAnsi="Century Gothic" w:cs="Gill Sans"/>
          <w:sz w:val="32"/>
        </w:rPr>
      </w:pPr>
      <w:r w:rsidRPr="00D81CD4">
        <w:rPr>
          <w:rFonts w:ascii="Century Gothic" w:hAnsi="Century Gothic" w:cs="Gill Sans"/>
          <w:b/>
          <w:sz w:val="28"/>
          <w:szCs w:val="28"/>
        </w:rPr>
        <w:lastRenderedPageBreak/>
        <w:t>Scope of Work</w:t>
      </w:r>
      <w:r w:rsidRPr="00D81CD4">
        <w:rPr>
          <w:rFonts w:ascii="Century Gothic" w:hAnsi="Century Gothic" w:cs="Gill Sans"/>
          <w:b/>
          <w:sz w:val="32"/>
        </w:rPr>
        <w:t>:</w:t>
      </w:r>
      <w:r w:rsidRPr="003C45A6">
        <w:rPr>
          <w:rFonts w:ascii="Century Gothic" w:hAnsi="Century Gothic" w:cs="Gill Sans"/>
          <w:sz w:val="32"/>
        </w:rPr>
        <w:tab/>
      </w:r>
    </w:p>
    <w:p w14:paraId="49F5622C" w14:textId="0AD434F0" w:rsidR="001564EA" w:rsidRPr="004858F6" w:rsidRDefault="00D136F3" w:rsidP="00604279">
      <w:pPr>
        <w:ind w:right="-1"/>
        <w:jc w:val="both"/>
        <w:rPr>
          <w:rFonts w:ascii="Century Gothic" w:hAnsi="Century Gothic" w:cs="Gill Sans"/>
          <w:sz w:val="24"/>
          <w:szCs w:val="24"/>
        </w:rPr>
      </w:pPr>
      <w:r w:rsidRPr="001734BD">
        <w:rPr>
          <w:rFonts w:ascii="Century Gothic" w:hAnsi="Century Gothic" w:cs="Gill Sans"/>
          <w:sz w:val="24"/>
          <w:szCs w:val="24"/>
        </w:rPr>
        <w:t xml:space="preserve">The position(s) is located within Prosecution Services </w:t>
      </w:r>
      <w:r w:rsidR="001734BD" w:rsidRPr="001734BD">
        <w:rPr>
          <w:rFonts w:ascii="Century Gothic" w:hAnsi="Century Gothic" w:cs="Gill Sans"/>
          <w:sz w:val="24"/>
          <w:szCs w:val="24"/>
        </w:rPr>
        <w:t>state-wide</w:t>
      </w:r>
      <w:r w:rsidRPr="001734BD">
        <w:rPr>
          <w:rFonts w:ascii="Century Gothic" w:hAnsi="Century Gothic" w:cs="Gill Sans"/>
          <w:sz w:val="24"/>
          <w:szCs w:val="24"/>
        </w:rPr>
        <w:t xml:space="preserve">.  The nature of the duties of this position </w:t>
      </w:r>
      <w:r w:rsidR="00604279" w:rsidRPr="001734BD">
        <w:rPr>
          <w:rFonts w:ascii="Century Gothic" w:hAnsi="Century Gothic" w:cs="Gill Sans"/>
          <w:sz w:val="24"/>
          <w:szCs w:val="24"/>
        </w:rPr>
        <w:t>requires</w:t>
      </w:r>
      <w:r w:rsidRPr="001734BD">
        <w:rPr>
          <w:rFonts w:ascii="Century Gothic" w:hAnsi="Century Gothic" w:cs="Gill Sans"/>
          <w:sz w:val="24"/>
          <w:szCs w:val="24"/>
        </w:rPr>
        <w:t xml:space="preserve"> deadlines to be met in an environment of competing priorities which may result in flexible hours of work and/or, to a lesser extent, out of hours work.</w:t>
      </w:r>
    </w:p>
    <w:p w14:paraId="65C41663" w14:textId="77777777" w:rsidR="001564EA" w:rsidRPr="00D81CD4" w:rsidRDefault="001564EA" w:rsidP="00604279">
      <w:pPr>
        <w:spacing w:before="0" w:beforeAutospacing="0" w:after="120" w:afterAutospacing="0"/>
        <w:jc w:val="both"/>
        <w:rPr>
          <w:rFonts w:ascii="Century Gothic" w:hAnsi="Century Gothic" w:cs="Gill Sans"/>
          <w:b/>
          <w:sz w:val="28"/>
          <w:szCs w:val="28"/>
        </w:rPr>
      </w:pPr>
      <w:r w:rsidRPr="00D81CD4">
        <w:rPr>
          <w:rFonts w:ascii="Century Gothic" w:hAnsi="Century Gothic" w:cs="Gill Sans"/>
          <w:b/>
          <w:sz w:val="28"/>
          <w:szCs w:val="28"/>
        </w:rPr>
        <w:t>Direction and Supervision</w:t>
      </w:r>
    </w:p>
    <w:p w14:paraId="2E9BBD17" w14:textId="2B7E4807" w:rsidR="001564EA" w:rsidRPr="004858F6" w:rsidRDefault="00D136F3" w:rsidP="00604279">
      <w:pPr>
        <w:ind w:right="-1"/>
        <w:jc w:val="both"/>
        <w:rPr>
          <w:rFonts w:ascii="Century Gothic" w:hAnsi="Century Gothic" w:cs="Gill Sans"/>
          <w:sz w:val="24"/>
          <w:szCs w:val="24"/>
        </w:rPr>
      </w:pPr>
      <w:r w:rsidRPr="001734BD">
        <w:rPr>
          <w:rFonts w:ascii="Century Gothic" w:hAnsi="Century Gothic" w:cs="Gill Sans"/>
          <w:sz w:val="24"/>
          <w:szCs w:val="24"/>
        </w:rPr>
        <w:t xml:space="preserve">In accordance with briefings given on specific assignments, work under limited supervision but otherwise acting on initiative in the </w:t>
      </w:r>
      <w:r w:rsidR="00604279" w:rsidRPr="001734BD">
        <w:rPr>
          <w:rFonts w:ascii="Century Gothic" w:hAnsi="Century Gothic" w:cs="Gill Sans"/>
          <w:sz w:val="24"/>
          <w:szCs w:val="24"/>
        </w:rPr>
        <w:t>day-to-day</w:t>
      </w:r>
      <w:r w:rsidRPr="001734BD">
        <w:rPr>
          <w:rFonts w:ascii="Century Gothic" w:hAnsi="Century Gothic" w:cs="Gill Sans"/>
          <w:sz w:val="24"/>
          <w:szCs w:val="24"/>
        </w:rPr>
        <w:t xml:space="preserve"> environment.  Day-to-day decision-making in connection with the primary tasks.</w:t>
      </w:r>
    </w:p>
    <w:p w14:paraId="27B1EF21" w14:textId="77777777" w:rsidR="00317C70" w:rsidRDefault="00157582" w:rsidP="00604279">
      <w:pPr>
        <w:spacing w:before="120" w:beforeAutospacing="0"/>
        <w:ind w:left="3600" w:hanging="3600"/>
        <w:jc w:val="both"/>
        <w:rPr>
          <w:rFonts w:ascii="Century Gothic" w:hAnsi="Century Gothic" w:cs="Gill Sans"/>
          <w:b/>
          <w:sz w:val="28"/>
          <w:szCs w:val="28"/>
        </w:rPr>
      </w:pPr>
      <w:r>
        <w:rPr>
          <w:rFonts w:ascii="Century Gothic" w:hAnsi="Century Gothic" w:cs="Gill Sans"/>
          <w:b/>
          <w:sz w:val="28"/>
          <w:szCs w:val="28"/>
        </w:rPr>
        <w:t>Selection Criteria</w:t>
      </w:r>
    </w:p>
    <w:p w14:paraId="702F7B4F" w14:textId="77777777" w:rsidR="001734BD"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D136F3">
        <w:rPr>
          <w:rFonts w:ascii="Century Gothic" w:hAnsi="Century Gothic" w:cs="Gill Sans"/>
          <w:sz w:val="24"/>
          <w:szCs w:val="24"/>
        </w:rPr>
        <w:t>Working knowledge of the law and</w:t>
      </w:r>
      <w:r>
        <w:rPr>
          <w:rFonts w:ascii="Century Gothic" w:hAnsi="Century Gothic" w:cs="Gill Sans"/>
          <w:sz w:val="24"/>
          <w:szCs w:val="24"/>
        </w:rPr>
        <w:t xml:space="preserve"> procedures of the Lower Courts.</w:t>
      </w:r>
    </w:p>
    <w:p w14:paraId="689A79FC" w14:textId="77777777" w:rsidR="001734BD" w:rsidRDefault="001734BD" w:rsidP="00604279">
      <w:pPr>
        <w:keepLines w:val="0"/>
        <w:widowControl w:val="0"/>
        <w:tabs>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0946B528" w14:textId="77777777" w:rsidR="001734BD"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1734BD">
        <w:rPr>
          <w:rFonts w:ascii="Century Gothic" w:hAnsi="Century Gothic" w:cs="Gill Sans"/>
          <w:sz w:val="24"/>
          <w:szCs w:val="24"/>
        </w:rPr>
        <w:t>An appropriate level of advocacy and negotiation skills.</w:t>
      </w:r>
    </w:p>
    <w:p w14:paraId="78A075A0" w14:textId="77777777" w:rsidR="001734BD" w:rsidRDefault="001734BD" w:rsidP="00604279">
      <w:pPr>
        <w:keepLines w:val="0"/>
        <w:widowControl w:val="0"/>
        <w:tabs>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3ECD80DF" w14:textId="649345AB" w:rsidR="001734BD" w:rsidRPr="001734BD"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1734BD">
        <w:rPr>
          <w:rFonts w:ascii="Century Gothic" w:hAnsi="Century Gothic" w:cs="Gill Sans"/>
          <w:sz w:val="24"/>
          <w:szCs w:val="24"/>
        </w:rPr>
        <w:t xml:space="preserve">Sound communication skills, both written and oral with ability to relate and liaise positively with complainants, </w:t>
      </w:r>
      <w:r w:rsidR="00604279" w:rsidRPr="001734BD">
        <w:rPr>
          <w:rFonts w:ascii="Century Gothic" w:hAnsi="Century Gothic" w:cs="Gill Sans"/>
          <w:sz w:val="24"/>
          <w:szCs w:val="24"/>
        </w:rPr>
        <w:t>witnesses,</w:t>
      </w:r>
      <w:r w:rsidRPr="001734BD">
        <w:rPr>
          <w:rFonts w:ascii="Century Gothic" w:hAnsi="Century Gothic" w:cs="Gill Sans"/>
          <w:sz w:val="24"/>
          <w:szCs w:val="24"/>
        </w:rPr>
        <w:t xml:space="preserve"> and victims of crime.</w:t>
      </w:r>
    </w:p>
    <w:p w14:paraId="6CD5CDB1" w14:textId="77777777" w:rsidR="001734BD" w:rsidRDefault="001734BD" w:rsidP="00604279">
      <w:pPr>
        <w:keepLines w:val="0"/>
        <w:widowControl w:val="0"/>
        <w:tabs>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6140E19B" w14:textId="77777777" w:rsidR="001734BD"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1734BD">
        <w:rPr>
          <w:rFonts w:ascii="Century Gothic" w:hAnsi="Century Gothic" w:cs="Gill Sans"/>
          <w:sz w:val="24"/>
          <w:szCs w:val="24"/>
        </w:rPr>
        <w:t>Computer literacy skills appropriate to the independent performance of tasks required of the position.</w:t>
      </w:r>
    </w:p>
    <w:p w14:paraId="111BDD24" w14:textId="77777777" w:rsidR="001734BD" w:rsidRDefault="001734BD" w:rsidP="00604279">
      <w:pPr>
        <w:keepLines w:val="0"/>
        <w:widowControl w:val="0"/>
        <w:tabs>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74FF5BC8" w14:textId="2457FDA7" w:rsidR="001734BD"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1734BD">
        <w:rPr>
          <w:rFonts w:ascii="Century Gothic" w:hAnsi="Century Gothic" w:cs="Gill Sans"/>
          <w:sz w:val="24"/>
          <w:szCs w:val="24"/>
        </w:rPr>
        <w:t xml:space="preserve">Demonstrated organisational skills which enable the co-ordination and management of a variety of tasks at the same </w:t>
      </w:r>
      <w:r w:rsidR="00604279" w:rsidRPr="001734BD">
        <w:rPr>
          <w:rFonts w:ascii="Century Gothic" w:hAnsi="Century Gothic" w:cs="Gill Sans"/>
          <w:sz w:val="24"/>
          <w:szCs w:val="24"/>
        </w:rPr>
        <w:t>time and</w:t>
      </w:r>
      <w:r w:rsidRPr="001734BD">
        <w:rPr>
          <w:rFonts w:ascii="Century Gothic" w:hAnsi="Century Gothic" w:cs="Gill Sans"/>
          <w:sz w:val="24"/>
          <w:szCs w:val="24"/>
        </w:rPr>
        <w:t xml:space="preserve"> planning the completion of work activities within pre-determined timeframes and to specified performance standards.</w:t>
      </w:r>
    </w:p>
    <w:p w14:paraId="03710038" w14:textId="77777777" w:rsidR="001734BD" w:rsidRDefault="001734BD" w:rsidP="00604279">
      <w:pPr>
        <w:keepLines w:val="0"/>
        <w:widowControl w:val="0"/>
        <w:tabs>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p>
    <w:p w14:paraId="212221DD" w14:textId="7BAD03CF" w:rsidR="00317C70" w:rsidRPr="004858F6" w:rsidRDefault="00D136F3" w:rsidP="00604279">
      <w:pPr>
        <w:keepLines w:val="0"/>
        <w:widowControl w:val="0"/>
        <w:numPr>
          <w:ilvl w:val="0"/>
          <w:numId w:val="2"/>
        </w:numPr>
        <w:tabs>
          <w:tab w:val="clear" w:pos="720"/>
          <w:tab w:val="num" w:pos="426"/>
        </w:tabs>
        <w:overflowPunct w:val="0"/>
        <w:autoSpaceDE w:val="0"/>
        <w:autoSpaceDN w:val="0"/>
        <w:adjustRightInd w:val="0"/>
        <w:spacing w:before="0" w:beforeAutospacing="0" w:after="0" w:afterAutospacing="0"/>
        <w:ind w:left="284" w:right="-1" w:hanging="284"/>
        <w:jc w:val="both"/>
        <w:textAlignment w:val="baseline"/>
        <w:rPr>
          <w:rFonts w:ascii="Century Gothic" w:hAnsi="Century Gothic" w:cs="Gill Sans"/>
          <w:sz w:val="24"/>
          <w:szCs w:val="24"/>
        </w:rPr>
      </w:pPr>
      <w:r w:rsidRPr="001734BD">
        <w:rPr>
          <w:rFonts w:ascii="Century Gothic" w:hAnsi="Century Gothic" w:cs="Gill Sans"/>
          <w:sz w:val="24"/>
          <w:szCs w:val="24"/>
        </w:rPr>
        <w:t xml:space="preserve">Initiative, </w:t>
      </w:r>
      <w:r w:rsidR="00604279" w:rsidRPr="001734BD">
        <w:rPr>
          <w:rFonts w:ascii="Century Gothic" w:hAnsi="Century Gothic" w:cs="Gill Sans"/>
          <w:sz w:val="24"/>
          <w:szCs w:val="24"/>
        </w:rPr>
        <w:t>resourcefulness,</w:t>
      </w:r>
      <w:r w:rsidRPr="001734BD">
        <w:rPr>
          <w:rFonts w:ascii="Century Gothic" w:hAnsi="Century Gothic" w:cs="Gill Sans"/>
          <w:sz w:val="24"/>
          <w:szCs w:val="24"/>
        </w:rPr>
        <w:t xml:space="preserve"> and ability to determine overall strategies, </w:t>
      </w:r>
      <w:r w:rsidR="00604279" w:rsidRPr="001734BD">
        <w:rPr>
          <w:rFonts w:ascii="Century Gothic" w:hAnsi="Century Gothic" w:cs="Gill Sans"/>
          <w:sz w:val="24"/>
          <w:szCs w:val="24"/>
        </w:rPr>
        <w:t>priorities,</w:t>
      </w:r>
      <w:r w:rsidRPr="001734BD">
        <w:rPr>
          <w:rFonts w:ascii="Century Gothic" w:hAnsi="Century Gothic" w:cs="Gill Sans"/>
          <w:sz w:val="24"/>
          <w:szCs w:val="24"/>
        </w:rPr>
        <w:t xml:space="preserve"> and work standards.</w:t>
      </w:r>
      <w:r w:rsidR="001564EA" w:rsidRPr="004858F6">
        <w:rPr>
          <w:rFonts w:ascii="Century Gothic" w:hAnsi="Century Gothic" w:cs="Gill Sans"/>
          <w:sz w:val="32"/>
        </w:rPr>
        <w:tab/>
      </w:r>
    </w:p>
    <w:p w14:paraId="3579D3A2" w14:textId="77777777" w:rsidR="004858F6" w:rsidRPr="004858F6" w:rsidRDefault="004858F6" w:rsidP="00604279">
      <w:pPr>
        <w:keepLines w:val="0"/>
        <w:widowControl w:val="0"/>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p>
    <w:p w14:paraId="1DB8B81C" w14:textId="77777777" w:rsidR="00276150" w:rsidRPr="00D81CD4" w:rsidRDefault="00276150" w:rsidP="00604279">
      <w:pPr>
        <w:spacing w:before="120" w:beforeAutospacing="0"/>
        <w:ind w:left="3600" w:hanging="3600"/>
        <w:jc w:val="both"/>
        <w:rPr>
          <w:rFonts w:ascii="Century Gothic" w:hAnsi="Century Gothic" w:cs="Gill Sans"/>
          <w:b/>
          <w:sz w:val="28"/>
          <w:szCs w:val="28"/>
        </w:rPr>
      </w:pPr>
      <w:r w:rsidRPr="00D81CD4">
        <w:rPr>
          <w:rFonts w:ascii="Century Gothic" w:hAnsi="Century Gothic" w:cs="Gill Sans"/>
          <w:b/>
          <w:sz w:val="28"/>
          <w:szCs w:val="28"/>
        </w:rPr>
        <w:t>Qualifications and Experience</w:t>
      </w:r>
    </w:p>
    <w:p w14:paraId="527BBDDF" w14:textId="5F664088" w:rsidR="004858F6" w:rsidRDefault="00D136F3" w:rsidP="00604279">
      <w:pPr>
        <w:ind w:right="-1"/>
        <w:jc w:val="both"/>
        <w:rPr>
          <w:rFonts w:ascii="Century Gothic" w:hAnsi="Century Gothic" w:cs="Gill Sans"/>
          <w:sz w:val="24"/>
          <w:szCs w:val="24"/>
        </w:rPr>
      </w:pPr>
      <w:r w:rsidRPr="00D136F3">
        <w:rPr>
          <w:rFonts w:ascii="Century Gothic" w:hAnsi="Century Gothic" w:cs="Gill Sans"/>
          <w:sz w:val="24"/>
          <w:szCs w:val="24"/>
        </w:rPr>
        <w:t xml:space="preserve">Admitted, or qualified for and entitled to be admitted, to the legal profession under the provisions of the </w:t>
      </w:r>
      <w:r w:rsidRPr="00D136F3">
        <w:rPr>
          <w:rFonts w:ascii="Century Gothic" w:hAnsi="Century Gothic" w:cs="Gill Sans"/>
          <w:i/>
          <w:sz w:val="24"/>
          <w:szCs w:val="24"/>
        </w:rPr>
        <w:t>Legal Profession Act 2007</w:t>
      </w:r>
      <w:r w:rsidRPr="00D136F3">
        <w:rPr>
          <w:rFonts w:ascii="Century Gothic" w:hAnsi="Century Gothic" w:cs="Gill Sans"/>
          <w:sz w:val="24"/>
          <w:szCs w:val="24"/>
        </w:rPr>
        <w:t>.</w:t>
      </w:r>
    </w:p>
    <w:p w14:paraId="2F7F9770" w14:textId="77777777" w:rsidR="00AF4EC3" w:rsidRPr="00AF4EC3" w:rsidRDefault="00AF4EC3" w:rsidP="00AF4EC3">
      <w:pPr>
        <w:ind w:right="-1"/>
        <w:jc w:val="both"/>
        <w:rPr>
          <w:rFonts w:ascii="Century Gothic" w:hAnsi="Century Gothic" w:cs="Gill Sans"/>
          <w:b/>
          <w:sz w:val="24"/>
          <w:szCs w:val="24"/>
        </w:rPr>
      </w:pPr>
      <w:r w:rsidRPr="00AF4EC3">
        <w:rPr>
          <w:rFonts w:ascii="Century Gothic" w:hAnsi="Century Gothic" w:cs="Gill Sans"/>
          <w:b/>
          <w:sz w:val="24"/>
          <w:szCs w:val="24"/>
        </w:rPr>
        <w:t>Essential Requirements:</w:t>
      </w:r>
    </w:p>
    <w:p w14:paraId="4CE16BC5" w14:textId="77777777" w:rsidR="00AF4EC3" w:rsidRPr="00AF4EC3" w:rsidRDefault="00AF4EC3" w:rsidP="00AF4EC3">
      <w:pPr>
        <w:ind w:right="-1"/>
        <w:jc w:val="both"/>
        <w:rPr>
          <w:rFonts w:ascii="Century Gothic" w:hAnsi="Century Gothic" w:cs="Gill Sans"/>
          <w:b/>
          <w:bCs/>
          <w:sz w:val="24"/>
          <w:szCs w:val="24"/>
        </w:rPr>
      </w:pPr>
      <w:r w:rsidRPr="00AF4EC3">
        <w:rPr>
          <w:rFonts w:ascii="Century Gothic" w:hAnsi="Century Gothic" w:cs="Gill Sans"/>
          <w:b/>
          <w:bCs/>
          <w:sz w:val="24"/>
          <w:szCs w:val="24"/>
        </w:rPr>
        <w:t>Pre-Employment Checks</w:t>
      </w:r>
    </w:p>
    <w:p w14:paraId="7EF0345D" w14:textId="77777777" w:rsidR="00AF4EC3" w:rsidRPr="00AF4EC3" w:rsidRDefault="00AF4EC3" w:rsidP="00AF4EC3">
      <w:pPr>
        <w:ind w:right="-1"/>
        <w:jc w:val="both"/>
        <w:rPr>
          <w:rFonts w:ascii="Century Gothic" w:hAnsi="Century Gothic" w:cs="Gill Sans"/>
          <w:sz w:val="24"/>
          <w:szCs w:val="24"/>
        </w:rPr>
      </w:pPr>
      <w:r w:rsidRPr="00AF4EC3">
        <w:rPr>
          <w:rFonts w:ascii="Century Gothic" w:hAnsi="Century Gothic" w:cs="Gill Sans"/>
          <w:sz w:val="24"/>
          <w:szCs w:val="24"/>
        </w:rPr>
        <w:lastRenderedPageBreak/>
        <w:t>The Head of the State Service has determined that a person nominated for appointment to this position is to satisfy a pre-employment check before taking up the appointment, promotion or transfer. Any relevant serious criminal offence or repeated serious offences over any period, which are not mitigated by additional information, may provide grounds for declining an application for appointment. Such offences would include, but are not limited to:</w:t>
      </w:r>
    </w:p>
    <w:p w14:paraId="6015BEC8"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Arson and fire setting;</w:t>
      </w:r>
    </w:p>
    <w:p w14:paraId="3D44E72F"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Sexual offences;</w:t>
      </w:r>
    </w:p>
    <w:p w14:paraId="1765B877"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Dishonesty (e.g. theft, burglary, breaking and entering, fraud</w:t>
      </w:r>
      <w:proofErr w:type="gramStart"/>
      <w:r w:rsidRPr="00AF4EC3">
        <w:rPr>
          <w:rFonts w:ascii="Century Gothic" w:hAnsi="Century Gothic" w:cs="Gill Sans"/>
          <w:sz w:val="24"/>
          <w:szCs w:val="24"/>
        </w:rPr>
        <w:t>);</w:t>
      </w:r>
      <w:proofErr w:type="gramEnd"/>
    </w:p>
    <w:p w14:paraId="34625E29"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Deception (e.g. obtaining an advantage by deception</w:t>
      </w:r>
      <w:proofErr w:type="gramStart"/>
      <w:r w:rsidRPr="00AF4EC3">
        <w:rPr>
          <w:rFonts w:ascii="Century Gothic" w:hAnsi="Century Gothic" w:cs="Gill Sans"/>
          <w:sz w:val="24"/>
          <w:szCs w:val="24"/>
        </w:rPr>
        <w:t>);</w:t>
      </w:r>
      <w:proofErr w:type="gramEnd"/>
    </w:p>
    <w:p w14:paraId="3CC315D3"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Making false declarations;</w:t>
      </w:r>
    </w:p>
    <w:p w14:paraId="23290BB5"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Violent crimes and crimes against the person;</w:t>
      </w:r>
    </w:p>
    <w:p w14:paraId="78B2E03D" w14:textId="77777777" w:rsidR="00AF4EC3" w:rsidRP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Malicious damage and destruction to property</w:t>
      </w:r>
    </w:p>
    <w:p w14:paraId="01517AED" w14:textId="23A091CB" w:rsidR="00AF4EC3" w:rsidRDefault="00AF4EC3" w:rsidP="00AF4EC3">
      <w:pPr>
        <w:numPr>
          <w:ilvl w:val="0"/>
          <w:numId w:val="3"/>
        </w:numPr>
        <w:ind w:right="-1"/>
        <w:jc w:val="both"/>
        <w:rPr>
          <w:rFonts w:ascii="Century Gothic" w:hAnsi="Century Gothic" w:cs="Gill Sans"/>
          <w:sz w:val="24"/>
          <w:szCs w:val="24"/>
        </w:rPr>
      </w:pPr>
      <w:r w:rsidRPr="00AF4EC3">
        <w:rPr>
          <w:rFonts w:ascii="Century Gothic" w:hAnsi="Century Gothic" w:cs="Gill Sans"/>
          <w:sz w:val="24"/>
          <w:szCs w:val="24"/>
        </w:rPr>
        <w:t>Trafficking of narcotic substance;</w:t>
      </w:r>
    </w:p>
    <w:p w14:paraId="70C69445" w14:textId="1D4B8C49" w:rsidR="00AF4EC3" w:rsidRPr="00AF4EC3" w:rsidRDefault="00AF4EC3" w:rsidP="00AF4EC3">
      <w:pPr>
        <w:numPr>
          <w:ilvl w:val="0"/>
          <w:numId w:val="3"/>
        </w:numPr>
        <w:ind w:right="-1"/>
        <w:jc w:val="both"/>
        <w:rPr>
          <w:rFonts w:ascii="Century Gothic" w:hAnsi="Century Gothic" w:cs="Gill Sans"/>
          <w:sz w:val="24"/>
          <w:szCs w:val="24"/>
        </w:rPr>
      </w:pPr>
      <w:r>
        <w:rPr>
          <w:rFonts w:ascii="Century Gothic" w:hAnsi="Century Gothic" w:cs="Gill Sans"/>
          <w:sz w:val="24"/>
          <w:szCs w:val="24"/>
        </w:rPr>
        <w:t>False alarm raising.</w:t>
      </w:r>
    </w:p>
    <w:p w14:paraId="702FFA96" w14:textId="77777777" w:rsidR="001564EA" w:rsidRPr="00D81CD4" w:rsidRDefault="001564EA" w:rsidP="00604279">
      <w:pPr>
        <w:spacing w:before="240" w:beforeAutospacing="0" w:after="0" w:afterAutospacing="0"/>
        <w:jc w:val="both"/>
        <w:rPr>
          <w:rFonts w:ascii="Century Gothic" w:hAnsi="Century Gothic" w:cs="Gill Sans"/>
          <w:b/>
          <w:sz w:val="28"/>
          <w:szCs w:val="28"/>
        </w:rPr>
      </w:pPr>
      <w:r w:rsidRPr="00D81CD4">
        <w:rPr>
          <w:rFonts w:ascii="Century Gothic" w:hAnsi="Century Gothic" w:cs="Gill Sans"/>
          <w:b/>
          <w:sz w:val="28"/>
          <w:szCs w:val="28"/>
        </w:rPr>
        <w:t>Code of Conduct</w:t>
      </w:r>
    </w:p>
    <w:p w14:paraId="7BAD3FE1" w14:textId="55EBB511" w:rsidR="001564EA" w:rsidRPr="003C45A6" w:rsidRDefault="001564EA" w:rsidP="00604279">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w:t>
      </w:r>
      <w:r w:rsidR="00604279" w:rsidRPr="003C45A6">
        <w:rPr>
          <w:rFonts w:ascii="Century Gothic" w:hAnsi="Century Gothic" w:cs="Gill Sans"/>
          <w:sz w:val="24"/>
          <w:szCs w:val="24"/>
        </w:rPr>
        <w:t>reinforces,</w:t>
      </w:r>
      <w:r w:rsidRPr="003C45A6">
        <w:rPr>
          <w:rFonts w:ascii="Century Gothic" w:hAnsi="Century Gothic" w:cs="Gill Sans"/>
          <w:sz w:val="24"/>
          <w:szCs w:val="24"/>
        </w:rPr>
        <w:t xml:space="preserve"> and upholds the State Service Principles (s7) by establishing standards of behaviour and conduct that apply to all employees, including the person undertaking these duties, senior officers and Heads of Agency.</w:t>
      </w:r>
    </w:p>
    <w:p w14:paraId="53B02CE7" w14:textId="77777777" w:rsidR="00604279" w:rsidRPr="00D81CD4" w:rsidRDefault="00604279" w:rsidP="00604279">
      <w:pPr>
        <w:spacing w:before="240" w:beforeAutospacing="0" w:after="120" w:afterAutospacing="0"/>
        <w:jc w:val="both"/>
        <w:rPr>
          <w:rFonts w:ascii="Century Gothic" w:hAnsi="Century Gothic" w:cs="Gill Sans"/>
          <w:b/>
          <w:sz w:val="28"/>
          <w:szCs w:val="28"/>
        </w:rPr>
      </w:pPr>
      <w:r w:rsidRPr="00D81CD4">
        <w:rPr>
          <w:rFonts w:ascii="Century Gothic" w:hAnsi="Century Gothic" w:cs="Gill Sans"/>
          <w:b/>
          <w:sz w:val="28"/>
          <w:szCs w:val="28"/>
        </w:rPr>
        <w:t>Environment and Conditions</w:t>
      </w:r>
    </w:p>
    <w:p w14:paraId="28B76EF7" w14:textId="77777777" w:rsidR="00604279" w:rsidRPr="003C45A6"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2028B36D" w14:textId="5517A79E" w:rsidR="00604279" w:rsidRPr="003C45A6"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and</w:t>
      </w:r>
      <w:r w:rsidRPr="003C45A6">
        <w:rPr>
          <w:rFonts w:ascii="Century Gothic" w:hAnsi="Century Gothic" w:cs="Arial"/>
          <w:sz w:val="24"/>
        </w:rPr>
        <w:t xml:space="preserve"> improve our understanding and respect for our diverse community values and lifestyles. </w:t>
      </w:r>
    </w:p>
    <w:p w14:paraId="54783131" w14:textId="77777777" w:rsidR="00604279"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2204016A" w14:textId="77777777" w:rsidR="00604279" w:rsidRPr="001B0227" w:rsidRDefault="00604279" w:rsidP="00604279">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0EB70678" w14:textId="4108CDEE" w:rsidR="00604279" w:rsidRPr="003C45A6"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lastRenderedPageBreak/>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1E7FDD99" w14:textId="77777777" w:rsidR="00604279" w:rsidRPr="003C45A6"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2A64EC4F" w14:textId="77777777" w:rsidR="00604279" w:rsidRPr="003C45A6" w:rsidRDefault="00604279" w:rsidP="00604279">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7CCA4F3D" w14:textId="77777777" w:rsidR="00604279" w:rsidRPr="003C45A6" w:rsidRDefault="00604279" w:rsidP="00604279">
      <w:pPr>
        <w:pBdr>
          <w:top w:val="single" w:sz="6" w:space="1" w:color="auto"/>
        </w:pBdr>
        <w:jc w:val="both"/>
        <w:rPr>
          <w:rFonts w:ascii="Century Gothic" w:hAnsi="Century Gothic" w:cs="Gill Sans"/>
        </w:rPr>
      </w:pPr>
    </w:p>
    <w:p w14:paraId="784ECE5E" w14:textId="77777777" w:rsidR="00604279" w:rsidRPr="00D81CD4" w:rsidRDefault="00604279" w:rsidP="00604279">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024FEC0E" w14:textId="77777777" w:rsidR="00604279" w:rsidRPr="00D81CD4" w:rsidRDefault="00604279" w:rsidP="00604279">
      <w:pPr>
        <w:tabs>
          <w:tab w:val="left" w:pos="204"/>
          <w:tab w:val="left" w:pos="5760"/>
        </w:tabs>
        <w:rPr>
          <w:rFonts w:ascii="Century Gothic" w:hAnsi="Century Gothic" w:cs="Gill Sans"/>
          <w:b/>
          <w:sz w:val="24"/>
          <w:szCs w:val="24"/>
        </w:rPr>
      </w:pPr>
    </w:p>
    <w:p w14:paraId="4F1F8AF5" w14:textId="77777777" w:rsidR="00604279" w:rsidRPr="00D81CD4" w:rsidRDefault="00604279" w:rsidP="00604279">
      <w:pPr>
        <w:tabs>
          <w:tab w:val="left" w:pos="204"/>
        </w:tabs>
        <w:spacing w:before="120" w:after="120"/>
        <w:rPr>
          <w:rFonts w:ascii="Century Gothic" w:hAnsi="Century Gothic" w:cs="Gill Sans"/>
          <w:sz w:val="24"/>
          <w:szCs w:val="24"/>
        </w:rPr>
      </w:pPr>
      <w:r>
        <w:rPr>
          <w:rFonts w:ascii="Century Gothic" w:hAnsi="Century Gothic" w:cs="Gill Sans"/>
          <w:b/>
          <w:sz w:val="24"/>
          <w:szCs w:val="24"/>
        </w:rPr>
        <w:t>E BAKER</w:t>
      </w:r>
      <w:r>
        <w:rPr>
          <w:rFonts w:ascii="Century Gothic" w:hAnsi="Century Gothic" w:cs="Gill Sans"/>
          <w:b/>
          <w:sz w:val="24"/>
          <w:szCs w:val="24"/>
        </w:rPr>
        <w:br/>
      </w:r>
      <w:r>
        <w:rPr>
          <w:rFonts w:ascii="Century Gothic" w:hAnsi="Century Gothic" w:cs="Gill Sans"/>
          <w:sz w:val="24"/>
          <w:szCs w:val="24"/>
        </w:rPr>
        <w:t>DIRECTOR PEOPLE AND CULTURE</w:t>
      </w:r>
      <w:r>
        <w:rPr>
          <w:rFonts w:ascii="Century Gothic" w:hAnsi="Century Gothic" w:cs="Gill Sans"/>
          <w:sz w:val="24"/>
          <w:szCs w:val="24"/>
        </w:rPr>
        <w:br/>
        <w:t>BUSINESS AND EXECUTIVE SERVICES</w:t>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br/>
      </w:r>
      <w:r>
        <w:rPr>
          <w:rFonts w:ascii="Century Gothic" w:hAnsi="Century Gothic" w:cs="Gill Sans"/>
          <w:sz w:val="24"/>
          <w:szCs w:val="24"/>
        </w:rPr>
        <w:br/>
        <w:t>Date:</w:t>
      </w:r>
    </w:p>
    <w:p w14:paraId="61C02362" w14:textId="77777777" w:rsidR="001564EA" w:rsidRPr="00D81CD4" w:rsidRDefault="001564EA" w:rsidP="00604279">
      <w:pPr>
        <w:spacing w:before="240" w:beforeAutospacing="0" w:after="120" w:afterAutospacing="0"/>
        <w:rPr>
          <w:rFonts w:ascii="Century Gothic" w:hAnsi="Century Gothic" w:cs="Gill Sans"/>
          <w:sz w:val="24"/>
          <w:szCs w:val="24"/>
        </w:rPr>
      </w:pPr>
    </w:p>
    <w:sectPr w:rsidR="001564EA" w:rsidRPr="00D81CD4" w:rsidSect="00FA4FDF">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C6277" w14:textId="77777777" w:rsidR="009A4F45" w:rsidRDefault="009A4F45" w:rsidP="00FA4FDF">
      <w:pPr>
        <w:spacing w:before="0" w:after="0"/>
      </w:pPr>
      <w:r>
        <w:separator/>
      </w:r>
    </w:p>
  </w:endnote>
  <w:endnote w:type="continuationSeparator" w:id="0">
    <w:p w14:paraId="35372B8B" w14:textId="77777777" w:rsidR="009A4F45" w:rsidRDefault="009A4F45"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44F4"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31770CF3" w14:textId="270A50BC"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604279">
      <w:rPr>
        <w:rFonts w:ascii="Century Gothic" w:hAnsi="Century Gothic"/>
        <w:sz w:val="16"/>
      </w:rPr>
      <w:t>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604279">
      <w:rPr>
        <w:rFonts w:ascii="Century Gothic" w:hAnsi="Century Gothic"/>
        <w:sz w:val="16"/>
        <w:lang w:val="fr-FR"/>
      </w:rPr>
      <w:t>25 February 2021</w:t>
    </w:r>
  </w:p>
  <w:p w14:paraId="3F38849E" w14:textId="3B8E5766"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1734BD">
      <w:rPr>
        <w:rFonts w:ascii="Century Gothic" w:hAnsi="Century Gothic"/>
        <w:sz w:val="16"/>
      </w:rPr>
      <w:t>Safe at Home Legal Practitioner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604279">
      <w:rPr>
        <w:rFonts w:ascii="Century Gothic" w:hAnsi="Century Gothic"/>
        <w:sz w:val="16"/>
      </w:rPr>
      <w:t>25 February 2021</w:t>
    </w:r>
  </w:p>
  <w:p w14:paraId="76448008"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AFCD3" w14:textId="77777777" w:rsidR="009A4F45" w:rsidRDefault="009A4F45" w:rsidP="00FA4FDF">
      <w:pPr>
        <w:spacing w:before="0" w:after="0"/>
      </w:pPr>
      <w:r>
        <w:separator/>
      </w:r>
    </w:p>
  </w:footnote>
  <w:footnote w:type="continuationSeparator" w:id="0">
    <w:p w14:paraId="12B8E731" w14:textId="77777777" w:rsidR="009A4F45" w:rsidRDefault="009A4F45" w:rsidP="00FA4F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6455989">
    <w:abstractNumId w:val="2"/>
  </w:num>
  <w:num w:numId="2" w16cid:durableId="1646471586">
    <w:abstractNumId w:val="1"/>
  </w:num>
  <w:num w:numId="3" w16cid:durableId="148330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35D02"/>
    <w:rsid w:val="0003739B"/>
    <w:rsid w:val="001564EA"/>
    <w:rsid w:val="00157582"/>
    <w:rsid w:val="001734BD"/>
    <w:rsid w:val="001C1523"/>
    <w:rsid w:val="001D1E1C"/>
    <w:rsid w:val="00237ACE"/>
    <w:rsid w:val="00276150"/>
    <w:rsid w:val="00317C70"/>
    <w:rsid w:val="00483B91"/>
    <w:rsid w:val="004858F6"/>
    <w:rsid w:val="004B5AF2"/>
    <w:rsid w:val="00604279"/>
    <w:rsid w:val="00613D0D"/>
    <w:rsid w:val="00775403"/>
    <w:rsid w:val="00972411"/>
    <w:rsid w:val="00982F2A"/>
    <w:rsid w:val="009A4F45"/>
    <w:rsid w:val="00A518EA"/>
    <w:rsid w:val="00AE47E7"/>
    <w:rsid w:val="00AE6B71"/>
    <w:rsid w:val="00AF4EC3"/>
    <w:rsid w:val="00C80089"/>
    <w:rsid w:val="00D12DD4"/>
    <w:rsid w:val="00D136F3"/>
    <w:rsid w:val="00D15E28"/>
    <w:rsid w:val="00D4426A"/>
    <w:rsid w:val="00D656ED"/>
    <w:rsid w:val="00DB478E"/>
    <w:rsid w:val="00EA6E88"/>
    <w:rsid w:val="00EB111D"/>
    <w:rsid w:val="00EF1A9A"/>
    <w:rsid w:val="00F27E56"/>
    <w:rsid w:val="00F35060"/>
    <w:rsid w:val="00FA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5220B"/>
  <w15:docId w15:val="{D07DC70F-510D-4FD2-9C76-95487257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D1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4958</Characters>
  <Application>Microsoft Office Word</Application>
  <DocSecurity>0</DocSecurity>
  <Lines>128</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Williamson, Kelly</cp:lastModifiedBy>
  <cp:revision>3</cp:revision>
  <cp:lastPrinted>2024-10-15T03:41:00Z</cp:lastPrinted>
  <dcterms:created xsi:type="dcterms:W3CDTF">2024-10-15T03:41:00Z</dcterms:created>
  <dcterms:modified xsi:type="dcterms:W3CDTF">2024-10-15T03:41:00Z</dcterms:modified>
</cp:coreProperties>
</file>