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A127DD0" w:rsidR="003C0450" w:rsidRPr="00C56BF6" w:rsidRDefault="00072B85" w:rsidP="004B1E48">
            <w:pPr>
              <w:rPr>
                <w:rFonts w:ascii="Gill Sans MT" w:hAnsi="Gill Sans MT" w:cs="Gill Sans"/>
              </w:rPr>
            </w:pPr>
            <w:r>
              <w:rPr>
                <w:rFonts w:cs="Arial"/>
                <w:iCs/>
                <w:kern w:val="36"/>
                <w:lang w:eastAsia="en-AU"/>
              </w:rPr>
              <w:t>Health Promotion Consultant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BC3423D" w:rsidR="003C0450" w:rsidRPr="00C56BF6" w:rsidRDefault="00072B85" w:rsidP="004B1E48">
            <w:pPr>
              <w:rPr>
                <w:rFonts w:ascii="Gill Sans MT" w:hAnsi="Gill Sans MT" w:cs="Gill Sans"/>
              </w:rPr>
            </w:pPr>
            <w:r>
              <w:rPr>
                <w:rStyle w:val="InformationBlockChar"/>
                <w:rFonts w:eastAsiaTheme="minorHAnsi"/>
                <w:b w:val="0"/>
                <w:bCs/>
              </w:rPr>
              <w:t>507509</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EBBDAD6" w:rsidR="003C0450" w:rsidRPr="00C56BF6" w:rsidRDefault="00072B85" w:rsidP="004B1E48">
            <w:pPr>
              <w:rPr>
                <w:rFonts w:ascii="Gill Sans MT" w:hAnsi="Gill Sans MT" w:cs="Gill Sans"/>
              </w:rPr>
            </w:pPr>
            <w:r>
              <w:rPr>
                <w:rStyle w:val="InformationBlockChar"/>
                <w:rFonts w:eastAsiaTheme="minorHAnsi"/>
                <w:b w:val="0"/>
                <w:bCs/>
              </w:rPr>
              <w:t>General Stream Band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Content>
            <w:tc>
              <w:tcPr>
                <w:tcW w:w="7438" w:type="dxa"/>
              </w:tcPr>
              <w:p w14:paraId="22BB7E89" w14:textId="06AAF528" w:rsidR="003C0450" w:rsidRPr="00C56BF6" w:rsidRDefault="00072B85"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F95EAC3" w:rsidR="00B06EDE" w:rsidRPr="00072B85" w:rsidRDefault="00072B85" w:rsidP="00072B85">
            <w:pPr>
              <w:spacing w:after="0"/>
              <w:rPr>
                <w:rFonts w:ascii="Gill Sans MT" w:hAnsi="Gill Sans MT" w:cs="Times New Roman"/>
                <w:bCs/>
                <w:szCs w:val="22"/>
              </w:rPr>
            </w:pPr>
            <w:r>
              <w:rPr>
                <w:rStyle w:val="InformationBlockChar"/>
                <w:rFonts w:eastAsiaTheme="minorHAnsi"/>
                <w:b w:val="0"/>
                <w:bCs/>
              </w:rPr>
              <w:t xml:space="preserve">Hospitals North/North West – Primary Health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tc>
              <w:tcPr>
                <w:tcW w:w="7438" w:type="dxa"/>
              </w:tcPr>
              <w:p w14:paraId="38A63CFC" w14:textId="6A5294B5" w:rsidR="003C0450" w:rsidRPr="00C56BF6" w:rsidRDefault="00072B85"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Content>
            <w:tc>
              <w:tcPr>
                <w:tcW w:w="7438" w:type="dxa"/>
              </w:tcPr>
              <w:p w14:paraId="0FB4EBE4" w14:textId="4712325F" w:rsidR="003C0450" w:rsidRPr="00C56BF6" w:rsidRDefault="00072B85"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E66BA2B" w:rsidR="003C0450" w:rsidRPr="00C56BF6" w:rsidRDefault="00072B85" w:rsidP="004B1E48">
            <w:pPr>
              <w:rPr>
                <w:rFonts w:ascii="Gill Sans MT" w:hAnsi="Gill Sans MT" w:cs="Gill Sans"/>
              </w:rPr>
            </w:pPr>
            <w:r>
              <w:rPr>
                <w:rStyle w:val="InformationBlockChar"/>
                <w:rFonts w:eastAsiaTheme="minorHAnsi"/>
                <w:b w:val="0"/>
                <w:bCs/>
              </w:rPr>
              <w:t>Relevant Primary Health Area Coordinator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327612C" w:rsidR="004B1E48" w:rsidRPr="00C56BF6" w:rsidRDefault="00072B85" w:rsidP="004B1E48">
            <w:pPr>
              <w:rPr>
                <w:rFonts w:ascii="Gill Sans MT" w:hAnsi="Gill Sans MT" w:cs="Gill Sans"/>
              </w:rPr>
            </w:pPr>
            <w:r>
              <w:rPr>
                <w:rStyle w:val="InformationBlockChar"/>
                <w:rFonts w:eastAsiaTheme="minorHAnsi"/>
                <w:b w:val="0"/>
                <w:bCs/>
              </w:rPr>
              <w:t>April 2014</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Content>
            <w:tc>
              <w:tcPr>
                <w:tcW w:w="7438" w:type="dxa"/>
              </w:tcPr>
              <w:p w14:paraId="2B6C522D" w14:textId="6EFDCCA9" w:rsidR="00540344" w:rsidRPr="00C56BF6" w:rsidRDefault="00072B8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Content>
            <w:tc>
              <w:tcPr>
                <w:tcW w:w="7438" w:type="dxa"/>
              </w:tcPr>
              <w:p w14:paraId="421F5134" w14:textId="5CF623C9" w:rsidR="00540344" w:rsidRPr="00C56BF6" w:rsidRDefault="00072B85" w:rsidP="004B1E48">
                <w:pPr>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11D8D560" w14:textId="5520418D" w:rsidR="00072B85" w:rsidRPr="0022097B" w:rsidRDefault="00072B85" w:rsidP="00CA636F">
      <w:pPr>
        <w:pStyle w:val="BulletedListLevel1"/>
        <w:numPr>
          <w:ilvl w:val="0"/>
          <w:numId w:val="24"/>
        </w:numPr>
        <w:ind w:left="567" w:hanging="567"/>
      </w:pPr>
      <w:r w:rsidRPr="0022097B">
        <w:t>Contribute expertise to the development, implementation and evaluation of community development and health promotion programs primarily across the northern region of Tasmania.</w:t>
      </w:r>
      <w:r>
        <w:t xml:space="preserve"> </w:t>
      </w:r>
      <w:r w:rsidRPr="0022097B">
        <w:t>This includes supporting the Department of Health</w:t>
      </w:r>
      <w:r>
        <w:t>’s Public</w:t>
      </w:r>
      <w:r w:rsidRPr="0022097B">
        <w:t xml:space="preserve"> Health Unit in the implementation and evaluation of statewide programs, as required. </w:t>
      </w:r>
    </w:p>
    <w:p w14:paraId="467E889F" w14:textId="77777777" w:rsidR="00072B85" w:rsidRPr="0022097B" w:rsidRDefault="00072B85" w:rsidP="00CA636F">
      <w:pPr>
        <w:pStyle w:val="BulletedListLevel1"/>
        <w:numPr>
          <w:ilvl w:val="0"/>
          <w:numId w:val="24"/>
        </w:numPr>
        <w:ind w:left="567" w:hanging="567"/>
      </w:pPr>
      <w:r w:rsidRPr="0022097B">
        <w:t>Facilitate the development of health promotion skills and capacities of individuals, groups and organisations by identifying training needs and contributing to awareness and learning programs.</w:t>
      </w:r>
    </w:p>
    <w:p w14:paraId="7F4C0770" w14:textId="47D736F7" w:rsidR="00072B85" w:rsidRDefault="00072B85" w:rsidP="00CA636F">
      <w:pPr>
        <w:pStyle w:val="BulletedListLevel1"/>
        <w:numPr>
          <w:ilvl w:val="0"/>
          <w:numId w:val="24"/>
        </w:numPr>
        <w:ind w:left="567" w:hanging="567"/>
      </w:pPr>
      <w:r w:rsidRPr="0022097B">
        <w:t xml:space="preserve">Undertake a proactive role in advocating for and recommending healthy public policies and services which promote the wellbeing of individuals and communities and contribute to the improvement of the level and quality of health promotion interventions. </w:t>
      </w:r>
    </w:p>
    <w:p w14:paraId="266478B9" w14:textId="77777777" w:rsidR="00CA636F" w:rsidRPr="00B3076F" w:rsidRDefault="00CA636F" w:rsidP="00CA636F">
      <w:pPr>
        <w:pStyle w:val="BulletedListLevel1"/>
        <w:numPr>
          <w:ilvl w:val="0"/>
          <w:numId w:val="0"/>
        </w:numPr>
        <w:ind w:left="567" w:hanging="567"/>
      </w:pPr>
    </w:p>
    <w:p w14:paraId="005DD4B6" w14:textId="10DDFB31" w:rsidR="00E91AB6" w:rsidRPr="00405739" w:rsidRDefault="00E91AB6" w:rsidP="00405739">
      <w:pPr>
        <w:pStyle w:val="Heading3"/>
      </w:pPr>
      <w:r w:rsidRPr="00405739">
        <w:lastRenderedPageBreak/>
        <w:t>Duties:</w:t>
      </w:r>
    </w:p>
    <w:p w14:paraId="30683984" w14:textId="790D26AD" w:rsidR="00072B85" w:rsidRPr="0022097B" w:rsidRDefault="00072B85" w:rsidP="00CA636F">
      <w:pPr>
        <w:pStyle w:val="ListNumbered"/>
        <w:spacing w:after="120"/>
        <w:jc w:val="both"/>
      </w:pPr>
      <w:r w:rsidRPr="0022097B">
        <w:t xml:space="preserve">Facilitate </w:t>
      </w:r>
      <w:r>
        <w:t>Hospitals North/North West</w:t>
      </w:r>
      <w:r w:rsidRPr="0022097B">
        <w:t xml:space="preserve"> and statewide cross-collaboration to strengthen and support health promotion practice within the health services system and environment.</w:t>
      </w:r>
    </w:p>
    <w:p w14:paraId="29733D78" w14:textId="77777777" w:rsidR="00072B85" w:rsidRPr="0022097B" w:rsidRDefault="00072B85" w:rsidP="00CA636F">
      <w:pPr>
        <w:pStyle w:val="ListNumbered"/>
        <w:spacing w:after="120"/>
        <w:jc w:val="both"/>
      </w:pPr>
      <w:r w:rsidRPr="0022097B">
        <w:t>Provide advice to the Primary Health Management and Support Service Group on identified community needs, priority areas and strategic directions for health promotion and community development.</w:t>
      </w:r>
    </w:p>
    <w:p w14:paraId="4509E721" w14:textId="77777777" w:rsidR="00072B85" w:rsidRPr="0022097B" w:rsidRDefault="00072B85" w:rsidP="00CA636F">
      <w:pPr>
        <w:pStyle w:val="ListNumbered"/>
        <w:spacing w:after="120"/>
        <w:jc w:val="both"/>
      </w:pPr>
      <w:r w:rsidRPr="0022097B">
        <w:t>Work with services within and across the area to plan, implement, monitor and evaluate health promotion activities and programs.</w:t>
      </w:r>
    </w:p>
    <w:p w14:paraId="27F4C238" w14:textId="77777777" w:rsidR="00072B85" w:rsidRPr="0022097B" w:rsidRDefault="00072B85" w:rsidP="00CA636F">
      <w:pPr>
        <w:pStyle w:val="ListNumbered"/>
        <w:spacing w:after="120"/>
        <w:jc w:val="both"/>
      </w:pPr>
      <w:r w:rsidRPr="0022097B">
        <w:t>Liaise and consult with key stakeholders, including other government sectors, the private sector, non-government organisations and community groups to collaborate in the provision of health promotion programs.</w:t>
      </w:r>
    </w:p>
    <w:p w14:paraId="73CBA107" w14:textId="77777777" w:rsidR="00072B85" w:rsidRPr="0022097B" w:rsidRDefault="00072B85" w:rsidP="00CA636F">
      <w:pPr>
        <w:pStyle w:val="ListNumbered"/>
        <w:spacing w:after="120"/>
        <w:jc w:val="both"/>
      </w:pPr>
      <w:r w:rsidRPr="0022097B">
        <w:t>Facilitate the provision of specialist training, development and consultancy for staff in best practice planning, delivery and evaluation of health promotion programs in liaison with staff development programs.</w:t>
      </w:r>
    </w:p>
    <w:p w14:paraId="65ED7CB5" w14:textId="77777777" w:rsidR="00072B85" w:rsidRPr="0022097B" w:rsidRDefault="00072B85" w:rsidP="00CA636F">
      <w:pPr>
        <w:pStyle w:val="ListNumbered"/>
        <w:spacing w:after="120"/>
        <w:jc w:val="both"/>
      </w:pPr>
      <w:r w:rsidRPr="0022097B">
        <w:t>Contribute to and support quality improvement processes in health promotion and primary health care.</w:t>
      </w:r>
    </w:p>
    <w:p w14:paraId="62D60CA2" w14:textId="77777777" w:rsidR="00072B85" w:rsidRPr="0022097B" w:rsidRDefault="00072B85" w:rsidP="00CA636F">
      <w:pPr>
        <w:pStyle w:val="ListNumbered"/>
        <w:spacing w:after="120"/>
        <w:jc w:val="both"/>
      </w:pPr>
      <w:r w:rsidRPr="0022097B">
        <w:t>Contribute to policy development impacting on the social determinants of health and wellbeing.</w:t>
      </w:r>
    </w:p>
    <w:p w14:paraId="36CE417A" w14:textId="2645B82F" w:rsidR="00B06EDE" w:rsidRDefault="00072B85" w:rsidP="00CA636F">
      <w:pPr>
        <w:pStyle w:val="ListNumbered"/>
        <w:spacing w:after="120"/>
        <w:jc w:val="both"/>
      </w:pPr>
      <w:r w:rsidRPr="0022097B">
        <w:t xml:space="preserve">Liaise with </w:t>
      </w:r>
      <w:r>
        <w:t xml:space="preserve">the </w:t>
      </w:r>
      <w:r w:rsidRPr="0022097B">
        <w:t xml:space="preserve">Primary Health Area Coordinator and </w:t>
      </w:r>
      <w:r>
        <w:t xml:space="preserve">the </w:t>
      </w:r>
      <w:r w:rsidRPr="0022097B">
        <w:t>Area Business Manager in relation to health promotion budget and resources.</w:t>
      </w:r>
    </w:p>
    <w:p w14:paraId="4336290D" w14:textId="77777777" w:rsidR="000003C7" w:rsidRDefault="000003C7" w:rsidP="000003C7">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FD1A99F" w14:textId="77777777" w:rsidR="000003C7" w:rsidRPr="004B1E48" w:rsidRDefault="000003C7" w:rsidP="000003C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185D993" w14:textId="312CF50A" w:rsidR="00072B85" w:rsidRPr="0022097B" w:rsidRDefault="00072B85" w:rsidP="00CA636F">
      <w:pPr>
        <w:pStyle w:val="BulletedListLevel1"/>
        <w:numPr>
          <w:ilvl w:val="0"/>
          <w:numId w:val="0"/>
        </w:numPr>
      </w:pPr>
      <w:r w:rsidRPr="0022097B">
        <w:t xml:space="preserve">The occupant is expected to undertake the role with a high degree of autonomy, determining service priorities and providing expertise in planning, implementing and evaluating health promotion programs. Strategic direction and organisational support is provided by the relevant Primary Health Area Coordinator. </w:t>
      </w:r>
      <w:r w:rsidR="00BF33E2">
        <w:t>S</w:t>
      </w:r>
      <w:r w:rsidRPr="0022097B">
        <w:t>pecifically</w:t>
      </w:r>
      <w:r w:rsidR="00BF33E2">
        <w:t>,</w:t>
      </w:r>
      <w:r w:rsidRPr="0022097B">
        <w:t xml:space="preserve"> the position has responsibility for the following:</w:t>
      </w:r>
    </w:p>
    <w:p w14:paraId="46F8AE39" w14:textId="77777777" w:rsidR="00072B85" w:rsidRPr="0022097B" w:rsidRDefault="00072B85" w:rsidP="00CA636F">
      <w:pPr>
        <w:pStyle w:val="BulletedListLevel1"/>
        <w:numPr>
          <w:ilvl w:val="1"/>
          <w:numId w:val="23"/>
        </w:numPr>
        <w:tabs>
          <w:tab w:val="clear" w:pos="1134"/>
        </w:tabs>
        <w:ind w:left="567"/>
      </w:pPr>
      <w:r>
        <w:t>U</w:t>
      </w:r>
      <w:r w:rsidRPr="0022097B">
        <w:t>sing evidence based research to identify health issues within the local community and providing expertise to develop stra</w:t>
      </w:r>
      <w:r>
        <w:t>tegies to address these issues</w:t>
      </w:r>
    </w:p>
    <w:p w14:paraId="4D40A808" w14:textId="77777777" w:rsidR="00072B85" w:rsidRPr="0022097B" w:rsidRDefault="00072B85" w:rsidP="00CA636F">
      <w:pPr>
        <w:pStyle w:val="BulletedListLevel1"/>
        <w:numPr>
          <w:ilvl w:val="1"/>
          <w:numId w:val="23"/>
        </w:numPr>
        <w:tabs>
          <w:tab w:val="clear" w:pos="1134"/>
        </w:tabs>
        <w:ind w:left="567"/>
      </w:pPr>
      <w:r>
        <w:t>S</w:t>
      </w:r>
      <w:r w:rsidRPr="0022097B">
        <w:t>upporting the development of partnerships with relevant state and local government agencies, community organisations and interest groups in relation to a ran</w:t>
      </w:r>
      <w:r>
        <w:t>ge of health promotion programs</w:t>
      </w:r>
    </w:p>
    <w:p w14:paraId="447B2741" w14:textId="77777777" w:rsidR="00072B85" w:rsidRPr="0022097B" w:rsidRDefault="00072B85" w:rsidP="00CA636F">
      <w:pPr>
        <w:pStyle w:val="BulletedListLevel1"/>
        <w:numPr>
          <w:ilvl w:val="1"/>
          <w:numId w:val="23"/>
        </w:numPr>
        <w:tabs>
          <w:tab w:val="clear" w:pos="1134"/>
        </w:tabs>
        <w:ind w:left="567"/>
      </w:pPr>
      <w:r>
        <w:t>C</w:t>
      </w:r>
      <w:r w:rsidRPr="0022097B">
        <w:t>onsidering population diversity within the community and applying culturally relevant and ethical approaches in the planning, implementation and evaluati</w:t>
      </w:r>
      <w:r>
        <w:t>on of health promotion programs</w:t>
      </w:r>
    </w:p>
    <w:p w14:paraId="439DB51D" w14:textId="0442CD15" w:rsidR="00072B85" w:rsidRPr="0022097B" w:rsidRDefault="00072B85" w:rsidP="00CA636F">
      <w:pPr>
        <w:pStyle w:val="BulletedListLevel1"/>
        <w:numPr>
          <w:ilvl w:val="1"/>
          <w:numId w:val="23"/>
        </w:numPr>
        <w:tabs>
          <w:tab w:val="clear" w:pos="1134"/>
        </w:tabs>
        <w:ind w:left="567"/>
      </w:pPr>
      <w:r>
        <w:t>R</w:t>
      </w:r>
      <w:r w:rsidRPr="0022097B">
        <w:t xml:space="preserve">epresenting </w:t>
      </w:r>
      <w:r>
        <w:t>Hospitals North</w:t>
      </w:r>
      <w:r w:rsidRPr="0022097B">
        <w:t xml:space="preserve"> on working parties, committees and at state and national forums in rela</w:t>
      </w:r>
      <w:r>
        <w:t>tion to health promotion issues</w:t>
      </w:r>
    </w:p>
    <w:p w14:paraId="0739D20C" w14:textId="0451737F" w:rsidR="00B06EDE" w:rsidRDefault="00072B85" w:rsidP="00CA636F">
      <w:pPr>
        <w:pStyle w:val="BulletedListLevel1"/>
        <w:numPr>
          <w:ilvl w:val="1"/>
          <w:numId w:val="23"/>
        </w:numPr>
        <w:tabs>
          <w:tab w:val="clear" w:pos="1134"/>
        </w:tabs>
        <w:ind w:left="567"/>
      </w:pPr>
      <w:r>
        <w:t>P</w:t>
      </w:r>
      <w:r w:rsidRPr="0022097B">
        <w:t>ro-actively participating in continuing education programs and as required providing support and advice to less experienced team members.</w:t>
      </w:r>
    </w:p>
    <w:p w14:paraId="43C88250" w14:textId="77777777" w:rsidR="00CA636F" w:rsidRDefault="00CA636F" w:rsidP="00CA636F">
      <w:pPr>
        <w:pStyle w:val="BulletedListLevel1"/>
        <w:numPr>
          <w:ilvl w:val="0"/>
          <w:numId w:val="0"/>
        </w:numPr>
        <w:tabs>
          <w:tab w:val="clear" w:pos="1134"/>
        </w:tabs>
        <w:ind w:left="567" w:hanging="567"/>
      </w:pPr>
    </w:p>
    <w:p w14:paraId="11C5E81F" w14:textId="49569893" w:rsidR="00CA636F" w:rsidRPr="00845782" w:rsidRDefault="00CA636F" w:rsidP="00CA636F">
      <w:pPr>
        <w:pStyle w:val="ListParagraph"/>
        <w:numPr>
          <w:ilvl w:val="0"/>
          <w:numId w:val="23"/>
        </w:numPr>
        <w:jc w:val="both"/>
        <w:rPr>
          <w:rFonts w:ascii="Gill Sans MT" w:hAnsi="Gill Sans MT"/>
          <w:szCs w:val="22"/>
        </w:rPr>
      </w:pPr>
      <w:bookmarkStart w:id="0" w:name="_Hlk140827263"/>
      <w:bookmarkStart w:id="1" w:name="_Hlk140839099"/>
      <w:bookmarkStart w:id="2" w:name="_Hlk140825964"/>
      <w:r w:rsidRPr="00845782">
        <w:rPr>
          <w:rFonts w:ascii="Gill Sans MT" w:hAnsi="Gill Sans MT"/>
          <w:szCs w:val="22"/>
        </w:rPr>
        <w:lastRenderedPageBreak/>
        <w:t>Champion</w:t>
      </w:r>
      <w:r w:rsidR="000003C7">
        <w:rPr>
          <w:rFonts w:ascii="Gill Sans MT" w:hAnsi="Gill Sans MT"/>
          <w:szCs w:val="22"/>
        </w:rPr>
        <w:t>ing</w:t>
      </w:r>
      <w:r w:rsidRPr="00845782">
        <w:rPr>
          <w:rFonts w:ascii="Gill Sans MT" w:hAnsi="Gill Sans MT"/>
          <w:szCs w:val="22"/>
        </w:rPr>
        <w:t xml:space="preserve">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3"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7066A0BC" w14:textId="3DE07FAC" w:rsidR="00CA636F" w:rsidRPr="00845782" w:rsidRDefault="00CA636F" w:rsidP="00CA636F">
      <w:pPr>
        <w:pStyle w:val="ListParagraph"/>
        <w:numPr>
          <w:ilvl w:val="0"/>
          <w:numId w:val="23"/>
        </w:numPr>
        <w:jc w:val="both"/>
        <w:rPr>
          <w:rFonts w:ascii="Gill Sans MT" w:hAnsi="Gill Sans MT"/>
          <w:szCs w:val="22"/>
        </w:rPr>
      </w:pPr>
      <w:r w:rsidRPr="00845782">
        <w:rPr>
          <w:rFonts w:ascii="Gill Sans MT" w:hAnsi="Gill Sans MT"/>
          <w:szCs w:val="22"/>
        </w:rPr>
        <w:t>Where applicable, exercis</w:t>
      </w:r>
      <w:r w:rsidR="000003C7">
        <w:rPr>
          <w:rFonts w:ascii="Gill Sans MT" w:hAnsi="Gill Sans MT"/>
          <w:szCs w:val="22"/>
        </w:rPr>
        <w:t>ing</w:t>
      </w:r>
      <w:r w:rsidRPr="00845782">
        <w:rPr>
          <w:rFonts w:ascii="Gill Sans MT" w:hAnsi="Gill Sans MT"/>
          <w:szCs w:val="22"/>
        </w:rPr>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2C314455" w14:textId="25F52B5C" w:rsidR="00CA636F" w:rsidRPr="00845782" w:rsidRDefault="00CA636F" w:rsidP="00CA636F">
      <w:pPr>
        <w:pStyle w:val="ListParagraph"/>
        <w:numPr>
          <w:ilvl w:val="0"/>
          <w:numId w:val="23"/>
        </w:numPr>
        <w:jc w:val="both"/>
        <w:rPr>
          <w:rFonts w:ascii="Gill Sans MT" w:hAnsi="Gill Sans MT"/>
          <w:szCs w:val="22"/>
        </w:rPr>
      </w:pPr>
      <w:r w:rsidRPr="00845782">
        <w:rPr>
          <w:rFonts w:ascii="Gill Sans MT" w:hAnsi="Gill Sans MT"/>
          <w:szCs w:val="22"/>
        </w:rPr>
        <w:t>Comply</w:t>
      </w:r>
      <w:r w:rsidR="000003C7">
        <w:rPr>
          <w:rFonts w:ascii="Gill Sans MT" w:hAnsi="Gill Sans MT"/>
          <w:szCs w:val="22"/>
        </w:rPr>
        <w:t>ing</w:t>
      </w:r>
      <w:r w:rsidRPr="00845782">
        <w:rPr>
          <w:rFonts w:ascii="Gill Sans MT" w:hAnsi="Gill Sans MT"/>
          <w:szCs w:val="22"/>
        </w:rPr>
        <w:t xml:space="preserve"> at all times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CA636F">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A636F">
      <w:pPr>
        <w:spacing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A636F">
      <w:pPr>
        <w:pStyle w:val="ListNumbered"/>
        <w:numPr>
          <w:ilvl w:val="0"/>
          <w:numId w:val="16"/>
        </w:numPr>
        <w:spacing w:after="120" w:line="280" w:lineRule="atLeast"/>
        <w:jc w:val="both"/>
      </w:pPr>
      <w:r>
        <w:t>Conviction checks in the following areas:</w:t>
      </w:r>
    </w:p>
    <w:p w14:paraId="147CDE9F" w14:textId="77777777" w:rsidR="00E91AB6" w:rsidRDefault="00E91AB6" w:rsidP="00CA636F">
      <w:pPr>
        <w:pStyle w:val="ListNumbered"/>
        <w:numPr>
          <w:ilvl w:val="1"/>
          <w:numId w:val="13"/>
        </w:numPr>
        <w:spacing w:after="120" w:line="280" w:lineRule="atLeast"/>
        <w:jc w:val="both"/>
      </w:pPr>
      <w:r>
        <w:t>crimes of violence</w:t>
      </w:r>
    </w:p>
    <w:p w14:paraId="15754481" w14:textId="77777777" w:rsidR="00E91AB6" w:rsidRDefault="00E91AB6" w:rsidP="00CA636F">
      <w:pPr>
        <w:pStyle w:val="ListNumbered"/>
        <w:numPr>
          <w:ilvl w:val="1"/>
          <w:numId w:val="13"/>
        </w:numPr>
        <w:spacing w:after="120" w:line="280" w:lineRule="atLeast"/>
        <w:jc w:val="both"/>
      </w:pPr>
      <w:r>
        <w:t>sex related offences</w:t>
      </w:r>
    </w:p>
    <w:p w14:paraId="4ED1D6AD" w14:textId="77777777" w:rsidR="00E91AB6" w:rsidRDefault="00E91AB6" w:rsidP="00CA636F">
      <w:pPr>
        <w:pStyle w:val="ListNumbered"/>
        <w:numPr>
          <w:ilvl w:val="1"/>
          <w:numId w:val="13"/>
        </w:numPr>
        <w:spacing w:after="120" w:line="280" w:lineRule="atLeast"/>
        <w:jc w:val="both"/>
      </w:pPr>
      <w:r>
        <w:t>serious drug offences</w:t>
      </w:r>
    </w:p>
    <w:p w14:paraId="2F95386B" w14:textId="77777777" w:rsidR="00405739" w:rsidRDefault="00E91AB6" w:rsidP="00CA636F">
      <w:pPr>
        <w:pStyle w:val="ListNumbered"/>
        <w:numPr>
          <w:ilvl w:val="1"/>
          <w:numId w:val="13"/>
        </w:numPr>
        <w:spacing w:after="120" w:line="280" w:lineRule="atLeast"/>
        <w:jc w:val="both"/>
      </w:pPr>
      <w:r>
        <w:t>crimes involving dishonesty</w:t>
      </w:r>
    </w:p>
    <w:p w14:paraId="526590A3" w14:textId="77777777" w:rsidR="00E91AB6" w:rsidRDefault="00E91AB6" w:rsidP="00CA636F">
      <w:pPr>
        <w:pStyle w:val="ListNumbered"/>
        <w:spacing w:after="120" w:line="280" w:lineRule="atLeast"/>
        <w:jc w:val="both"/>
      </w:pPr>
      <w:r>
        <w:t>Identification check</w:t>
      </w:r>
    </w:p>
    <w:p w14:paraId="301DC513" w14:textId="107DCD3A" w:rsidR="00E91AB6" w:rsidRPr="008803FC" w:rsidRDefault="00E91AB6" w:rsidP="00CA636F">
      <w:pPr>
        <w:pStyle w:val="ListNumbered"/>
        <w:spacing w:after="120" w:line="280" w:lineRule="atLeast"/>
        <w:jc w:val="both"/>
      </w:pPr>
      <w:r>
        <w:t>Disciplinary action in previous employment check.</w:t>
      </w:r>
    </w:p>
    <w:p w14:paraId="011E3DAD" w14:textId="77777777" w:rsidR="00E91AB6" w:rsidRDefault="00E91AB6" w:rsidP="00130E72">
      <w:pPr>
        <w:pStyle w:val="Heading3"/>
      </w:pPr>
      <w:r>
        <w:t>Selection Criteria:</w:t>
      </w:r>
    </w:p>
    <w:p w14:paraId="4EA7F2F6" w14:textId="77777777" w:rsidR="00072B85" w:rsidRPr="00072B85" w:rsidRDefault="00072B85" w:rsidP="00CA636F">
      <w:pPr>
        <w:pStyle w:val="ListNumbered"/>
        <w:numPr>
          <w:ilvl w:val="0"/>
          <w:numId w:val="15"/>
        </w:numPr>
        <w:tabs>
          <w:tab w:val="left" w:pos="567"/>
        </w:tabs>
        <w:spacing w:after="120"/>
        <w:jc w:val="both"/>
      </w:pPr>
      <w:r w:rsidRPr="00072B85">
        <w:t>Demonstrated sound knowledge of the principles and practice of primary health care and experience and skills in developing, planning, co-ordinating, implementing and evaluating health promotion programs.</w:t>
      </w:r>
    </w:p>
    <w:p w14:paraId="1C20AF12" w14:textId="33996784" w:rsidR="00072B85" w:rsidRPr="00072B85" w:rsidRDefault="00072B85" w:rsidP="00CA636F">
      <w:pPr>
        <w:pStyle w:val="ListNumbered"/>
        <w:numPr>
          <w:ilvl w:val="0"/>
          <w:numId w:val="15"/>
        </w:numPr>
        <w:tabs>
          <w:tab w:val="left" w:pos="567"/>
        </w:tabs>
        <w:spacing w:after="120"/>
        <w:jc w:val="both"/>
      </w:pPr>
      <w:r w:rsidRPr="00072B85">
        <w:t>Understanding of the complex environment of community and health services delivery, including the ability to understand the political, social and organisational environment impacting on the Department of Health.</w:t>
      </w:r>
    </w:p>
    <w:p w14:paraId="2CE90800" w14:textId="4268E3E3" w:rsidR="00072B85" w:rsidRPr="00072B85" w:rsidRDefault="00072B85" w:rsidP="00CA636F">
      <w:pPr>
        <w:pStyle w:val="ListNumbered"/>
        <w:numPr>
          <w:ilvl w:val="0"/>
          <w:numId w:val="15"/>
        </w:numPr>
        <w:tabs>
          <w:tab w:val="left" w:pos="567"/>
        </w:tabs>
        <w:spacing w:after="120"/>
        <w:jc w:val="both"/>
      </w:pPr>
      <w:r w:rsidRPr="00072B85">
        <w:rPr>
          <w:rFonts w:cs="Tahoma"/>
        </w:rPr>
        <w:t xml:space="preserve">Well-developed interpersonal and communication skills including consultation, negotiation, conflict resolution, liaison and health literacy within </w:t>
      </w:r>
      <w:r>
        <w:rPr>
          <w:rFonts w:cs="Tahoma"/>
        </w:rPr>
        <w:t xml:space="preserve">Hospitals </w:t>
      </w:r>
      <w:r w:rsidRPr="00072B85">
        <w:rPr>
          <w:rFonts w:cs="Tahoma"/>
        </w:rPr>
        <w:t>North and across the community sector.</w:t>
      </w:r>
    </w:p>
    <w:p w14:paraId="02E4C644" w14:textId="77777777" w:rsidR="00072B85" w:rsidRPr="00072B85" w:rsidRDefault="00072B85" w:rsidP="00CA636F">
      <w:pPr>
        <w:pStyle w:val="ListNumbered"/>
        <w:numPr>
          <w:ilvl w:val="0"/>
          <w:numId w:val="15"/>
        </w:numPr>
        <w:tabs>
          <w:tab w:val="left" w:pos="567"/>
        </w:tabs>
        <w:spacing w:after="120"/>
        <w:jc w:val="both"/>
      </w:pPr>
      <w:r w:rsidRPr="00072B85">
        <w:t>Experience working in communities that have cultural and language diversity.</w:t>
      </w:r>
    </w:p>
    <w:p w14:paraId="1D96BF26" w14:textId="77777777" w:rsidR="00072B85" w:rsidRPr="00072B85" w:rsidRDefault="00072B85" w:rsidP="00CA636F">
      <w:pPr>
        <w:pStyle w:val="ListNumbered"/>
        <w:numPr>
          <w:ilvl w:val="0"/>
          <w:numId w:val="15"/>
        </w:numPr>
        <w:tabs>
          <w:tab w:val="left" w:pos="567"/>
        </w:tabs>
        <w:spacing w:after="120"/>
        <w:jc w:val="both"/>
      </w:pPr>
      <w:r w:rsidRPr="00072B85">
        <w:t>Demonstrated understanding of and commitment to a multidisciplinary approach to community and health services and community development, including an ability to work effectively in a small team environment and with a broad range of internal and external stakeholders.</w:t>
      </w:r>
    </w:p>
    <w:p w14:paraId="3325A963" w14:textId="4B943585" w:rsidR="00E91AB6" w:rsidRPr="003A15EA" w:rsidRDefault="00072B85" w:rsidP="00CA636F">
      <w:pPr>
        <w:pStyle w:val="ListNumbered"/>
        <w:numPr>
          <w:ilvl w:val="0"/>
          <w:numId w:val="15"/>
        </w:numPr>
        <w:tabs>
          <w:tab w:val="left" w:pos="567"/>
        </w:tabs>
        <w:spacing w:after="120"/>
        <w:jc w:val="both"/>
      </w:pPr>
      <w:r w:rsidRPr="00072B85">
        <w:t>Demonstrated ability to plan and deliver training and development programs for service providers; and evaluate outcomes against best practice approaches to community development and health promotion.</w:t>
      </w:r>
    </w:p>
    <w:p w14:paraId="185F40C6" w14:textId="77777777" w:rsidR="00E91AB6" w:rsidRDefault="00E91AB6" w:rsidP="00130E72">
      <w:pPr>
        <w:pStyle w:val="Heading3"/>
      </w:pPr>
      <w:r>
        <w:lastRenderedPageBreak/>
        <w:t>Working Environment:</w:t>
      </w:r>
    </w:p>
    <w:p w14:paraId="720206F4" w14:textId="77777777" w:rsidR="00CA636F" w:rsidRPr="00845782" w:rsidRDefault="00CA636F" w:rsidP="00CA636F">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52D1B819" w14:textId="77777777" w:rsidR="00CA636F" w:rsidRPr="00845782" w:rsidRDefault="00CA636F" w:rsidP="00CA636F">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529081DB" w14:textId="77777777" w:rsidR="00CA636F" w:rsidRPr="00845782" w:rsidRDefault="00CA636F" w:rsidP="00CA636F">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E17D7CC" w14:textId="529C70C6" w:rsidR="00DB7833" w:rsidRDefault="00CA636F" w:rsidP="000F258D">
      <w:r w:rsidRPr="00845782">
        <w:rPr>
          <w:rFonts w:ascii="Gill Sans MT" w:hAnsi="Gill Sans MT"/>
          <w:szCs w:val="22"/>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w:t>
      </w:r>
      <w:hyperlink r:id="rId11" w:history="1">
        <w:r w:rsidR="00DB7833">
          <w:rPr>
            <w:rStyle w:val="Hyperlink"/>
          </w:rPr>
          <w:t>Consumer and Community Engagement Principles | Tasmanian Department of Health</w:t>
        </w:r>
      </w:hyperlink>
      <w:r w:rsidR="00DB7833">
        <w:rPr>
          <w:rStyle w:val="Hyperlink"/>
        </w:rPr>
        <w:t>.</w:t>
      </w:r>
    </w:p>
    <w:p w14:paraId="1E8012FB" w14:textId="23BE91E4" w:rsidR="000D5AF4" w:rsidRPr="004B0994" w:rsidRDefault="000D5AF4" w:rsidP="00CA636F">
      <w:pPr>
        <w:spacing w:after="120"/>
      </w:pPr>
    </w:p>
    <w:sectPr w:rsidR="000D5AF4" w:rsidRPr="004B0994"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1366" w14:textId="77777777" w:rsidR="00A04E63" w:rsidRDefault="00A04E63" w:rsidP="00F420E2">
      <w:pPr>
        <w:spacing w:after="0" w:line="240" w:lineRule="auto"/>
      </w:pPr>
      <w:r>
        <w:separator/>
      </w:r>
    </w:p>
  </w:endnote>
  <w:endnote w:type="continuationSeparator" w:id="0">
    <w:p w14:paraId="2C78E870" w14:textId="77777777" w:rsidR="00A04E63" w:rsidRDefault="00A04E6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0F21" w14:textId="77777777" w:rsidR="00A04E63" w:rsidRDefault="00A04E63" w:rsidP="00F420E2">
      <w:pPr>
        <w:spacing w:after="0" w:line="240" w:lineRule="auto"/>
      </w:pPr>
      <w:r>
        <w:separator/>
      </w:r>
    </w:p>
  </w:footnote>
  <w:footnote w:type="continuationSeparator" w:id="0">
    <w:p w14:paraId="591D0B28" w14:textId="77777777" w:rsidR="00A04E63" w:rsidRDefault="00A04E6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17C0E5D"/>
    <w:multiLevelType w:val="hybridMultilevel"/>
    <w:tmpl w:val="95627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6A2DFA"/>
    <w:multiLevelType w:val="multilevel"/>
    <w:tmpl w:val="00200658"/>
    <w:lvl w:ilvl="0">
      <w:start w:val="1"/>
      <w:numFmt w:val="bullet"/>
      <w:lvlText w:val=""/>
      <w:lvlJc w:val="left"/>
      <w:pPr>
        <w:tabs>
          <w:tab w:val="num" w:pos="567"/>
        </w:tabs>
        <w:ind w:left="567" w:hanging="567"/>
      </w:pPr>
      <w:rPr>
        <w:rFonts w:ascii="Symbol" w:hAnsi="Symbol" w:hint="default"/>
        <w:color w:val="auto"/>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9" w15:restartNumberingAfterBreak="0">
    <w:nsid w:val="7CD955BB"/>
    <w:multiLevelType w:val="multilevel"/>
    <w:tmpl w:val="8304A81E"/>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234121836">
    <w:abstractNumId w:val="18"/>
  </w:num>
  <w:num w:numId="2" w16cid:durableId="168520803">
    <w:abstractNumId w:val="3"/>
  </w:num>
  <w:num w:numId="3" w16cid:durableId="1902859072">
    <w:abstractNumId w:val="1"/>
  </w:num>
  <w:num w:numId="4" w16cid:durableId="797381902">
    <w:abstractNumId w:val="7"/>
  </w:num>
  <w:num w:numId="5" w16cid:durableId="704211119">
    <w:abstractNumId w:val="12"/>
  </w:num>
  <w:num w:numId="6" w16cid:durableId="1594850790">
    <w:abstractNumId w:val="9"/>
  </w:num>
  <w:num w:numId="7" w16cid:durableId="726758835">
    <w:abstractNumId w:val="15"/>
  </w:num>
  <w:num w:numId="8" w16cid:durableId="1888175778">
    <w:abstractNumId w:val="0"/>
  </w:num>
  <w:num w:numId="9" w16cid:durableId="1123888947">
    <w:abstractNumId w:val="16"/>
  </w:num>
  <w:num w:numId="10" w16cid:durableId="532109362">
    <w:abstractNumId w:val="13"/>
  </w:num>
  <w:num w:numId="11" w16cid:durableId="1980649011">
    <w:abstractNumId w:val="4"/>
  </w:num>
  <w:num w:numId="12" w16cid:durableId="240675089">
    <w:abstractNumId w:val="6"/>
  </w:num>
  <w:num w:numId="13" w16cid:durableId="1493528520">
    <w:abstractNumId w:val="8"/>
  </w:num>
  <w:num w:numId="14" w16cid:durableId="618494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50233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8606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0574169">
    <w:abstractNumId w:val="10"/>
  </w:num>
  <w:num w:numId="18" w16cid:durableId="262688707">
    <w:abstractNumId w:val="2"/>
  </w:num>
  <w:num w:numId="19" w16cid:durableId="1662391553">
    <w:abstractNumId w:val="11"/>
  </w:num>
  <w:num w:numId="20" w16cid:durableId="451705474">
    <w:abstractNumId w:val="14"/>
  </w:num>
  <w:num w:numId="21" w16cid:durableId="1646007666">
    <w:abstractNumId w:val="17"/>
  </w:num>
  <w:num w:numId="22" w16cid:durableId="1303921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0394196">
    <w:abstractNumId w:val="19"/>
  </w:num>
  <w:num w:numId="24" w16cid:durableId="127952725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03C7"/>
    <w:rsid w:val="00001BE8"/>
    <w:rsid w:val="00012725"/>
    <w:rsid w:val="000158A7"/>
    <w:rsid w:val="00022008"/>
    <w:rsid w:val="00033AA3"/>
    <w:rsid w:val="00036117"/>
    <w:rsid w:val="00036325"/>
    <w:rsid w:val="00063D77"/>
    <w:rsid w:val="00072B85"/>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45D1"/>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4E63"/>
    <w:rsid w:val="00A05641"/>
    <w:rsid w:val="00A05FF5"/>
    <w:rsid w:val="00A27DDD"/>
    <w:rsid w:val="00A425DF"/>
    <w:rsid w:val="00A461AE"/>
    <w:rsid w:val="00A55A29"/>
    <w:rsid w:val="00A74970"/>
    <w:rsid w:val="00A86FC1"/>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663AE"/>
    <w:rsid w:val="00B81424"/>
    <w:rsid w:val="00B90EB3"/>
    <w:rsid w:val="00B914E4"/>
    <w:rsid w:val="00B97D5F"/>
    <w:rsid w:val="00BA6397"/>
    <w:rsid w:val="00BB12B9"/>
    <w:rsid w:val="00BC6DC6"/>
    <w:rsid w:val="00BE0D6A"/>
    <w:rsid w:val="00BF2032"/>
    <w:rsid w:val="00BF33E2"/>
    <w:rsid w:val="00C21404"/>
    <w:rsid w:val="00C265E8"/>
    <w:rsid w:val="00C32D2A"/>
    <w:rsid w:val="00C36B19"/>
    <w:rsid w:val="00C43FDA"/>
    <w:rsid w:val="00C45805"/>
    <w:rsid w:val="00C53A5E"/>
    <w:rsid w:val="00C56BF6"/>
    <w:rsid w:val="00C726D0"/>
    <w:rsid w:val="00C82806"/>
    <w:rsid w:val="00C82F58"/>
    <w:rsid w:val="00CA2025"/>
    <w:rsid w:val="00CA636F"/>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B7833"/>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tas.gov.au/consumer-and-community-engagement-princip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79207D"/>
    <w:rsid w:val="00831BA8"/>
    <w:rsid w:val="008F6267"/>
    <w:rsid w:val="00B56F0D"/>
    <w:rsid w:val="00BE319C"/>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88ED0-27E6-481A-AF39-74269404A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dec5-11dd-4041-9f1c-1d084a81e354"/>
    <ds:schemaRef ds:uri="a7263cf0-f76c-499a-b84a-1d2b99cf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3.xml><?xml version="1.0" encoding="utf-8"?>
<ds:datastoreItem xmlns:ds="http://schemas.openxmlformats.org/officeDocument/2006/customXml" ds:itemID="{69EA82C4-DA06-4A91-A27C-6451CA21F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2B9971-95E5-4E0F-9CBB-F5C9A8C8F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Spencer, Rebecca N</cp:lastModifiedBy>
  <cp:revision>2</cp:revision>
  <cp:lastPrinted>2024-04-10T02:04:00Z</cp:lastPrinted>
  <dcterms:created xsi:type="dcterms:W3CDTF">2024-04-19T02:51:00Z</dcterms:created>
  <dcterms:modified xsi:type="dcterms:W3CDTF">2024-04-19T02:51:00Z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