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F0A6" w14:textId="457B79CD" w:rsidR="00845111" w:rsidRDefault="008315FE" w:rsidP="00845111">
      <w:pPr>
        <w:pStyle w:val="Heading1"/>
      </w:pPr>
      <w:r>
        <w:t>Safe at Home</w:t>
      </w:r>
    </w:p>
    <w:p w14:paraId="3EEECCD9" w14:textId="05CCB8B2" w:rsidR="00845111" w:rsidRDefault="008315FE" w:rsidP="00FE28E6">
      <w:pPr>
        <w:pStyle w:val="Heading2centre"/>
      </w:pPr>
      <w:r>
        <w:t>Analyst</w:t>
      </w:r>
      <w:r w:rsidR="000906F1">
        <w:t xml:space="preserve"> </w:t>
      </w:r>
      <w:r w:rsidR="008F5218" w:rsidRPr="008F31D4">
        <w:t>–</w:t>
      </w:r>
      <w:r w:rsidR="000906F1">
        <w:t xml:space="preserve"> </w:t>
      </w:r>
      <w:r w:rsidR="00845111" w:rsidRPr="008F31D4">
        <w:t xml:space="preserve">Statement of Duties </w:t>
      </w:r>
    </w:p>
    <w:p w14:paraId="6A3571AD" w14:textId="77777777" w:rsidR="00E83CD7" w:rsidRDefault="00E83CD7" w:rsidP="00E83CD7">
      <w:pPr>
        <w:pStyle w:val="Heading3"/>
      </w:pPr>
      <w:r w:rsidRPr="00F71D29">
        <w:t>Objective</w:t>
      </w:r>
    </w:p>
    <w:p w14:paraId="20AE9905" w14:textId="77777777" w:rsidR="00C716F0" w:rsidRPr="00C716F0" w:rsidRDefault="00C716F0" w:rsidP="00D82B99">
      <w:pPr>
        <w:spacing w:after="0"/>
        <w:jc w:val="both"/>
        <w:rPr>
          <w:iCs/>
          <w:szCs w:val="22"/>
        </w:rPr>
      </w:pPr>
      <w:r w:rsidRPr="00C716F0">
        <w:rPr>
          <w:szCs w:val="22"/>
        </w:rPr>
        <w:t xml:space="preserve">This role contributes to the Safe Families Coordination Unit (SFCU).  </w:t>
      </w:r>
      <w:r w:rsidRPr="00C716F0">
        <w:rPr>
          <w:iCs/>
          <w:szCs w:val="22"/>
        </w:rPr>
        <w:t xml:space="preserve">The SFCU is a state-wide collaborative unit which undertakes a cumulative assessment of risk and harm to coordinate support services for victims of family violence and hold perpetrators to account.  </w:t>
      </w:r>
    </w:p>
    <w:p w14:paraId="653114BA" w14:textId="77777777" w:rsidR="00C716F0" w:rsidRPr="00C716F0" w:rsidRDefault="00C716F0" w:rsidP="00D82B99">
      <w:pPr>
        <w:spacing w:after="0"/>
        <w:jc w:val="both"/>
        <w:rPr>
          <w:iCs/>
          <w:szCs w:val="22"/>
        </w:rPr>
      </w:pPr>
    </w:p>
    <w:p w14:paraId="26F52174" w14:textId="77777777" w:rsidR="00C716F0" w:rsidRPr="00C716F0" w:rsidRDefault="00C716F0" w:rsidP="00D82B99">
      <w:pPr>
        <w:jc w:val="both"/>
        <w:rPr>
          <w:sz w:val="28"/>
        </w:rPr>
      </w:pPr>
      <w:r w:rsidRPr="00C716F0">
        <w:rPr>
          <w:iCs/>
          <w:szCs w:val="22"/>
          <w:lang w:val="en"/>
        </w:rPr>
        <w:t>Working in the SFCU requires resilience, excellent communication and decision-making skills, and an ability to engage with partner agencies and to work collaboratively within a sometimes complex and pressurised environment.</w:t>
      </w:r>
    </w:p>
    <w:p w14:paraId="488C68AE" w14:textId="77777777" w:rsidR="00AD02BB" w:rsidRPr="00B00073" w:rsidRDefault="00AD02BB" w:rsidP="00E83CD7"/>
    <w:p w14:paraId="66B5370A" w14:textId="77777777" w:rsidR="00E83CD7" w:rsidRPr="00F71D29" w:rsidRDefault="00E83CD7" w:rsidP="00E83CD7">
      <w:pPr>
        <w:pStyle w:val="Heading3"/>
      </w:pPr>
      <w:r w:rsidRPr="00F71D29">
        <w:t>Duties</w:t>
      </w:r>
    </w:p>
    <w:p w14:paraId="4E1AEC9F" w14:textId="77777777" w:rsidR="00C716F0" w:rsidRPr="00C716F0" w:rsidRDefault="00C716F0" w:rsidP="00D82B99">
      <w:pPr>
        <w:pStyle w:val="ListBullet"/>
        <w:jc w:val="both"/>
      </w:pPr>
      <w:r w:rsidRPr="00C716F0">
        <w:t>Search all relevant agency databases to identify information which may add to a cumulative assessment of risk and harm to victims of family violence, children affected by family violence and to perpetrator risk of repeat family violence.</w:t>
      </w:r>
    </w:p>
    <w:p w14:paraId="79F477FC" w14:textId="77777777" w:rsidR="00C716F0" w:rsidRPr="00C716F0" w:rsidRDefault="00C716F0" w:rsidP="00D82B99">
      <w:pPr>
        <w:pStyle w:val="ListBullet"/>
        <w:jc w:val="both"/>
      </w:pPr>
      <w:r w:rsidRPr="00C716F0">
        <w:t xml:space="preserve">Through liaison, dialogue and searching collect and collate relevant information across all agency databases. </w:t>
      </w:r>
    </w:p>
    <w:p w14:paraId="32ABF1CA" w14:textId="77777777" w:rsidR="00C716F0" w:rsidRPr="00C716F0" w:rsidRDefault="00C716F0" w:rsidP="00D82B99">
      <w:pPr>
        <w:pStyle w:val="ListBullet"/>
        <w:jc w:val="both"/>
      </w:pPr>
      <w:r w:rsidRPr="00C716F0">
        <w:t xml:space="preserve">Contribute relevant and proportionate information to the agency multi-risk assessment.  </w:t>
      </w:r>
    </w:p>
    <w:p w14:paraId="096793F3" w14:textId="77777777" w:rsidR="00C716F0" w:rsidRPr="00C716F0" w:rsidRDefault="00C716F0" w:rsidP="00D82B99">
      <w:pPr>
        <w:pStyle w:val="ListBullet"/>
        <w:jc w:val="both"/>
      </w:pPr>
      <w:r w:rsidRPr="00C716F0">
        <w:t>Bring to the attention of the supervisor any information that comes to light during research that may either heighten or lower the risk to families.</w:t>
      </w:r>
    </w:p>
    <w:p w14:paraId="65A38247" w14:textId="77777777" w:rsidR="00C716F0" w:rsidRPr="00C716F0" w:rsidRDefault="00C716F0" w:rsidP="00D82B99">
      <w:pPr>
        <w:pStyle w:val="ListBullet"/>
        <w:jc w:val="both"/>
      </w:pPr>
      <w:r w:rsidRPr="00C716F0">
        <w:t xml:space="preserve">Provide initial analysis of the risk areas identified during research and discuss with the position’s supervisor. </w:t>
      </w:r>
    </w:p>
    <w:p w14:paraId="4CC9D60D" w14:textId="77777777" w:rsidR="00C716F0" w:rsidRPr="00C716F0" w:rsidRDefault="00C716F0" w:rsidP="00D82B99">
      <w:pPr>
        <w:pStyle w:val="ListBullet"/>
        <w:jc w:val="both"/>
      </w:pPr>
      <w:r w:rsidRPr="00C716F0">
        <w:t>Identify any service/system gaps during research and bring to the attention of the supervisor of the position.</w:t>
      </w:r>
    </w:p>
    <w:p w14:paraId="76259F04" w14:textId="77777777" w:rsidR="00C716F0" w:rsidRPr="00C716F0" w:rsidRDefault="00C716F0" w:rsidP="00D82B99">
      <w:pPr>
        <w:pStyle w:val="ListBullet"/>
        <w:jc w:val="both"/>
      </w:pPr>
      <w:r w:rsidRPr="00C716F0">
        <w:t>Perform the duties of the SFCU DoJ Investigator during their absence from the unit.</w:t>
      </w:r>
    </w:p>
    <w:p w14:paraId="1C5244AE" w14:textId="3C4F50CC" w:rsidR="00C716F0" w:rsidRPr="00C716F0" w:rsidRDefault="00C716F0" w:rsidP="00D82B99">
      <w:pPr>
        <w:pStyle w:val="ListBullet"/>
        <w:jc w:val="both"/>
      </w:pPr>
      <w:r w:rsidRPr="00C716F0">
        <w:t xml:space="preserve">Other tasks as directed by the supervisor. </w:t>
      </w:r>
    </w:p>
    <w:p w14:paraId="0A73B4D8" w14:textId="77777777" w:rsidR="00E83CD7" w:rsidRPr="00402FBA" w:rsidRDefault="00E83CD7" w:rsidP="00A479BA">
      <w:pPr>
        <w:pStyle w:val="ListBullet"/>
        <w:numPr>
          <w:ilvl w:val="0"/>
          <w:numId w:val="0"/>
        </w:numPr>
        <w:ind w:left="641"/>
      </w:pPr>
    </w:p>
    <w:p w14:paraId="13ED7978" w14:textId="77777777" w:rsidR="00E83CD7" w:rsidRPr="0027445A" w:rsidRDefault="00E83CD7" w:rsidP="00E83CD7">
      <w:pPr>
        <w:pStyle w:val="Heading3"/>
      </w:pPr>
      <w:r w:rsidRPr="0027445A">
        <w:t>Level of responsibility</w:t>
      </w:r>
    </w:p>
    <w:p w14:paraId="43B99404" w14:textId="77777777" w:rsidR="00C716F0" w:rsidRPr="001C088C" w:rsidRDefault="00C716F0" w:rsidP="00D82B99">
      <w:pPr>
        <w:pStyle w:val="ListBullet"/>
        <w:jc w:val="both"/>
      </w:pPr>
      <w:r w:rsidRPr="001C088C">
        <w:t xml:space="preserve">The SFCU Analyst is responsible for the timely and accurate delivery of role tasks exercising ethical and independent judgement and under the supervision of SFCU Investigator, Department of Justice. </w:t>
      </w:r>
    </w:p>
    <w:p w14:paraId="5A1A68F9" w14:textId="2743C0D7" w:rsidR="003F0C85" w:rsidRPr="003F0C85" w:rsidRDefault="00C716F0" w:rsidP="00D82B99">
      <w:pPr>
        <w:pStyle w:val="ListBullet"/>
        <w:jc w:val="both"/>
      </w:pPr>
      <w:r w:rsidRPr="001C088C">
        <w:t xml:space="preserve">Work is of a highly sensitive and confidential nature.  The incumbent is accountable for ensuring that work undertaken is thoroughly researched, well planned and produced in an accurate and timely manner.  </w:t>
      </w:r>
    </w:p>
    <w:p w14:paraId="4239EFAC" w14:textId="77777777" w:rsidR="003F0C85" w:rsidRPr="00AD02BB" w:rsidRDefault="003F0C85" w:rsidP="00D82B99">
      <w:pPr>
        <w:numPr>
          <w:ilvl w:val="0"/>
          <w:numId w:val="27"/>
        </w:numPr>
        <w:jc w:val="both"/>
      </w:pPr>
      <w:r w:rsidRPr="00AD02BB">
        <w:t>Conduct your work in a safe manner such that it does not put yourself or others at risk.</w:t>
      </w:r>
    </w:p>
    <w:p w14:paraId="43AC83CF" w14:textId="77777777" w:rsidR="003F0C85" w:rsidRPr="00AD02BB" w:rsidRDefault="003F0C85" w:rsidP="00D82B99">
      <w:pPr>
        <w:numPr>
          <w:ilvl w:val="0"/>
          <w:numId w:val="27"/>
        </w:numPr>
        <w:jc w:val="both"/>
      </w:pPr>
      <w:r w:rsidRPr="00AD02BB">
        <w:lastRenderedPageBreak/>
        <w:t>Comply with any reasonable instruction contained in WHS policies, procedures and instructions and report hazards, near misses and incidents to your supervisors.</w:t>
      </w:r>
    </w:p>
    <w:p w14:paraId="4C496C5F" w14:textId="77777777" w:rsidR="003F0C85" w:rsidRDefault="003F0C85" w:rsidP="00D82B99">
      <w:pPr>
        <w:numPr>
          <w:ilvl w:val="0"/>
          <w:numId w:val="27"/>
        </w:numPr>
        <w:jc w:val="both"/>
      </w:pPr>
      <w:r>
        <w:t xml:space="preserve">You are responsible for upholding the values of Integrity, Respect, Accountability and actively contributing to make our workplaces Inclusive and Collaborative. </w:t>
      </w:r>
    </w:p>
    <w:p w14:paraId="37CF5FFD" w14:textId="77777777" w:rsidR="00E83CD7" w:rsidRDefault="00E83CD7" w:rsidP="00D82B99">
      <w:pPr>
        <w:pStyle w:val="ListBullet"/>
        <w:numPr>
          <w:ilvl w:val="0"/>
          <w:numId w:val="0"/>
        </w:numPr>
        <w:ind w:left="641"/>
        <w:jc w:val="both"/>
      </w:pPr>
    </w:p>
    <w:p w14:paraId="29A240D5" w14:textId="77777777" w:rsidR="00E83CD7" w:rsidRDefault="00E83CD7" w:rsidP="00E83CD7">
      <w:pPr>
        <w:pStyle w:val="Heading3"/>
      </w:pPr>
      <w:r w:rsidRPr="00B0084B">
        <w:t>Direction and supervision received</w:t>
      </w:r>
    </w:p>
    <w:p w14:paraId="73C33814" w14:textId="77777777" w:rsidR="00C716F0" w:rsidRPr="00C716F0" w:rsidRDefault="00C716F0" w:rsidP="00D82B99">
      <w:pPr>
        <w:pStyle w:val="ListParagraph"/>
        <w:numPr>
          <w:ilvl w:val="0"/>
          <w:numId w:val="42"/>
        </w:numPr>
        <w:jc w:val="both"/>
      </w:pPr>
      <w:r w:rsidRPr="00C716F0">
        <w:t>The SFCU Analyst is responsible to the SFCU Investigator Department of Justice and will receive broad direction in relation to undertaking the duties and responsibilities for the position.</w:t>
      </w:r>
    </w:p>
    <w:p w14:paraId="55FF2C43" w14:textId="77777777" w:rsidR="003F0C85" w:rsidRPr="00EE50F8" w:rsidRDefault="003F0C85" w:rsidP="003F0C85">
      <w:pPr>
        <w:pStyle w:val="ListBullet"/>
        <w:numPr>
          <w:ilvl w:val="0"/>
          <w:numId w:val="0"/>
        </w:numPr>
        <w:ind w:left="720" w:hanging="360"/>
      </w:pPr>
    </w:p>
    <w:p w14:paraId="3951DD55" w14:textId="77777777" w:rsidR="00E83CD7" w:rsidRPr="0027445A" w:rsidRDefault="00E83CD7" w:rsidP="000906F1">
      <w:pPr>
        <w:pStyle w:val="Heading3"/>
      </w:pPr>
      <w:r w:rsidRPr="0027445A">
        <w:t>Selection criteria</w:t>
      </w:r>
    </w:p>
    <w:p w14:paraId="0D9515D9" w14:textId="77777777" w:rsidR="00C716F0" w:rsidRPr="000A600D" w:rsidRDefault="00C716F0" w:rsidP="00D82B99">
      <w:pPr>
        <w:pStyle w:val="ListParagraph"/>
        <w:numPr>
          <w:ilvl w:val="0"/>
          <w:numId w:val="44"/>
        </w:numPr>
        <w:spacing w:before="240"/>
        <w:ind w:left="425" w:hanging="425"/>
        <w:jc w:val="both"/>
      </w:pPr>
      <w:r w:rsidRPr="000A600D">
        <w:t>Knowledge of, and the capacity to interrogate, agency databases and to identify information</w:t>
      </w:r>
      <w:r>
        <w:rPr>
          <w:rFonts w:ascii="GillSans Light" w:hAnsi="GillSans Light"/>
        </w:rPr>
        <w:t xml:space="preserve"> </w:t>
      </w:r>
      <w:r w:rsidRPr="000A600D">
        <w:t xml:space="preserve">pertinent to family violence. </w:t>
      </w:r>
    </w:p>
    <w:p w14:paraId="2B73E78C" w14:textId="77777777" w:rsidR="00C716F0" w:rsidRPr="000A600D" w:rsidRDefault="00C716F0" w:rsidP="00D82B99">
      <w:pPr>
        <w:pStyle w:val="ListParagraph"/>
        <w:numPr>
          <w:ilvl w:val="0"/>
          <w:numId w:val="44"/>
        </w:numPr>
        <w:spacing w:before="240"/>
        <w:ind w:left="425" w:hanging="425"/>
        <w:jc w:val="both"/>
      </w:pPr>
      <w:r w:rsidRPr="000A600D">
        <w:t>Understanding of family violence and behaviours or indicators that may be suggestive of family violence from the perspective of adult and child victims and perpetrators, or the capacity to quickly acquire this knowledge in a reasonable timeframe.</w:t>
      </w:r>
    </w:p>
    <w:p w14:paraId="1886A4CD" w14:textId="77777777" w:rsidR="00C716F0" w:rsidRPr="000A600D" w:rsidRDefault="00C716F0" w:rsidP="00D82B99">
      <w:pPr>
        <w:pStyle w:val="ListParagraph"/>
        <w:numPr>
          <w:ilvl w:val="0"/>
          <w:numId w:val="44"/>
        </w:numPr>
        <w:spacing w:before="240"/>
        <w:ind w:left="425" w:hanging="425"/>
        <w:jc w:val="both"/>
      </w:pPr>
      <w:r w:rsidRPr="000A600D">
        <w:t xml:space="preserve">Understanding of the Safe at Home project and the </w:t>
      </w:r>
      <w:r w:rsidRPr="000A600D">
        <w:rPr>
          <w:i/>
        </w:rPr>
        <w:t>Safe Homes, Safe Families</w:t>
      </w:r>
      <w:r w:rsidRPr="000A600D">
        <w:t>, and the contribution of the Safe Families Coordination Unit, or the capacity to quickly acquire this knowledge in a reasonable timeframe.</w:t>
      </w:r>
    </w:p>
    <w:p w14:paraId="006D1622" w14:textId="77777777" w:rsidR="00C716F0" w:rsidRPr="000A600D" w:rsidRDefault="00C716F0" w:rsidP="00D82B99">
      <w:pPr>
        <w:pStyle w:val="ListParagraph"/>
        <w:numPr>
          <w:ilvl w:val="0"/>
          <w:numId w:val="44"/>
        </w:numPr>
        <w:spacing w:before="240"/>
        <w:ind w:left="425" w:hanging="425"/>
        <w:jc w:val="both"/>
      </w:pPr>
      <w:r w:rsidRPr="000A600D">
        <w:t>The ability to distil information across a large range of data sources with speed and to record that information with a high level of accuracy.</w:t>
      </w:r>
    </w:p>
    <w:p w14:paraId="73F6B8AA" w14:textId="77777777" w:rsidR="00C716F0" w:rsidRPr="000A600D" w:rsidRDefault="00C716F0" w:rsidP="00D82B99">
      <w:pPr>
        <w:pStyle w:val="ListParagraph"/>
        <w:numPr>
          <w:ilvl w:val="0"/>
          <w:numId w:val="44"/>
        </w:numPr>
        <w:spacing w:before="240"/>
        <w:ind w:left="425" w:hanging="425"/>
        <w:jc w:val="both"/>
      </w:pPr>
      <w:r w:rsidRPr="000A600D">
        <w:t xml:space="preserve">Demonstrated ability to work well with others in the pursuit of team goals, including sharing information and supporting team members in a professional manner, showing consideration and respect for others.  </w:t>
      </w:r>
    </w:p>
    <w:p w14:paraId="5B17594E" w14:textId="77777777" w:rsidR="00C716F0" w:rsidRPr="000A600D" w:rsidRDefault="00C716F0" w:rsidP="00D82B99">
      <w:pPr>
        <w:pStyle w:val="ListParagraph"/>
        <w:numPr>
          <w:ilvl w:val="0"/>
          <w:numId w:val="44"/>
        </w:numPr>
        <w:spacing w:before="240"/>
        <w:ind w:left="425" w:hanging="425"/>
        <w:jc w:val="both"/>
      </w:pPr>
      <w:r w:rsidRPr="000A600D">
        <w:t>High level analytical skills, specifically knowle</w:t>
      </w:r>
      <w:r>
        <w:t>dge of Department of Justice</w:t>
      </w:r>
      <w:r w:rsidRPr="000A600D">
        <w:t xml:space="preserve"> databases and including the ability to understand the political, social and organisational environment in which the SFCU operates and identify relevant issues. </w:t>
      </w:r>
    </w:p>
    <w:p w14:paraId="29C9DAFB" w14:textId="77777777" w:rsidR="00C716F0" w:rsidRPr="00BA72E6" w:rsidRDefault="00C716F0" w:rsidP="00D82B99">
      <w:pPr>
        <w:pStyle w:val="ListParagraph"/>
        <w:numPr>
          <w:ilvl w:val="0"/>
          <w:numId w:val="44"/>
        </w:numPr>
        <w:spacing w:before="240"/>
        <w:ind w:left="425" w:hanging="425"/>
        <w:jc w:val="both"/>
      </w:pPr>
      <w:r w:rsidRPr="000A600D">
        <w:t xml:space="preserve">Good self-management skills including the ability to manage competing tasks, exercise initiative and sound judgement under pressure. </w:t>
      </w:r>
    </w:p>
    <w:p w14:paraId="25C8C6DF" w14:textId="77777777" w:rsidR="00E83CD7" w:rsidRDefault="00E83CD7" w:rsidP="00E83CD7">
      <w:pPr>
        <w:pStyle w:val="ListNumber"/>
        <w:numPr>
          <w:ilvl w:val="0"/>
          <w:numId w:val="0"/>
        </w:numPr>
      </w:pPr>
    </w:p>
    <w:p w14:paraId="2282181A" w14:textId="77777777" w:rsidR="00E83CD7" w:rsidRDefault="00E83CD7" w:rsidP="00E83CD7">
      <w:pPr>
        <w:pStyle w:val="Heading3"/>
      </w:pPr>
      <w:r w:rsidRPr="0027445A">
        <w:t>Essentia</w:t>
      </w:r>
      <w:r>
        <w:t>l requirements</w:t>
      </w:r>
      <w:r w:rsidR="000906F1">
        <w:t xml:space="preserve"> </w:t>
      </w:r>
    </w:p>
    <w:p w14:paraId="721B0385" w14:textId="4EFC1D90" w:rsidR="00C716F0" w:rsidRPr="001C088C" w:rsidRDefault="00C716F0" w:rsidP="00C716F0">
      <w:pPr>
        <w:pStyle w:val="ListBullet"/>
      </w:pPr>
      <w:r w:rsidRPr="001C088C">
        <w:t xml:space="preserve">Current Working with </w:t>
      </w:r>
      <w:r w:rsidR="00D82B99">
        <w:t xml:space="preserve">Vulnerable People </w:t>
      </w:r>
      <w:r w:rsidRPr="001C088C">
        <w:t>Registration</w:t>
      </w:r>
      <w:r>
        <w:t>.</w:t>
      </w:r>
    </w:p>
    <w:p w14:paraId="140ACA9F" w14:textId="052326EB" w:rsidR="00AD02BB" w:rsidRPr="00FE28E6" w:rsidRDefault="00AD02BB" w:rsidP="007428EC">
      <w:pPr>
        <w:pStyle w:val="ListBullet"/>
        <w:numPr>
          <w:ilvl w:val="0"/>
          <w:numId w:val="0"/>
        </w:numPr>
      </w:pPr>
    </w:p>
    <w:p w14:paraId="780DC111" w14:textId="77777777" w:rsidR="00E83CD7" w:rsidRDefault="00E83CD7" w:rsidP="00E83CD7">
      <w:pPr>
        <w:pStyle w:val="Heading3"/>
      </w:pPr>
      <w:r w:rsidRPr="0027445A">
        <w:t>Desirable</w:t>
      </w:r>
      <w:r>
        <w:t xml:space="preserve"> requirements</w:t>
      </w:r>
      <w:r w:rsidR="000906F1">
        <w:t xml:space="preserve"> </w:t>
      </w:r>
    </w:p>
    <w:p w14:paraId="42B4B178" w14:textId="49DC2B77" w:rsidR="00E83CD7" w:rsidRDefault="00E83CD7" w:rsidP="008D2EF6">
      <w:pPr>
        <w:pStyle w:val="ListBullet"/>
        <w:ind w:left="641" w:hanging="357"/>
      </w:pPr>
      <w:r w:rsidRPr="00A479BA">
        <w:t>Nil</w:t>
      </w:r>
    </w:p>
    <w:p w14:paraId="1E7C574A" w14:textId="77777777" w:rsidR="00AD02BB" w:rsidRPr="008D2EF6" w:rsidRDefault="00AD02BB" w:rsidP="00AD02BB">
      <w:pPr>
        <w:pStyle w:val="ListBullet"/>
        <w:numPr>
          <w:ilvl w:val="0"/>
          <w:numId w:val="0"/>
        </w:numPr>
        <w:ind w:left="720" w:hanging="360"/>
      </w:pPr>
    </w:p>
    <w:p w14:paraId="29093205" w14:textId="115DD7A3" w:rsidR="00E83CD7" w:rsidRPr="000906F1" w:rsidRDefault="00C716F0" w:rsidP="000906F1">
      <w:pPr>
        <w:pStyle w:val="Heading3"/>
      </w:pPr>
      <w:r>
        <w:t>Pre-employment Checks</w:t>
      </w:r>
    </w:p>
    <w:p w14:paraId="60D0B318" w14:textId="77777777" w:rsidR="00E83CD7" w:rsidRPr="00A479BA" w:rsidRDefault="00E83CD7" w:rsidP="00D82B99">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14:paraId="41739249" w14:textId="77777777" w:rsidR="00E83CD7" w:rsidRPr="00A479BA" w:rsidRDefault="00E83CD7" w:rsidP="00D82B99">
      <w:pPr>
        <w:spacing w:before="45" w:after="45"/>
        <w:jc w:val="both"/>
        <w:rPr>
          <w:rFonts w:cs="Arial"/>
          <w:szCs w:val="22"/>
        </w:rPr>
      </w:pPr>
      <w:r w:rsidRPr="00A479BA">
        <w:rPr>
          <w:rFonts w:cs="Arial"/>
          <w:szCs w:val="22"/>
        </w:rPr>
        <w:t>The following checks are to be conducted:</w:t>
      </w:r>
    </w:p>
    <w:p w14:paraId="09BFC9F2" w14:textId="77777777" w:rsidR="00E83CD7" w:rsidRPr="00A479BA" w:rsidRDefault="00E83CD7" w:rsidP="00D82B99">
      <w:pPr>
        <w:pStyle w:val="ListNumber"/>
        <w:numPr>
          <w:ilvl w:val="0"/>
          <w:numId w:val="12"/>
        </w:numPr>
        <w:jc w:val="both"/>
      </w:pPr>
      <w:r w:rsidRPr="00A479BA">
        <w:t>Pre-employment checks</w:t>
      </w:r>
    </w:p>
    <w:p w14:paraId="1DB31113" w14:textId="77777777" w:rsidR="00E83CD7" w:rsidRPr="00A479BA" w:rsidRDefault="00E83CD7" w:rsidP="00D82B99">
      <w:pPr>
        <w:pStyle w:val="ListBullet2"/>
        <w:jc w:val="both"/>
      </w:pPr>
      <w:r w:rsidRPr="00A479BA">
        <w:t>Arson and fire setting</w:t>
      </w:r>
    </w:p>
    <w:p w14:paraId="79A2B64E" w14:textId="77777777" w:rsidR="00E83CD7" w:rsidRPr="00A479BA" w:rsidRDefault="00E83CD7" w:rsidP="00D82B99">
      <w:pPr>
        <w:pStyle w:val="ListBullet2"/>
        <w:jc w:val="both"/>
      </w:pPr>
      <w:r w:rsidRPr="00A479BA">
        <w:t>Violent crimes and crimes against the person</w:t>
      </w:r>
    </w:p>
    <w:p w14:paraId="7238B536" w14:textId="77777777" w:rsidR="00E83CD7" w:rsidRPr="00A479BA" w:rsidRDefault="00E83CD7" w:rsidP="00D82B99">
      <w:pPr>
        <w:pStyle w:val="ListBullet2"/>
        <w:jc w:val="both"/>
      </w:pPr>
      <w:r w:rsidRPr="00A479BA">
        <w:t>Sex-related offences</w:t>
      </w:r>
    </w:p>
    <w:p w14:paraId="048CC198" w14:textId="77777777" w:rsidR="00E83CD7" w:rsidRPr="00A479BA" w:rsidRDefault="00E83CD7" w:rsidP="00D82B99">
      <w:pPr>
        <w:pStyle w:val="ListBullet2"/>
        <w:jc w:val="both"/>
      </w:pPr>
      <w:r w:rsidRPr="00A479BA">
        <w:t>Drug and alcohol related offences</w:t>
      </w:r>
    </w:p>
    <w:p w14:paraId="26EBAA21" w14:textId="77777777" w:rsidR="00E83CD7" w:rsidRPr="00A479BA" w:rsidRDefault="00E83CD7" w:rsidP="00D82B99">
      <w:pPr>
        <w:pStyle w:val="ListBullet2"/>
        <w:jc w:val="both"/>
      </w:pPr>
      <w:r w:rsidRPr="00A479BA">
        <w:t>Crimes involving dishonesty</w:t>
      </w:r>
    </w:p>
    <w:p w14:paraId="39EA7986" w14:textId="77777777" w:rsidR="00E83CD7" w:rsidRPr="00A479BA" w:rsidRDefault="00E83CD7" w:rsidP="00D82B99">
      <w:pPr>
        <w:pStyle w:val="ListBullet2"/>
        <w:jc w:val="both"/>
      </w:pPr>
      <w:r w:rsidRPr="00A479BA">
        <w:t>Crimes involving deception</w:t>
      </w:r>
    </w:p>
    <w:p w14:paraId="7344D2BB" w14:textId="77777777" w:rsidR="00E83CD7" w:rsidRPr="00A479BA" w:rsidRDefault="00E83CD7" w:rsidP="00D82B99">
      <w:pPr>
        <w:pStyle w:val="ListBullet2"/>
        <w:jc w:val="both"/>
      </w:pPr>
      <w:r w:rsidRPr="00A479BA">
        <w:t>Making false declarations</w:t>
      </w:r>
    </w:p>
    <w:p w14:paraId="325553F5" w14:textId="77777777" w:rsidR="00E83CD7" w:rsidRPr="00A479BA" w:rsidRDefault="00E83CD7" w:rsidP="00D82B99">
      <w:pPr>
        <w:pStyle w:val="ListBullet2"/>
        <w:jc w:val="both"/>
      </w:pPr>
      <w:r w:rsidRPr="00A479BA">
        <w:t>Malicious damage and destruction to property</w:t>
      </w:r>
    </w:p>
    <w:p w14:paraId="0E82B9F2" w14:textId="77777777" w:rsidR="00E83CD7" w:rsidRPr="00A479BA" w:rsidRDefault="00E83CD7" w:rsidP="00D82B99">
      <w:pPr>
        <w:pStyle w:val="ListBullet2"/>
        <w:jc w:val="both"/>
      </w:pPr>
      <w:r w:rsidRPr="00A479BA">
        <w:t>Serious traffic offences</w:t>
      </w:r>
    </w:p>
    <w:p w14:paraId="48242785" w14:textId="77777777" w:rsidR="00E83CD7" w:rsidRPr="00A479BA" w:rsidRDefault="00E83CD7" w:rsidP="00D82B99">
      <w:pPr>
        <w:pStyle w:val="ListBullet2"/>
        <w:jc w:val="both"/>
      </w:pPr>
      <w:r w:rsidRPr="00A479BA">
        <w:t>Crimes against public order or relating to the Administration of Law and Justice</w:t>
      </w:r>
    </w:p>
    <w:p w14:paraId="2E0CF268" w14:textId="77777777" w:rsidR="00E83CD7" w:rsidRPr="00A479BA" w:rsidRDefault="00E83CD7" w:rsidP="00D82B99">
      <w:pPr>
        <w:pStyle w:val="ListBullet2"/>
        <w:jc w:val="both"/>
      </w:pPr>
      <w:r w:rsidRPr="00A479BA">
        <w:t>Crimes against Executive or the Legislative Power</w:t>
      </w:r>
    </w:p>
    <w:p w14:paraId="41BC587F" w14:textId="77777777" w:rsidR="00E83CD7" w:rsidRPr="00A479BA" w:rsidRDefault="00E83CD7" w:rsidP="00D82B99">
      <w:pPr>
        <w:pStyle w:val="ListBullet2"/>
        <w:jc w:val="both"/>
      </w:pPr>
      <w:r w:rsidRPr="00A479BA">
        <w:t>Crimes involving Conspiracy</w:t>
      </w:r>
    </w:p>
    <w:p w14:paraId="719BDC5F" w14:textId="77777777" w:rsidR="00E83CD7" w:rsidRPr="00A479BA" w:rsidRDefault="00E83CD7" w:rsidP="00D82B99">
      <w:pPr>
        <w:pStyle w:val="ListNumber"/>
        <w:jc w:val="both"/>
      </w:pPr>
      <w:r w:rsidRPr="00A479BA">
        <w:t>Disciplinary action in previous employment.</w:t>
      </w:r>
    </w:p>
    <w:p w14:paraId="0362195C" w14:textId="77777777" w:rsidR="00E83CD7" w:rsidRPr="00A479BA" w:rsidRDefault="00E83CD7" w:rsidP="00D82B99">
      <w:pPr>
        <w:pStyle w:val="ListNumber"/>
        <w:jc w:val="both"/>
      </w:pPr>
      <w:r w:rsidRPr="00A479BA">
        <w:t>Identification check.</w:t>
      </w:r>
    </w:p>
    <w:p w14:paraId="0A3D31A6" w14:textId="77777777" w:rsidR="003216C8" w:rsidRPr="00402FBA" w:rsidRDefault="003216C8" w:rsidP="00E83CD7">
      <w:pPr>
        <w:pStyle w:val="ListNumber"/>
        <w:numPr>
          <w:ilvl w:val="0"/>
          <w:numId w:val="0"/>
        </w:numPr>
      </w:pPr>
    </w:p>
    <w:p w14:paraId="1B2193B7" w14:textId="77777777" w:rsidR="00E83CD7" w:rsidRDefault="000906F1" w:rsidP="000906F1">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8315FE" w:rsidRPr="00005DBB" w14:paraId="4BE22557" w14:textId="77777777" w:rsidTr="008315FE">
        <w:trPr>
          <w:tblHeader/>
        </w:trPr>
        <w:tc>
          <w:tcPr>
            <w:tcW w:w="3319" w:type="dxa"/>
            <w:shd w:val="clear" w:color="auto" w:fill="EEECE1"/>
            <w:vAlign w:val="center"/>
          </w:tcPr>
          <w:p w14:paraId="722C9963" w14:textId="77777777" w:rsidR="008315FE" w:rsidRPr="00B9618A" w:rsidRDefault="008315FE" w:rsidP="008315FE">
            <w:pPr>
              <w:pStyle w:val="Heading3table"/>
            </w:pPr>
            <w:r w:rsidRPr="00B9618A">
              <w:t>Title</w:t>
            </w:r>
          </w:p>
        </w:tc>
        <w:tc>
          <w:tcPr>
            <w:tcW w:w="6085" w:type="dxa"/>
            <w:shd w:val="clear" w:color="auto" w:fill="EEECE1"/>
            <w:vAlign w:val="center"/>
          </w:tcPr>
          <w:p w14:paraId="5C0FEDBE" w14:textId="08DC6331" w:rsidR="008315FE" w:rsidRPr="00005DBB" w:rsidRDefault="008315FE" w:rsidP="008315FE">
            <w:pPr>
              <w:pStyle w:val="Normaltable"/>
            </w:pPr>
            <w:r>
              <w:t>Analyst</w:t>
            </w:r>
          </w:p>
        </w:tc>
      </w:tr>
      <w:tr w:rsidR="008315FE" w:rsidRPr="00005DBB" w14:paraId="457B1CCE" w14:textId="77777777" w:rsidTr="008315FE">
        <w:trPr>
          <w:tblHeader/>
        </w:trPr>
        <w:tc>
          <w:tcPr>
            <w:tcW w:w="3319" w:type="dxa"/>
            <w:shd w:val="clear" w:color="auto" w:fill="EEECE1"/>
            <w:vAlign w:val="center"/>
          </w:tcPr>
          <w:p w14:paraId="3DBF5844" w14:textId="77777777" w:rsidR="008315FE" w:rsidRPr="00B9618A" w:rsidRDefault="008315FE" w:rsidP="008315FE">
            <w:pPr>
              <w:pStyle w:val="Heading3table"/>
            </w:pPr>
            <w:r w:rsidRPr="00B9618A">
              <w:t>Number</w:t>
            </w:r>
          </w:p>
        </w:tc>
        <w:tc>
          <w:tcPr>
            <w:tcW w:w="6085" w:type="dxa"/>
            <w:shd w:val="clear" w:color="auto" w:fill="EEECE1"/>
            <w:vAlign w:val="center"/>
          </w:tcPr>
          <w:p w14:paraId="7A831BAF" w14:textId="09D61589" w:rsidR="008315FE" w:rsidRPr="00005DBB" w:rsidRDefault="008315FE" w:rsidP="008315FE">
            <w:pPr>
              <w:pStyle w:val="Normaltable"/>
            </w:pPr>
            <w:r>
              <w:t>356780</w:t>
            </w:r>
          </w:p>
        </w:tc>
      </w:tr>
      <w:tr w:rsidR="008315FE" w:rsidRPr="00005DBB" w14:paraId="4D5C2EC6" w14:textId="77777777" w:rsidTr="008315FE">
        <w:trPr>
          <w:tblHeader/>
        </w:trPr>
        <w:tc>
          <w:tcPr>
            <w:tcW w:w="3319" w:type="dxa"/>
            <w:shd w:val="clear" w:color="auto" w:fill="EEECE1"/>
            <w:vAlign w:val="center"/>
          </w:tcPr>
          <w:p w14:paraId="1F0CEC2C" w14:textId="77777777" w:rsidR="008315FE" w:rsidRPr="00B9618A" w:rsidRDefault="008315FE" w:rsidP="008315FE">
            <w:pPr>
              <w:pStyle w:val="Heading3table"/>
            </w:pPr>
            <w:r w:rsidRPr="00B9618A">
              <w:t>Award</w:t>
            </w:r>
          </w:p>
        </w:tc>
        <w:tc>
          <w:tcPr>
            <w:tcW w:w="6085" w:type="dxa"/>
            <w:shd w:val="clear" w:color="auto" w:fill="EEECE1"/>
            <w:vAlign w:val="center"/>
          </w:tcPr>
          <w:p w14:paraId="6BA5AD47" w14:textId="7504EE3A" w:rsidR="008315FE" w:rsidRPr="00005DBB" w:rsidRDefault="008315FE" w:rsidP="008315FE">
            <w:pPr>
              <w:pStyle w:val="Normaltable"/>
            </w:pPr>
            <w:r>
              <w:t>Tasmanian State Service Award</w:t>
            </w:r>
          </w:p>
        </w:tc>
      </w:tr>
      <w:tr w:rsidR="008315FE" w:rsidRPr="00005DBB" w14:paraId="36C2D7CF" w14:textId="77777777" w:rsidTr="008315FE">
        <w:trPr>
          <w:tblHeader/>
        </w:trPr>
        <w:tc>
          <w:tcPr>
            <w:tcW w:w="3319" w:type="dxa"/>
            <w:shd w:val="clear" w:color="auto" w:fill="EEECE1"/>
            <w:vAlign w:val="center"/>
          </w:tcPr>
          <w:p w14:paraId="647B2F41" w14:textId="77777777" w:rsidR="008315FE" w:rsidRPr="00B9618A" w:rsidRDefault="008315FE" w:rsidP="008315FE">
            <w:pPr>
              <w:pStyle w:val="Heading3table"/>
            </w:pPr>
            <w:r w:rsidRPr="00B9618A">
              <w:t>Classification</w:t>
            </w:r>
          </w:p>
        </w:tc>
        <w:tc>
          <w:tcPr>
            <w:tcW w:w="6085" w:type="dxa"/>
            <w:shd w:val="clear" w:color="auto" w:fill="EEECE1"/>
            <w:vAlign w:val="center"/>
          </w:tcPr>
          <w:p w14:paraId="59DDE198" w14:textId="59340F85" w:rsidR="008315FE" w:rsidRPr="00005DBB" w:rsidRDefault="008315FE" w:rsidP="008315FE">
            <w:pPr>
              <w:pStyle w:val="Normaltable"/>
            </w:pPr>
            <w:r>
              <w:t>General Stream Band 4</w:t>
            </w:r>
          </w:p>
        </w:tc>
      </w:tr>
      <w:tr w:rsidR="008315FE" w:rsidRPr="00005DBB" w14:paraId="4D875102" w14:textId="77777777" w:rsidTr="008315FE">
        <w:trPr>
          <w:tblHeader/>
        </w:trPr>
        <w:tc>
          <w:tcPr>
            <w:tcW w:w="3319" w:type="dxa"/>
            <w:shd w:val="clear" w:color="auto" w:fill="EEECE1"/>
            <w:vAlign w:val="center"/>
          </w:tcPr>
          <w:p w14:paraId="6BDDFC95" w14:textId="77777777" w:rsidR="008315FE" w:rsidRPr="00B9618A" w:rsidRDefault="008315FE" w:rsidP="008315FE">
            <w:pPr>
              <w:pStyle w:val="Heading3table"/>
            </w:pPr>
            <w:r>
              <w:t>Division</w:t>
            </w:r>
          </w:p>
        </w:tc>
        <w:tc>
          <w:tcPr>
            <w:tcW w:w="6085" w:type="dxa"/>
            <w:shd w:val="clear" w:color="auto" w:fill="EEECE1"/>
            <w:vAlign w:val="center"/>
          </w:tcPr>
          <w:p w14:paraId="7D506198" w14:textId="3D444340" w:rsidR="008315FE" w:rsidRPr="00005DBB" w:rsidRDefault="008315FE" w:rsidP="008315FE">
            <w:pPr>
              <w:pStyle w:val="Normaltable"/>
            </w:pPr>
            <w:r>
              <w:t>Regulation and Service Delivery</w:t>
            </w:r>
          </w:p>
        </w:tc>
      </w:tr>
      <w:tr w:rsidR="008315FE" w:rsidRPr="00005DBB" w14:paraId="57DCAB15" w14:textId="77777777" w:rsidTr="008315FE">
        <w:trPr>
          <w:tblHeader/>
        </w:trPr>
        <w:tc>
          <w:tcPr>
            <w:tcW w:w="3319" w:type="dxa"/>
            <w:shd w:val="clear" w:color="auto" w:fill="EEECE1"/>
            <w:vAlign w:val="center"/>
          </w:tcPr>
          <w:p w14:paraId="5B3B94B0" w14:textId="77777777" w:rsidR="008315FE" w:rsidRPr="00B9618A" w:rsidRDefault="008315FE" w:rsidP="008315FE">
            <w:pPr>
              <w:pStyle w:val="Heading3table"/>
            </w:pPr>
            <w:r w:rsidRPr="00B9618A">
              <w:t>Full Time Equivalent</w:t>
            </w:r>
          </w:p>
        </w:tc>
        <w:tc>
          <w:tcPr>
            <w:tcW w:w="6085" w:type="dxa"/>
            <w:shd w:val="clear" w:color="auto" w:fill="EEECE1"/>
            <w:vAlign w:val="center"/>
          </w:tcPr>
          <w:p w14:paraId="5F966978" w14:textId="7ED4B13B" w:rsidR="008315FE" w:rsidRPr="00005DBB" w:rsidRDefault="008315FE" w:rsidP="008315FE">
            <w:pPr>
              <w:pStyle w:val="Normaltable"/>
            </w:pPr>
            <w:r>
              <w:t>1.0</w:t>
            </w:r>
          </w:p>
        </w:tc>
      </w:tr>
      <w:tr w:rsidR="008315FE" w:rsidRPr="00005DBB" w14:paraId="6F6DF9D6" w14:textId="77777777" w:rsidTr="008315FE">
        <w:trPr>
          <w:tblHeader/>
        </w:trPr>
        <w:tc>
          <w:tcPr>
            <w:tcW w:w="3319" w:type="dxa"/>
            <w:shd w:val="clear" w:color="auto" w:fill="EEECE1"/>
            <w:vAlign w:val="center"/>
          </w:tcPr>
          <w:p w14:paraId="479C1879" w14:textId="77777777" w:rsidR="008315FE" w:rsidRPr="00B9618A" w:rsidRDefault="008315FE" w:rsidP="008315FE">
            <w:pPr>
              <w:pStyle w:val="Heading3table"/>
            </w:pPr>
            <w:r>
              <w:t>Output Group</w:t>
            </w:r>
          </w:p>
        </w:tc>
        <w:tc>
          <w:tcPr>
            <w:tcW w:w="6085" w:type="dxa"/>
            <w:shd w:val="clear" w:color="auto" w:fill="EEECE1"/>
            <w:vAlign w:val="center"/>
          </w:tcPr>
          <w:p w14:paraId="78F0E177" w14:textId="40A03379" w:rsidR="008315FE" w:rsidRPr="00005DBB" w:rsidRDefault="008315FE" w:rsidP="008315FE">
            <w:pPr>
              <w:pStyle w:val="Normaltable"/>
            </w:pPr>
            <w:r>
              <w:t xml:space="preserve">Safe at Home </w:t>
            </w:r>
          </w:p>
        </w:tc>
      </w:tr>
      <w:tr w:rsidR="008315FE" w:rsidRPr="00005DBB" w14:paraId="5CDF6195" w14:textId="77777777" w:rsidTr="008315FE">
        <w:trPr>
          <w:tblHeader/>
        </w:trPr>
        <w:tc>
          <w:tcPr>
            <w:tcW w:w="3319" w:type="dxa"/>
            <w:shd w:val="clear" w:color="auto" w:fill="EEECE1"/>
            <w:vAlign w:val="center"/>
          </w:tcPr>
          <w:p w14:paraId="691683B8" w14:textId="77777777" w:rsidR="008315FE" w:rsidRPr="00B9618A" w:rsidRDefault="008315FE" w:rsidP="008315FE">
            <w:pPr>
              <w:pStyle w:val="Heading3table"/>
            </w:pPr>
            <w:r w:rsidRPr="00B9618A">
              <w:t>Branch</w:t>
            </w:r>
          </w:p>
        </w:tc>
        <w:tc>
          <w:tcPr>
            <w:tcW w:w="6085" w:type="dxa"/>
            <w:shd w:val="clear" w:color="auto" w:fill="EEECE1"/>
            <w:vAlign w:val="center"/>
          </w:tcPr>
          <w:p w14:paraId="347CCEDE" w14:textId="5CE3795B" w:rsidR="008315FE" w:rsidRPr="00005DBB" w:rsidRDefault="008315FE" w:rsidP="008315FE">
            <w:pPr>
              <w:pStyle w:val="Normaltable"/>
            </w:pPr>
            <w:r>
              <w:t xml:space="preserve">Safe Families Coordination Unit </w:t>
            </w:r>
          </w:p>
        </w:tc>
      </w:tr>
      <w:tr w:rsidR="008315FE" w:rsidRPr="00005DBB" w14:paraId="339F5E12" w14:textId="77777777" w:rsidTr="008315FE">
        <w:trPr>
          <w:tblHeader/>
        </w:trPr>
        <w:tc>
          <w:tcPr>
            <w:tcW w:w="3319" w:type="dxa"/>
            <w:shd w:val="clear" w:color="auto" w:fill="EEECE1"/>
            <w:vAlign w:val="center"/>
          </w:tcPr>
          <w:p w14:paraId="00AF759D" w14:textId="77777777" w:rsidR="008315FE" w:rsidRPr="00B9618A" w:rsidRDefault="008315FE" w:rsidP="008315FE">
            <w:pPr>
              <w:pStyle w:val="Heading3table"/>
            </w:pPr>
            <w:r w:rsidRPr="00B9618A">
              <w:t>Supervisor</w:t>
            </w:r>
          </w:p>
        </w:tc>
        <w:tc>
          <w:tcPr>
            <w:tcW w:w="6085" w:type="dxa"/>
            <w:shd w:val="clear" w:color="auto" w:fill="EEECE1"/>
            <w:vAlign w:val="center"/>
          </w:tcPr>
          <w:p w14:paraId="5C12777E" w14:textId="1DB36E14" w:rsidR="008315FE" w:rsidRPr="00EE50F8" w:rsidRDefault="008315FE" w:rsidP="008315FE">
            <w:pPr>
              <w:pStyle w:val="Normaltable"/>
              <w:rPr>
                <w:rFonts w:cs="Arial"/>
              </w:rPr>
            </w:pPr>
            <w:r>
              <w:rPr>
                <w:rFonts w:cs="Arial"/>
              </w:rPr>
              <w:t xml:space="preserve">Investigator </w:t>
            </w:r>
            <w:r>
              <w:t>Safe Families Coordination Unit</w:t>
            </w:r>
          </w:p>
        </w:tc>
      </w:tr>
      <w:tr w:rsidR="008315FE" w:rsidRPr="00005DBB" w14:paraId="0FAE8296" w14:textId="77777777" w:rsidTr="008315FE">
        <w:trPr>
          <w:tblHeader/>
        </w:trPr>
        <w:tc>
          <w:tcPr>
            <w:tcW w:w="3319" w:type="dxa"/>
            <w:shd w:val="clear" w:color="auto" w:fill="EEECE1"/>
            <w:vAlign w:val="center"/>
          </w:tcPr>
          <w:p w14:paraId="03E89AB4" w14:textId="77777777" w:rsidR="008315FE" w:rsidRPr="00B9618A" w:rsidRDefault="008315FE" w:rsidP="008315FE">
            <w:pPr>
              <w:pStyle w:val="Heading3table"/>
            </w:pPr>
            <w:r w:rsidRPr="00B9618A">
              <w:t>Direct Reports</w:t>
            </w:r>
          </w:p>
        </w:tc>
        <w:tc>
          <w:tcPr>
            <w:tcW w:w="6085" w:type="dxa"/>
            <w:shd w:val="clear" w:color="auto" w:fill="EEECE1"/>
            <w:vAlign w:val="center"/>
          </w:tcPr>
          <w:p w14:paraId="60299DD1" w14:textId="0792BCD3" w:rsidR="008315FE" w:rsidRPr="00EE50F8" w:rsidRDefault="008315FE" w:rsidP="008315FE">
            <w:pPr>
              <w:pStyle w:val="Normaltable"/>
              <w:rPr>
                <w:rFonts w:cs="Arial"/>
              </w:rPr>
            </w:pPr>
            <w:r>
              <w:rPr>
                <w:rFonts w:cs="Arial"/>
              </w:rPr>
              <w:t>Nil</w:t>
            </w:r>
          </w:p>
        </w:tc>
      </w:tr>
      <w:tr w:rsidR="008315FE" w:rsidRPr="00005DBB" w14:paraId="5F7BBE5E" w14:textId="77777777" w:rsidTr="008315FE">
        <w:trPr>
          <w:tblHeader/>
        </w:trPr>
        <w:tc>
          <w:tcPr>
            <w:tcW w:w="3319" w:type="dxa"/>
            <w:shd w:val="clear" w:color="auto" w:fill="EEECE1"/>
            <w:vAlign w:val="center"/>
          </w:tcPr>
          <w:p w14:paraId="34D47F6C" w14:textId="77777777" w:rsidR="008315FE" w:rsidRPr="00B9618A" w:rsidRDefault="008315FE" w:rsidP="008315FE">
            <w:pPr>
              <w:pStyle w:val="Heading3table"/>
            </w:pPr>
            <w:r w:rsidRPr="00B9618A">
              <w:t>Location</w:t>
            </w:r>
          </w:p>
        </w:tc>
        <w:tc>
          <w:tcPr>
            <w:tcW w:w="6085" w:type="dxa"/>
            <w:shd w:val="clear" w:color="auto" w:fill="EEECE1"/>
            <w:vAlign w:val="center"/>
          </w:tcPr>
          <w:p w14:paraId="6A547983" w14:textId="2362B00A" w:rsidR="008315FE" w:rsidRPr="00EE50F8" w:rsidRDefault="008315FE" w:rsidP="008315FE">
            <w:pPr>
              <w:pStyle w:val="Normaltable"/>
              <w:rPr>
                <w:rFonts w:cs="Arial"/>
              </w:rPr>
            </w:pPr>
            <w:r>
              <w:rPr>
                <w:rFonts w:cs="Arial"/>
              </w:rPr>
              <w:t xml:space="preserve">Hobart </w:t>
            </w:r>
          </w:p>
        </w:tc>
      </w:tr>
      <w:tr w:rsidR="008315FE" w:rsidRPr="00005DBB" w14:paraId="69F22350" w14:textId="77777777" w:rsidTr="008315FE">
        <w:trPr>
          <w:tblHeader/>
        </w:trPr>
        <w:tc>
          <w:tcPr>
            <w:tcW w:w="3319" w:type="dxa"/>
            <w:shd w:val="clear" w:color="auto" w:fill="EEECE1"/>
            <w:vAlign w:val="center"/>
          </w:tcPr>
          <w:p w14:paraId="294312E9" w14:textId="77777777" w:rsidR="008315FE" w:rsidRPr="00B9618A" w:rsidRDefault="008315FE" w:rsidP="008315FE">
            <w:pPr>
              <w:pStyle w:val="Heading3table"/>
            </w:pPr>
            <w:r w:rsidRPr="00B9618A">
              <w:t>Position category and funding</w:t>
            </w:r>
          </w:p>
        </w:tc>
        <w:tc>
          <w:tcPr>
            <w:tcW w:w="6085" w:type="dxa"/>
            <w:shd w:val="clear" w:color="auto" w:fill="EEECE1"/>
            <w:vAlign w:val="center"/>
          </w:tcPr>
          <w:p w14:paraId="6CBF307F" w14:textId="1C082AC1" w:rsidR="008315FE" w:rsidRPr="00995F4A" w:rsidRDefault="008315FE" w:rsidP="008315FE">
            <w:pPr>
              <w:pStyle w:val="Normaltable"/>
            </w:pPr>
            <w:r>
              <w:rPr>
                <w:rFonts w:cs="Arial"/>
                <w:szCs w:val="22"/>
              </w:rPr>
              <w:t>T704</w:t>
            </w:r>
          </w:p>
        </w:tc>
      </w:tr>
    </w:tbl>
    <w:p w14:paraId="359CA9AF" w14:textId="1B7AF952" w:rsidR="00C552B9" w:rsidRPr="00FE28E6" w:rsidRDefault="00C552B9" w:rsidP="00A479BA">
      <w:pPr>
        <w:pStyle w:val="ListBullet"/>
        <w:numPr>
          <w:ilvl w:val="0"/>
          <w:numId w:val="0"/>
        </w:numPr>
      </w:pPr>
      <w:bookmarkStart w:id="0" w:name="_GoBack"/>
      <w:bookmarkEnd w:id="0"/>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8A05" w14:textId="77777777" w:rsidR="00C91441" w:rsidRDefault="00C91441" w:rsidP="00967FD5">
      <w:r>
        <w:separator/>
      </w:r>
    </w:p>
  </w:endnote>
  <w:endnote w:type="continuationSeparator" w:id="0">
    <w:p w14:paraId="6C18586F" w14:textId="77777777" w:rsidR="00C91441" w:rsidRDefault="00C91441"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illSans Light">
    <w:altName w:val="Arial"/>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14:paraId="6C451AA4" w14:textId="73F3A6C3" w:rsidR="00C27F0D" w:rsidRDefault="00C27F0D">
        <w:pPr>
          <w:pStyle w:val="Footer"/>
          <w:jc w:val="right"/>
        </w:pPr>
        <w:r>
          <w:fldChar w:fldCharType="begin"/>
        </w:r>
        <w:r>
          <w:instrText xml:space="preserve"> PAGE   \* MERGEFORMAT </w:instrText>
        </w:r>
        <w:r>
          <w:fldChar w:fldCharType="separate"/>
        </w:r>
        <w:r w:rsidR="00D82B99">
          <w:rPr>
            <w:noProof/>
          </w:rPr>
          <w:t>2</w:t>
        </w:r>
        <w:r>
          <w:rPr>
            <w:noProof/>
          </w:rPr>
          <w:fldChar w:fldCharType="end"/>
        </w:r>
      </w:p>
    </w:sdtContent>
  </w:sdt>
  <w:p w14:paraId="321BF61F" w14:textId="77777777"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14:paraId="49D70B01" w14:textId="77777777" w:rsidR="00061E20" w:rsidRDefault="00061E20" w:rsidP="00061E20">
        <w:pPr>
          <w:pStyle w:val="Footer"/>
        </w:pPr>
      </w:p>
      <w:p w14:paraId="59CE123C" w14:textId="08E2CB19" w:rsidR="00C27F0D" w:rsidRDefault="00061E20">
        <w:pPr>
          <w:pStyle w:val="Footer"/>
        </w:pPr>
        <w:r w:rsidRPr="00FD6807">
          <w:rPr>
            <w:i/>
          </w:rPr>
          <w:t xml:space="preserve">Last reviewed: </w:t>
        </w:r>
        <w:r w:rsidR="008315FE">
          <w:rPr>
            <w:i/>
          </w:rPr>
          <w:t>August 2021</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F5DF" w14:textId="77777777" w:rsidR="00C91441" w:rsidRDefault="00C91441" w:rsidP="00967FD5">
      <w:r>
        <w:separator/>
      </w:r>
    </w:p>
  </w:footnote>
  <w:footnote w:type="continuationSeparator" w:id="0">
    <w:p w14:paraId="06168BBF" w14:textId="77777777" w:rsidR="00C91441" w:rsidRDefault="00C91441"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0B80" w14:textId="77777777"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14:anchorId="14276B1F" wp14:editId="474543E0">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9C5E74"/>
    <w:multiLevelType w:val="hybridMultilevel"/>
    <w:tmpl w:val="8F86A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 w15:restartNumberingAfterBreak="0">
    <w:nsid w:val="0D9963AC"/>
    <w:multiLevelType w:val="hybridMultilevel"/>
    <w:tmpl w:val="020E1CEC"/>
    <w:lvl w:ilvl="0" w:tplc="73145FD0">
      <w:start w:val="1"/>
      <w:numFmt w:val="lowerLetter"/>
      <w:lvlText w:val="%1)"/>
      <w:lvlJc w:val="left"/>
      <w:pPr>
        <w:ind w:left="1800" w:hanging="360"/>
      </w:pPr>
      <w:rPr>
        <w:rFonts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732D40"/>
    <w:multiLevelType w:val="hybridMultilevel"/>
    <w:tmpl w:val="30126E8C"/>
    <w:lvl w:ilvl="0" w:tplc="547C6DA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AC61ED"/>
    <w:multiLevelType w:val="hybridMultilevel"/>
    <w:tmpl w:val="43B858DC"/>
    <w:lvl w:ilvl="0" w:tplc="85D8255A">
      <w:start w:val="1"/>
      <w:numFmt w:val="decimal"/>
      <w:lvlText w:val="%1."/>
      <w:lvlJc w:val="left"/>
      <w:pPr>
        <w:ind w:left="568" w:hanging="284"/>
      </w:pPr>
      <w:rPr>
        <w:rFonts w:hint="default"/>
        <w:b w:val="0"/>
        <w:i w:val="0"/>
        <w:color w:val="auto"/>
        <w:position w:val="-2"/>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2"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2E135F"/>
    <w:multiLevelType w:val="hybridMultilevel"/>
    <w:tmpl w:val="156ADBF6"/>
    <w:lvl w:ilvl="0" w:tplc="03CAD378">
      <w:start w:val="1"/>
      <w:numFmt w:val="bullet"/>
      <w:lvlText w:val=""/>
      <w:lvlJc w:val="left"/>
      <w:pPr>
        <w:ind w:left="568" w:hanging="284"/>
      </w:pPr>
      <w:rPr>
        <w:rFonts w:ascii="Arial Black" w:hAnsi="Arial Black" w:hint="default"/>
        <w:b/>
        <w:i w:val="0"/>
        <w:color w:val="002B54"/>
        <w:position w:val="-2"/>
        <w:sz w:val="3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EE7E55"/>
    <w:multiLevelType w:val="hybridMultilevel"/>
    <w:tmpl w:val="84C88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34C719B"/>
    <w:multiLevelType w:val="hybridMultilevel"/>
    <w:tmpl w:val="2DF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316323"/>
    <w:multiLevelType w:val="hybridMultilevel"/>
    <w:tmpl w:val="C75ED6E0"/>
    <w:lvl w:ilvl="0" w:tplc="7BE218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06F14"/>
    <w:multiLevelType w:val="hybridMultilevel"/>
    <w:tmpl w:val="32D0A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9" w15:restartNumberingAfterBreak="0">
    <w:nsid w:val="5A873F0B"/>
    <w:multiLevelType w:val="hybridMultilevel"/>
    <w:tmpl w:val="8A4E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41359A"/>
    <w:multiLevelType w:val="hybridMultilevel"/>
    <w:tmpl w:val="7826BF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CA72E7"/>
    <w:multiLevelType w:val="hybridMultilevel"/>
    <w:tmpl w:val="CC7C476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305F6"/>
    <w:multiLevelType w:val="hybridMultilevel"/>
    <w:tmpl w:val="D006F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A0635"/>
    <w:multiLevelType w:val="hybridMultilevel"/>
    <w:tmpl w:val="B678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116E95"/>
    <w:multiLevelType w:val="hybridMultilevel"/>
    <w:tmpl w:val="385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3A2341"/>
    <w:multiLevelType w:val="hybridMultilevel"/>
    <w:tmpl w:val="793A1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17"/>
  </w:num>
  <w:num w:numId="5">
    <w:abstractNumId w:val="24"/>
  </w:num>
  <w:num w:numId="6">
    <w:abstractNumId w:val="12"/>
  </w:num>
  <w:num w:numId="7">
    <w:abstractNumId w:val="2"/>
  </w:num>
  <w:num w:numId="8">
    <w:abstractNumId w:val="8"/>
  </w:num>
  <w:num w:numId="9">
    <w:abstractNumId w:val="38"/>
  </w:num>
  <w:num w:numId="10">
    <w:abstractNumId w:val="13"/>
  </w:num>
  <w:num w:numId="11">
    <w:abstractNumId w:val="1"/>
  </w:num>
  <w:num w:numId="12">
    <w:abstractNumId w:val="1"/>
    <w:lvlOverride w:ilvl="0">
      <w:startOverride w:val="1"/>
    </w:lvlOverride>
  </w:num>
  <w:num w:numId="13">
    <w:abstractNumId w:val="0"/>
  </w:num>
  <w:num w:numId="14">
    <w:abstractNumId w:val="3"/>
  </w:num>
  <w:num w:numId="15">
    <w:abstractNumId w:val="35"/>
  </w:num>
  <w:num w:numId="16">
    <w:abstractNumId w:val="20"/>
  </w:num>
  <w:num w:numId="17">
    <w:abstractNumId w:val="25"/>
  </w:num>
  <w:num w:numId="18">
    <w:abstractNumId w:val="18"/>
  </w:num>
  <w:num w:numId="19">
    <w:abstractNumId w:val="26"/>
  </w:num>
  <w:num w:numId="20">
    <w:abstractNumId w:val="10"/>
  </w:num>
  <w:num w:numId="21">
    <w:abstractNumId w:val="22"/>
  </w:num>
  <w:num w:numId="22">
    <w:abstractNumId w:val="13"/>
  </w:num>
  <w:num w:numId="23">
    <w:abstractNumId w:val="13"/>
  </w:num>
  <w:num w:numId="24">
    <w:abstractNumId w:val="5"/>
  </w:num>
  <w:num w:numId="25">
    <w:abstractNumId w:val="36"/>
  </w:num>
  <w:num w:numId="26">
    <w:abstractNumId w:val="13"/>
  </w:num>
  <w:num w:numId="27">
    <w:abstractNumId w:val="29"/>
  </w:num>
  <w:num w:numId="28">
    <w:abstractNumId w:val="32"/>
  </w:num>
  <w:num w:numId="29">
    <w:abstractNumId w:val="33"/>
  </w:num>
  <w:num w:numId="30">
    <w:abstractNumId w:val="21"/>
  </w:num>
  <w:num w:numId="31">
    <w:abstractNumId w:val="31"/>
  </w:num>
  <w:num w:numId="32">
    <w:abstractNumId w:val="16"/>
  </w:num>
  <w:num w:numId="33">
    <w:abstractNumId w:val="23"/>
  </w:num>
  <w:num w:numId="34">
    <w:abstractNumId w:val="19"/>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37"/>
  </w:num>
  <w:num w:numId="40">
    <w:abstractNumId w:val="13"/>
  </w:num>
  <w:num w:numId="41">
    <w:abstractNumId w:val="27"/>
  </w:num>
  <w:num w:numId="42">
    <w:abstractNumId w:val="34"/>
  </w:num>
  <w:num w:numId="43">
    <w:abstractNumId w:val="14"/>
  </w:num>
  <w:num w:numId="44">
    <w:abstractNumId w:val="11"/>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21AD"/>
    <w:rsid w:val="0001387C"/>
    <w:rsid w:val="00015F7D"/>
    <w:rsid w:val="00017C34"/>
    <w:rsid w:val="0003475E"/>
    <w:rsid w:val="0004019C"/>
    <w:rsid w:val="00041301"/>
    <w:rsid w:val="0004749E"/>
    <w:rsid w:val="00051AFF"/>
    <w:rsid w:val="00061E20"/>
    <w:rsid w:val="000632C1"/>
    <w:rsid w:val="0008538F"/>
    <w:rsid w:val="000906F1"/>
    <w:rsid w:val="0009181C"/>
    <w:rsid w:val="000A0A81"/>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A6B4A"/>
    <w:rsid w:val="002B2E31"/>
    <w:rsid w:val="002C1A04"/>
    <w:rsid w:val="002C3039"/>
    <w:rsid w:val="002C4692"/>
    <w:rsid w:val="002C5D42"/>
    <w:rsid w:val="002D407E"/>
    <w:rsid w:val="002D5028"/>
    <w:rsid w:val="002E3E66"/>
    <w:rsid w:val="002E4A24"/>
    <w:rsid w:val="002F15F9"/>
    <w:rsid w:val="002F1F99"/>
    <w:rsid w:val="002F3211"/>
    <w:rsid w:val="002F4097"/>
    <w:rsid w:val="00310A5F"/>
    <w:rsid w:val="00311490"/>
    <w:rsid w:val="003216C8"/>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3F0C85"/>
    <w:rsid w:val="00405E01"/>
    <w:rsid w:val="00412D43"/>
    <w:rsid w:val="0041545D"/>
    <w:rsid w:val="004340E0"/>
    <w:rsid w:val="0043463F"/>
    <w:rsid w:val="00436854"/>
    <w:rsid w:val="004407DE"/>
    <w:rsid w:val="004433C5"/>
    <w:rsid w:val="00452B98"/>
    <w:rsid w:val="00454A11"/>
    <w:rsid w:val="004643AB"/>
    <w:rsid w:val="00465817"/>
    <w:rsid w:val="00467494"/>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5F789B"/>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2353C"/>
    <w:rsid w:val="0073751A"/>
    <w:rsid w:val="007428EC"/>
    <w:rsid w:val="00746D48"/>
    <w:rsid w:val="007552D7"/>
    <w:rsid w:val="007569BB"/>
    <w:rsid w:val="00764E72"/>
    <w:rsid w:val="00774BDE"/>
    <w:rsid w:val="00785528"/>
    <w:rsid w:val="007918C6"/>
    <w:rsid w:val="007A5E64"/>
    <w:rsid w:val="007A7803"/>
    <w:rsid w:val="007A7B49"/>
    <w:rsid w:val="007B2563"/>
    <w:rsid w:val="007B6E69"/>
    <w:rsid w:val="007C3C3D"/>
    <w:rsid w:val="007C501D"/>
    <w:rsid w:val="007E648B"/>
    <w:rsid w:val="007F0308"/>
    <w:rsid w:val="007F09F5"/>
    <w:rsid w:val="007F562D"/>
    <w:rsid w:val="00801E37"/>
    <w:rsid w:val="008245D7"/>
    <w:rsid w:val="008315FE"/>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D02B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067E"/>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552B9"/>
    <w:rsid w:val="00C6569E"/>
    <w:rsid w:val="00C716F0"/>
    <w:rsid w:val="00C77598"/>
    <w:rsid w:val="00C775EF"/>
    <w:rsid w:val="00C8151A"/>
    <w:rsid w:val="00C91441"/>
    <w:rsid w:val="00CC53A9"/>
    <w:rsid w:val="00CD40EF"/>
    <w:rsid w:val="00CD7CB6"/>
    <w:rsid w:val="00CE3850"/>
    <w:rsid w:val="00CF4934"/>
    <w:rsid w:val="00CF4EBE"/>
    <w:rsid w:val="00D0101A"/>
    <w:rsid w:val="00D02494"/>
    <w:rsid w:val="00D054A7"/>
    <w:rsid w:val="00D055EF"/>
    <w:rsid w:val="00D154DA"/>
    <w:rsid w:val="00D174FB"/>
    <w:rsid w:val="00D2185C"/>
    <w:rsid w:val="00D3462E"/>
    <w:rsid w:val="00D3723A"/>
    <w:rsid w:val="00D46359"/>
    <w:rsid w:val="00D46AB4"/>
    <w:rsid w:val="00D611B3"/>
    <w:rsid w:val="00D63027"/>
    <w:rsid w:val="00D74338"/>
    <w:rsid w:val="00D82B99"/>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70B39"/>
    <w:rsid w:val="00E83CD7"/>
    <w:rsid w:val="00E85FF0"/>
    <w:rsid w:val="00E86A27"/>
    <w:rsid w:val="00E86F28"/>
    <w:rsid w:val="00E9114D"/>
    <w:rsid w:val="00E929FA"/>
    <w:rsid w:val="00E932D1"/>
    <w:rsid w:val="00ED1F4B"/>
    <w:rsid w:val="00EE50F8"/>
    <w:rsid w:val="00EE5CEA"/>
    <w:rsid w:val="00F06334"/>
    <w:rsid w:val="00F12CF8"/>
    <w:rsid w:val="00F1787A"/>
    <w:rsid w:val="00F31DB6"/>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E5DB8E"/>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 w:type="character" w:styleId="CommentReference">
    <w:name w:val="annotation reference"/>
    <w:basedOn w:val="DefaultParagraphFont"/>
    <w:rsid w:val="002A6B4A"/>
    <w:rPr>
      <w:sz w:val="16"/>
      <w:szCs w:val="16"/>
    </w:rPr>
  </w:style>
  <w:style w:type="paragraph" w:styleId="CommentText">
    <w:name w:val="annotation text"/>
    <w:basedOn w:val="Normal"/>
    <w:link w:val="CommentTextChar"/>
    <w:rsid w:val="002A6B4A"/>
    <w:rPr>
      <w:sz w:val="20"/>
      <w:szCs w:val="20"/>
    </w:rPr>
  </w:style>
  <w:style w:type="character" w:customStyle="1" w:styleId="CommentTextChar">
    <w:name w:val="Comment Text Char"/>
    <w:basedOn w:val="DefaultParagraphFont"/>
    <w:link w:val="CommentText"/>
    <w:rsid w:val="002A6B4A"/>
    <w:rPr>
      <w:rFonts w:ascii="Gill Sans MT" w:hAnsi="Gill Sans MT"/>
      <w:lang w:eastAsia="en-US"/>
    </w:rPr>
  </w:style>
  <w:style w:type="paragraph" w:styleId="CommentSubject">
    <w:name w:val="annotation subject"/>
    <w:basedOn w:val="CommentText"/>
    <w:next w:val="CommentText"/>
    <w:link w:val="CommentSubjectChar"/>
    <w:rsid w:val="002A6B4A"/>
    <w:rPr>
      <w:b/>
      <w:bCs/>
    </w:rPr>
  </w:style>
  <w:style w:type="character" w:customStyle="1" w:styleId="CommentSubjectChar">
    <w:name w:val="Comment Subject Char"/>
    <w:basedOn w:val="CommentTextChar"/>
    <w:link w:val="CommentSubject"/>
    <w:rsid w:val="002A6B4A"/>
    <w:rPr>
      <w:rFonts w:ascii="Gill Sans MT" w:hAnsi="Gill Sans MT"/>
      <w:b/>
      <w:bCs/>
      <w:lang w:eastAsia="en-US"/>
    </w:rPr>
  </w:style>
  <w:style w:type="paragraph" w:styleId="BalloonText">
    <w:name w:val="Balloon Text"/>
    <w:basedOn w:val="Normal"/>
    <w:link w:val="BalloonTextChar"/>
    <w:rsid w:val="002A6B4A"/>
    <w:pPr>
      <w:spacing w:after="0"/>
    </w:pPr>
    <w:rPr>
      <w:rFonts w:ascii="Segoe UI" w:hAnsi="Segoe UI" w:cs="Segoe UI"/>
      <w:sz w:val="18"/>
      <w:szCs w:val="18"/>
    </w:rPr>
  </w:style>
  <w:style w:type="character" w:customStyle="1" w:styleId="BalloonTextChar">
    <w:name w:val="Balloon Text Char"/>
    <w:basedOn w:val="DefaultParagraphFont"/>
    <w:link w:val="BalloonText"/>
    <w:rsid w:val="002A6B4A"/>
    <w:rPr>
      <w:rFonts w:ascii="Segoe UI" w:hAnsi="Segoe UI" w:cs="Segoe UI"/>
      <w:sz w:val="18"/>
      <w:szCs w:val="18"/>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7428EC"/>
    <w:rPr>
      <w:rFonts w:ascii="Gill Sans MT" w:hAnsi="Gill Sans MT"/>
      <w:sz w:val="24"/>
      <w:szCs w:val="24"/>
      <w:lang w:eastAsia="en-US"/>
    </w:rPr>
  </w:style>
  <w:style w:type="paragraph" w:customStyle="1" w:styleId="paragraph">
    <w:name w:val="paragraph"/>
    <w:basedOn w:val="Normal"/>
    <w:uiPriority w:val="99"/>
    <w:rsid w:val="007428EC"/>
    <w:pPr>
      <w:spacing w:before="100" w:beforeAutospacing="1" w:after="100" w:afterAutospacing="1"/>
    </w:pPr>
    <w:rPr>
      <w:rFonts w:ascii="Times New Roman" w:eastAsiaTheme="minorHAnsi" w:hAnsi="Times New Roman"/>
      <w:lang w:eastAsia="en-AU"/>
    </w:rPr>
  </w:style>
  <w:style w:type="character" w:customStyle="1" w:styleId="normaltextrun">
    <w:name w:val="normaltextrun"/>
    <w:basedOn w:val="DefaultParagraphFont"/>
    <w:rsid w:val="0074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41738">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 w:id="19337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4415</Characters>
  <Application>Microsoft Office Word</Application>
  <DocSecurity>0</DocSecurity>
  <Lines>107</Lines>
  <Paragraphs>78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Heneghan, Cheryl</cp:lastModifiedBy>
  <cp:revision>2</cp:revision>
  <cp:lastPrinted>2013-03-18T23:23:00Z</cp:lastPrinted>
  <dcterms:created xsi:type="dcterms:W3CDTF">2023-02-22T00:42:00Z</dcterms:created>
  <dcterms:modified xsi:type="dcterms:W3CDTF">2023-02-22T00:42:00Z</dcterms:modified>
</cp:coreProperties>
</file>