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1B50" w14:textId="77777777" w:rsidR="005D5969" w:rsidRPr="006C2ED7" w:rsidRDefault="005D5969" w:rsidP="006C2ED7">
      <w:pPr>
        <w:pStyle w:val="Heading1"/>
        <w:jc w:val="center"/>
      </w:pPr>
      <w:r w:rsidRPr="006C2ED7">
        <w:t xml:space="preserve">Department of </w:t>
      </w:r>
      <w:r w:rsidR="006C2ED7" w:rsidRPr="006C2ED7">
        <w:t>State Growth</w:t>
      </w:r>
    </w:p>
    <w:p w14:paraId="38489B0A"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5470AA58" w14:textId="77777777" w:rsidR="007F73E6" w:rsidRPr="001327D4" w:rsidRDefault="007F73E6" w:rsidP="00B232E2">
      <w:pPr>
        <w:pBdr>
          <w:bottom w:val="single" w:sz="4" w:space="1" w:color="auto"/>
        </w:pBdr>
        <w:spacing w:before="0"/>
        <w:rPr>
          <w:sz w:val="22"/>
        </w:rPr>
      </w:pPr>
    </w:p>
    <w:p w14:paraId="0143D866" w14:textId="035B7E3B"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263C51">
        <w:rPr>
          <w:rStyle w:val="Heading3Char"/>
          <w:b w:val="0"/>
          <w:sz w:val="22"/>
        </w:rPr>
        <w:t xml:space="preserve">Project Manager, Port </w:t>
      </w:r>
      <w:r w:rsidR="009C0EED">
        <w:rPr>
          <w:rStyle w:val="Heading3Char"/>
          <w:b w:val="0"/>
          <w:sz w:val="22"/>
        </w:rPr>
        <w:t>Governance</w:t>
      </w:r>
    </w:p>
    <w:p w14:paraId="22D18025" w14:textId="0DFABD07"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B35B95">
        <w:rPr>
          <w:rStyle w:val="Heading3Char"/>
          <w:b w:val="0"/>
          <w:sz w:val="22"/>
        </w:rPr>
        <w:t>005347</w:t>
      </w:r>
    </w:p>
    <w:p w14:paraId="5A2DE308"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057535">
        <w:rPr>
          <w:sz w:val="22"/>
        </w:rPr>
        <w:t>Tasmanian State Service Award</w:t>
      </w:r>
    </w:p>
    <w:p w14:paraId="2D6B9C36" w14:textId="6FE7B8D8"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057535">
        <w:rPr>
          <w:rStyle w:val="Heading3Char"/>
          <w:b w:val="0"/>
          <w:sz w:val="22"/>
        </w:rPr>
        <w:t xml:space="preserve">General Stream Band </w:t>
      </w:r>
      <w:r w:rsidR="00402EC9">
        <w:rPr>
          <w:rStyle w:val="Heading3Char"/>
          <w:b w:val="0"/>
          <w:sz w:val="22"/>
        </w:rPr>
        <w:t>8</w:t>
      </w:r>
    </w:p>
    <w:p w14:paraId="14548DCD" w14:textId="22113EC6"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263C51">
        <w:rPr>
          <w:rStyle w:val="Heading3Char"/>
          <w:b w:val="0"/>
          <w:sz w:val="22"/>
        </w:rPr>
        <w:t>Transport Systems and Planning Policy</w:t>
      </w:r>
    </w:p>
    <w:p w14:paraId="0AD09E35" w14:textId="3A85C68F"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263C51">
        <w:rPr>
          <w:rStyle w:val="Heading3Char"/>
          <w:b w:val="0"/>
          <w:sz w:val="22"/>
        </w:rPr>
        <w:t>Hobart</w:t>
      </w:r>
    </w:p>
    <w:p w14:paraId="00521B98" w14:textId="25B49ADE"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057535">
        <w:rPr>
          <w:rStyle w:val="Heading3Char"/>
          <w:b w:val="0"/>
          <w:sz w:val="22"/>
        </w:rPr>
        <w:t>Fixed term</w:t>
      </w:r>
      <w:r w:rsidR="00AA32B0">
        <w:rPr>
          <w:rStyle w:val="Heading3Char"/>
          <w:b w:val="0"/>
          <w:sz w:val="22"/>
        </w:rPr>
        <w:t xml:space="preserve"> Flexible</w:t>
      </w:r>
    </w:p>
    <w:p w14:paraId="68F93C81" w14:textId="688061B6"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7E1A53">
        <w:rPr>
          <w:rStyle w:val="Heading3Char"/>
          <w:b w:val="0"/>
          <w:sz w:val="22"/>
        </w:rPr>
        <w:t>Director, Transport Systems and Planning Policy</w:t>
      </w:r>
    </w:p>
    <w:p w14:paraId="3C931A19" w14:textId="77777777" w:rsidR="00A27736" w:rsidRPr="001327D4" w:rsidRDefault="00A27736" w:rsidP="00A44F84">
      <w:pPr>
        <w:pStyle w:val="Heading3"/>
        <w:pBdr>
          <w:top w:val="single" w:sz="4" w:space="1" w:color="auto"/>
        </w:pBdr>
        <w:spacing w:before="0" w:after="0" w:line="240" w:lineRule="auto"/>
        <w:rPr>
          <w:b w:val="0"/>
          <w:sz w:val="22"/>
        </w:rPr>
      </w:pPr>
    </w:p>
    <w:p w14:paraId="725D1542" w14:textId="77777777" w:rsidR="00FC3492" w:rsidRDefault="00FC3492" w:rsidP="00B5403C">
      <w:pPr>
        <w:pStyle w:val="Heading3"/>
      </w:pPr>
      <w:r>
        <w:t>Position Objective</w:t>
      </w:r>
    </w:p>
    <w:p w14:paraId="5872411E" w14:textId="37DBAF14" w:rsidR="00263C51" w:rsidRDefault="00FC3492" w:rsidP="00217F2A">
      <w:pPr>
        <w:pStyle w:val="BodyText"/>
        <w:ind w:right="141"/>
        <w:jc w:val="both"/>
        <w:rPr>
          <w:rFonts w:cs="Arial"/>
          <w:sz w:val="22"/>
        </w:rPr>
      </w:pPr>
      <w:r w:rsidRPr="00057535">
        <w:rPr>
          <w:rFonts w:cs="Arial"/>
          <w:sz w:val="22"/>
        </w:rPr>
        <w:t>The</w:t>
      </w:r>
      <w:r w:rsidR="005C051C">
        <w:rPr>
          <w:rFonts w:cs="Arial"/>
          <w:sz w:val="22"/>
        </w:rPr>
        <w:t xml:space="preserve"> role</w:t>
      </w:r>
      <w:r w:rsidRPr="00057535">
        <w:rPr>
          <w:rFonts w:cs="Arial"/>
          <w:sz w:val="22"/>
        </w:rPr>
        <w:t xml:space="preserve"> is responsible for </w:t>
      </w:r>
      <w:r w:rsidR="00303EC6">
        <w:rPr>
          <w:rFonts w:cs="Arial"/>
          <w:sz w:val="22"/>
        </w:rPr>
        <w:t xml:space="preserve">leading </w:t>
      </w:r>
      <w:r w:rsidRPr="00057535">
        <w:rPr>
          <w:rFonts w:cs="Arial"/>
          <w:sz w:val="22"/>
        </w:rPr>
        <w:t xml:space="preserve">the </w:t>
      </w:r>
      <w:r w:rsidR="005C051C">
        <w:rPr>
          <w:rFonts w:cs="Arial"/>
          <w:sz w:val="22"/>
        </w:rPr>
        <w:t xml:space="preserve">Tasmanian Government’s </w:t>
      </w:r>
      <w:r w:rsidR="00263C51">
        <w:rPr>
          <w:rFonts w:cs="Arial"/>
          <w:sz w:val="22"/>
        </w:rPr>
        <w:t xml:space="preserve">Port </w:t>
      </w:r>
      <w:r w:rsidR="005C051C">
        <w:rPr>
          <w:rFonts w:cs="Arial"/>
          <w:sz w:val="22"/>
        </w:rPr>
        <w:t>Services</w:t>
      </w:r>
      <w:r w:rsidR="00263C51">
        <w:rPr>
          <w:rFonts w:cs="Arial"/>
          <w:sz w:val="22"/>
        </w:rPr>
        <w:t xml:space="preserve"> regulatory</w:t>
      </w:r>
      <w:r w:rsidR="00303EC6">
        <w:rPr>
          <w:rFonts w:cs="Arial"/>
          <w:sz w:val="22"/>
        </w:rPr>
        <w:t xml:space="preserve"> review</w:t>
      </w:r>
      <w:r w:rsidR="00006A46">
        <w:rPr>
          <w:rFonts w:cs="Arial"/>
          <w:sz w:val="22"/>
        </w:rPr>
        <w:t xml:space="preserve"> including</w:t>
      </w:r>
      <w:r w:rsidR="00263C51">
        <w:rPr>
          <w:rFonts w:cs="Arial"/>
          <w:sz w:val="22"/>
        </w:rPr>
        <w:t xml:space="preserve"> coordinating the procurement of expert independent advice on water side port services, consulting with stakeholders and developing </w:t>
      </w:r>
      <w:r w:rsidR="007E1A53">
        <w:rPr>
          <w:rFonts w:cs="Arial"/>
          <w:sz w:val="22"/>
        </w:rPr>
        <w:t>advice with regard to</w:t>
      </w:r>
      <w:r w:rsidR="00303EC6">
        <w:rPr>
          <w:rFonts w:cs="Arial"/>
          <w:sz w:val="22"/>
        </w:rPr>
        <w:t xml:space="preserve"> potential changes to the regulatory framework</w:t>
      </w:r>
      <w:r w:rsidR="00263C51">
        <w:rPr>
          <w:rFonts w:cs="Arial"/>
          <w:sz w:val="22"/>
        </w:rPr>
        <w:t xml:space="preserve"> to improve the resilience, efficiency and transparency of water side port services and to ensure that the regulatory framework continues to meet the needs of the state.</w:t>
      </w:r>
    </w:p>
    <w:p w14:paraId="5831D668" w14:textId="77777777" w:rsidR="00217F2A" w:rsidRDefault="00217F2A" w:rsidP="00FC3492">
      <w:pPr>
        <w:pStyle w:val="Heading3"/>
      </w:pPr>
    </w:p>
    <w:p w14:paraId="05FB7116" w14:textId="2FB1EF30" w:rsidR="00FC3492" w:rsidRPr="005F0DAD" w:rsidRDefault="00FC3492" w:rsidP="00FC3492">
      <w:pPr>
        <w:pStyle w:val="Heading3"/>
      </w:pPr>
      <w:r w:rsidRPr="005F0DAD">
        <w:t>Work Environment</w:t>
      </w:r>
    </w:p>
    <w:p w14:paraId="338162BE" w14:textId="42A05890" w:rsidR="00263C51" w:rsidRDefault="00263C51" w:rsidP="00FC3492">
      <w:pPr>
        <w:pStyle w:val="BodyText"/>
        <w:spacing w:before="0"/>
        <w:jc w:val="both"/>
        <w:rPr>
          <w:rFonts w:cs="Arial"/>
          <w:sz w:val="22"/>
        </w:rPr>
      </w:pPr>
      <w:r>
        <w:rPr>
          <w:rFonts w:cs="Arial"/>
          <w:sz w:val="22"/>
        </w:rPr>
        <w:t>The position will oversee a small team and work closely with government and industry stakeholders from the sector, as well as independent expert consultants.</w:t>
      </w:r>
    </w:p>
    <w:p w14:paraId="5F52DC78" w14:textId="466533CF" w:rsidR="00FC3492" w:rsidRPr="005F0DAD" w:rsidRDefault="00FC3492" w:rsidP="00FC3492">
      <w:pPr>
        <w:pStyle w:val="BodyText"/>
        <w:spacing w:before="0"/>
        <w:jc w:val="both"/>
        <w:rPr>
          <w:rFonts w:cs="Arial"/>
          <w:sz w:val="22"/>
        </w:rPr>
      </w:pPr>
      <w:r w:rsidRPr="005F0DAD">
        <w:rPr>
          <w:rFonts w:cs="Arial"/>
          <w:sz w:val="22"/>
        </w:rPr>
        <w:t xml:space="preserve">The </w:t>
      </w:r>
      <w:r w:rsidR="00842E0D" w:rsidRPr="005F0DAD">
        <w:rPr>
          <w:rFonts w:cs="Arial"/>
          <w:sz w:val="22"/>
        </w:rPr>
        <w:t>position</w:t>
      </w:r>
      <w:r w:rsidRPr="005F0DAD">
        <w:rPr>
          <w:rFonts w:cs="Arial"/>
          <w:sz w:val="22"/>
        </w:rPr>
        <w:t xml:space="preserve"> operates in an office</w:t>
      </w:r>
      <w:r w:rsidR="00C6296B">
        <w:rPr>
          <w:rFonts w:cs="Arial"/>
          <w:sz w:val="22"/>
        </w:rPr>
        <w:t>-</w:t>
      </w:r>
      <w:r w:rsidRPr="005F0DAD">
        <w:rPr>
          <w:rFonts w:cs="Arial"/>
          <w:sz w:val="22"/>
        </w:rPr>
        <w:t>based environment</w:t>
      </w:r>
      <w:r>
        <w:rPr>
          <w:rFonts w:cs="Arial"/>
          <w:sz w:val="22"/>
        </w:rPr>
        <w:t xml:space="preserve"> </w:t>
      </w:r>
      <w:r w:rsidR="00C6296B">
        <w:rPr>
          <w:rFonts w:cs="Arial"/>
          <w:sz w:val="22"/>
        </w:rPr>
        <w:t xml:space="preserve">where </w:t>
      </w:r>
      <w:r w:rsidR="00263C51">
        <w:rPr>
          <w:rFonts w:cs="Arial"/>
          <w:sz w:val="22"/>
        </w:rPr>
        <w:t>some</w:t>
      </w:r>
      <w:r w:rsidRPr="005F0DAD">
        <w:rPr>
          <w:rFonts w:cs="Arial"/>
          <w:sz w:val="22"/>
        </w:rPr>
        <w:t xml:space="preserve"> intrastate travel </w:t>
      </w:r>
      <w:r w:rsidR="00C6296B">
        <w:rPr>
          <w:rFonts w:cs="Arial"/>
          <w:sz w:val="22"/>
        </w:rPr>
        <w:t>may be required</w:t>
      </w:r>
      <w:r w:rsidRPr="005F0DAD">
        <w:rPr>
          <w:rFonts w:cs="Arial"/>
          <w:sz w:val="22"/>
        </w:rPr>
        <w:t>.</w:t>
      </w:r>
    </w:p>
    <w:p w14:paraId="08E0BEE4" w14:textId="56A478E1" w:rsidR="00FC3492" w:rsidRPr="005F0DAD" w:rsidRDefault="00FC3492" w:rsidP="00FC3492">
      <w:pPr>
        <w:pStyle w:val="BodyText"/>
        <w:spacing w:before="0"/>
        <w:jc w:val="both"/>
        <w:rPr>
          <w:rFonts w:cs="Arial"/>
          <w:sz w:val="22"/>
        </w:rPr>
      </w:pPr>
      <w:r w:rsidRPr="005F0DAD">
        <w:rPr>
          <w:rFonts w:cs="Arial"/>
          <w:sz w:val="22"/>
        </w:rPr>
        <w:t xml:space="preserve">Due to the confidential nature of the information accessed in this role, the occupant will be required to maintain the highest level of confidentiality and to </w:t>
      </w:r>
      <w:r w:rsidR="00C6296B">
        <w:rPr>
          <w:rFonts w:cs="Arial"/>
          <w:sz w:val="22"/>
        </w:rPr>
        <w:t xml:space="preserve">complete appropriate </w:t>
      </w:r>
      <w:r w:rsidRPr="005F0DAD">
        <w:rPr>
          <w:rFonts w:cs="Arial"/>
          <w:sz w:val="22"/>
        </w:rPr>
        <w:t>declaration</w:t>
      </w:r>
      <w:r w:rsidR="00C6296B">
        <w:rPr>
          <w:rFonts w:cs="Arial"/>
          <w:sz w:val="22"/>
        </w:rPr>
        <w:t>s to this end</w:t>
      </w:r>
      <w:r w:rsidRPr="005F0DAD">
        <w:rPr>
          <w:rFonts w:cs="Arial"/>
          <w:sz w:val="22"/>
        </w:rPr>
        <w:t>.</w:t>
      </w:r>
    </w:p>
    <w:p w14:paraId="29D75F06" w14:textId="77777777" w:rsidR="00263C51" w:rsidRDefault="00263C51" w:rsidP="009F6C23">
      <w:pPr>
        <w:pStyle w:val="Heading3"/>
      </w:pPr>
    </w:p>
    <w:p w14:paraId="14924FBF" w14:textId="5EB3913B" w:rsidR="00CD42F8" w:rsidRPr="001327D4" w:rsidRDefault="00CD42F8" w:rsidP="009F6C23">
      <w:pPr>
        <w:pStyle w:val="Heading3"/>
      </w:pPr>
      <w:r w:rsidRPr="001327D4">
        <w:t>Major Duties</w:t>
      </w:r>
    </w:p>
    <w:p w14:paraId="6CF94A00" w14:textId="634DFF86" w:rsidR="00263C51" w:rsidRDefault="00263C51" w:rsidP="00057535">
      <w:pPr>
        <w:pStyle w:val="BodyText"/>
        <w:numPr>
          <w:ilvl w:val="0"/>
          <w:numId w:val="18"/>
        </w:numPr>
        <w:ind w:left="426" w:hanging="426"/>
        <w:jc w:val="both"/>
        <w:rPr>
          <w:rFonts w:cs="Arial"/>
          <w:sz w:val="22"/>
        </w:rPr>
      </w:pPr>
      <w:r>
        <w:rPr>
          <w:rFonts w:cs="Arial"/>
          <w:sz w:val="22"/>
        </w:rPr>
        <w:t xml:space="preserve">Lead </w:t>
      </w:r>
      <w:r w:rsidR="00303EC6">
        <w:rPr>
          <w:rFonts w:cs="Arial"/>
          <w:sz w:val="22"/>
        </w:rPr>
        <w:t>the review of the regulatory framework for delivery of port services in Tasmania, including maritime safety and emergency response functions.</w:t>
      </w:r>
    </w:p>
    <w:p w14:paraId="0E4792CE" w14:textId="77777777" w:rsidR="00303EC6" w:rsidRPr="000E43D3" w:rsidRDefault="00303EC6" w:rsidP="00303EC6">
      <w:pPr>
        <w:pStyle w:val="BodyText"/>
        <w:numPr>
          <w:ilvl w:val="0"/>
          <w:numId w:val="18"/>
        </w:numPr>
        <w:ind w:left="426" w:hanging="426"/>
        <w:rPr>
          <w:rFonts w:cs="Arial"/>
          <w:sz w:val="22"/>
        </w:rPr>
      </w:pPr>
      <w:r>
        <w:rPr>
          <w:rFonts w:cs="Arial"/>
          <w:sz w:val="22"/>
        </w:rPr>
        <w:t>Develop, implement and manage the project using effective project management methodology to achieve high quality outcomes within defined timeframes and resource constraints.</w:t>
      </w:r>
    </w:p>
    <w:p w14:paraId="2E558044" w14:textId="412E48E7" w:rsidR="00C33BFC" w:rsidRDefault="00263C51" w:rsidP="00057535">
      <w:pPr>
        <w:pStyle w:val="BodyText"/>
        <w:numPr>
          <w:ilvl w:val="0"/>
          <w:numId w:val="18"/>
        </w:numPr>
        <w:ind w:left="426" w:hanging="426"/>
        <w:jc w:val="both"/>
        <w:rPr>
          <w:rFonts w:cs="Arial"/>
          <w:sz w:val="22"/>
        </w:rPr>
      </w:pPr>
      <w:r>
        <w:rPr>
          <w:rFonts w:cs="Arial"/>
          <w:sz w:val="22"/>
        </w:rPr>
        <w:t>Manage relationships with Government owned corporations, statutory bodies and private providers through the process of regulatory reform.</w:t>
      </w:r>
    </w:p>
    <w:p w14:paraId="30C49F50" w14:textId="085C8883" w:rsidR="00263C51" w:rsidRDefault="00263C51" w:rsidP="00263C51">
      <w:pPr>
        <w:pStyle w:val="BodyText"/>
        <w:numPr>
          <w:ilvl w:val="0"/>
          <w:numId w:val="18"/>
        </w:numPr>
        <w:ind w:left="426" w:hanging="426"/>
        <w:jc w:val="both"/>
        <w:rPr>
          <w:rFonts w:cs="Arial"/>
          <w:sz w:val="22"/>
        </w:rPr>
      </w:pPr>
      <w:r>
        <w:rPr>
          <w:rFonts w:cs="Arial"/>
          <w:sz w:val="22"/>
        </w:rPr>
        <w:t xml:space="preserve">Manage </w:t>
      </w:r>
      <w:r w:rsidR="00303EC6">
        <w:rPr>
          <w:rFonts w:cs="Arial"/>
          <w:sz w:val="22"/>
        </w:rPr>
        <w:t xml:space="preserve">consultancies as required to support development of recommendations to ensure </w:t>
      </w:r>
      <w:r w:rsidR="00691987">
        <w:rPr>
          <w:rFonts w:cs="Arial"/>
          <w:sz w:val="22"/>
        </w:rPr>
        <w:t>provision</w:t>
      </w:r>
      <w:r w:rsidR="00303EC6">
        <w:rPr>
          <w:rFonts w:cs="Arial"/>
          <w:sz w:val="22"/>
        </w:rPr>
        <w:t xml:space="preserve"> of a contemporary management framework for delivery of port services.</w:t>
      </w:r>
    </w:p>
    <w:p w14:paraId="72770E0F" w14:textId="7744E76D" w:rsidR="00263C51" w:rsidRDefault="00263C51" w:rsidP="00263C51">
      <w:pPr>
        <w:pStyle w:val="BodyText"/>
        <w:numPr>
          <w:ilvl w:val="0"/>
          <w:numId w:val="18"/>
        </w:numPr>
        <w:ind w:left="426" w:hanging="426"/>
        <w:jc w:val="both"/>
        <w:rPr>
          <w:rFonts w:cs="Arial"/>
          <w:sz w:val="22"/>
        </w:rPr>
      </w:pPr>
      <w:r w:rsidRPr="00057535">
        <w:rPr>
          <w:rFonts w:cs="Arial"/>
          <w:sz w:val="22"/>
        </w:rPr>
        <w:lastRenderedPageBreak/>
        <w:t xml:space="preserve">Prepare high level </w:t>
      </w:r>
      <w:r w:rsidR="005C051C">
        <w:rPr>
          <w:rFonts w:cs="Arial"/>
          <w:sz w:val="22"/>
        </w:rPr>
        <w:t xml:space="preserve">reports, </w:t>
      </w:r>
      <w:r w:rsidRPr="00057535">
        <w:rPr>
          <w:rFonts w:cs="Arial"/>
          <w:sz w:val="22"/>
        </w:rPr>
        <w:t xml:space="preserve">correspondence, publications, </w:t>
      </w:r>
      <w:r w:rsidR="005C051C">
        <w:rPr>
          <w:rFonts w:cs="Arial"/>
          <w:sz w:val="22"/>
        </w:rPr>
        <w:t>presentations</w:t>
      </w:r>
      <w:r w:rsidRPr="00057535">
        <w:rPr>
          <w:rFonts w:cs="Arial"/>
          <w:sz w:val="22"/>
        </w:rPr>
        <w:t xml:space="preserve"> and briefing material as required, and review key documents.</w:t>
      </w:r>
    </w:p>
    <w:p w14:paraId="3AA82D71" w14:textId="12DFF5F8" w:rsidR="00303EC6" w:rsidRDefault="00303EC6" w:rsidP="00057535">
      <w:pPr>
        <w:pStyle w:val="BodyText"/>
        <w:numPr>
          <w:ilvl w:val="0"/>
          <w:numId w:val="18"/>
        </w:numPr>
        <w:ind w:left="426" w:hanging="426"/>
        <w:jc w:val="both"/>
        <w:rPr>
          <w:rFonts w:cs="Arial"/>
          <w:sz w:val="22"/>
        </w:rPr>
      </w:pPr>
      <w:r>
        <w:rPr>
          <w:rFonts w:cs="Arial"/>
          <w:sz w:val="22"/>
        </w:rPr>
        <w:t>In consultation with senior</w:t>
      </w:r>
      <w:r w:rsidR="00035AAC">
        <w:rPr>
          <w:rFonts w:cs="Arial"/>
          <w:sz w:val="22"/>
        </w:rPr>
        <w:t xml:space="preserve"> executive</w:t>
      </w:r>
      <w:r>
        <w:rPr>
          <w:rFonts w:cs="Arial"/>
          <w:sz w:val="22"/>
        </w:rPr>
        <w:t>, develop recommendations for consideration by Cabinet</w:t>
      </w:r>
      <w:r w:rsidR="00035AAC">
        <w:rPr>
          <w:rFonts w:cs="Arial"/>
          <w:sz w:val="22"/>
        </w:rPr>
        <w:t>.</w:t>
      </w:r>
    </w:p>
    <w:p w14:paraId="05D66DA7" w14:textId="1C9867E2" w:rsidR="00263C51" w:rsidRDefault="00303EC6" w:rsidP="00057535">
      <w:pPr>
        <w:pStyle w:val="BodyText"/>
        <w:numPr>
          <w:ilvl w:val="0"/>
          <w:numId w:val="18"/>
        </w:numPr>
        <w:ind w:left="426" w:hanging="426"/>
        <w:jc w:val="both"/>
        <w:rPr>
          <w:rFonts w:cs="Arial"/>
          <w:sz w:val="22"/>
        </w:rPr>
      </w:pPr>
      <w:r>
        <w:rPr>
          <w:rFonts w:cs="Arial"/>
          <w:sz w:val="22"/>
        </w:rPr>
        <w:t xml:space="preserve">Manage any statutory drafting program arising </w:t>
      </w:r>
      <w:r w:rsidR="00006A46">
        <w:rPr>
          <w:rFonts w:cs="Arial"/>
          <w:sz w:val="22"/>
        </w:rPr>
        <w:t xml:space="preserve">from </w:t>
      </w:r>
      <w:r>
        <w:rPr>
          <w:rFonts w:cs="Arial"/>
          <w:sz w:val="22"/>
        </w:rPr>
        <w:t>the review process.</w:t>
      </w:r>
    </w:p>
    <w:p w14:paraId="529816B1" w14:textId="77777777" w:rsidR="00905B48" w:rsidRDefault="00905B48" w:rsidP="00CD15B0">
      <w:pPr>
        <w:pStyle w:val="BodyText"/>
        <w:tabs>
          <w:tab w:val="clear" w:pos="2835"/>
        </w:tabs>
        <w:spacing w:before="0" w:after="0" w:line="240" w:lineRule="auto"/>
        <w:ind w:left="-207"/>
        <w:jc w:val="both"/>
        <w:rPr>
          <w:rFonts w:cs="Arial"/>
          <w:sz w:val="22"/>
        </w:rPr>
      </w:pPr>
    </w:p>
    <w:p w14:paraId="2FAB5500"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5AE8AC87" w14:textId="7A662FC0" w:rsidR="00057535" w:rsidRPr="00057535" w:rsidRDefault="00057535" w:rsidP="00057535">
      <w:pPr>
        <w:tabs>
          <w:tab w:val="left" w:pos="993"/>
        </w:tabs>
        <w:spacing w:after="140" w:line="300" w:lineRule="atLeast"/>
        <w:jc w:val="both"/>
        <w:rPr>
          <w:rFonts w:cs="Arial"/>
          <w:sz w:val="22"/>
        </w:rPr>
      </w:pPr>
      <w:r w:rsidRPr="00057535">
        <w:rPr>
          <w:rFonts w:cs="Arial"/>
          <w:sz w:val="22"/>
        </w:rPr>
        <w:t xml:space="preserve">The occupant reports to the </w:t>
      </w:r>
      <w:r w:rsidR="007E1A53">
        <w:rPr>
          <w:rFonts w:cs="Arial"/>
          <w:sz w:val="22"/>
        </w:rPr>
        <w:t>Director, Transport Systems and Planning Policy.</w:t>
      </w:r>
    </w:p>
    <w:p w14:paraId="2B2F947B" w14:textId="0925C452" w:rsidR="00057535" w:rsidRPr="00057535" w:rsidRDefault="00057535" w:rsidP="00057535">
      <w:pPr>
        <w:tabs>
          <w:tab w:val="left" w:pos="993"/>
        </w:tabs>
        <w:spacing w:after="140" w:line="300" w:lineRule="atLeast"/>
        <w:jc w:val="both"/>
        <w:rPr>
          <w:rFonts w:cs="Arial"/>
          <w:sz w:val="22"/>
        </w:rPr>
      </w:pPr>
      <w:r w:rsidRPr="00057535">
        <w:rPr>
          <w:rFonts w:cs="Arial"/>
          <w:sz w:val="22"/>
        </w:rPr>
        <w:t xml:space="preserve">The occupant will </w:t>
      </w:r>
      <w:r w:rsidR="00263C51">
        <w:rPr>
          <w:rFonts w:cs="Arial"/>
          <w:sz w:val="22"/>
        </w:rPr>
        <w:t xml:space="preserve">manage and deliver </w:t>
      </w:r>
      <w:r w:rsidR="00263C51" w:rsidRPr="00057535">
        <w:rPr>
          <w:rFonts w:cs="Arial"/>
          <w:sz w:val="22"/>
        </w:rPr>
        <w:t xml:space="preserve">the </w:t>
      </w:r>
      <w:r w:rsidR="00263C51">
        <w:rPr>
          <w:rFonts w:cs="Arial"/>
          <w:sz w:val="22"/>
        </w:rPr>
        <w:t xml:space="preserve">Port </w:t>
      </w:r>
      <w:r w:rsidR="005C051C">
        <w:rPr>
          <w:rFonts w:cs="Arial"/>
          <w:sz w:val="22"/>
        </w:rPr>
        <w:t xml:space="preserve">Services </w:t>
      </w:r>
      <w:r w:rsidR="00263C51">
        <w:rPr>
          <w:rFonts w:cs="Arial"/>
          <w:sz w:val="22"/>
        </w:rPr>
        <w:t xml:space="preserve">regulatory </w:t>
      </w:r>
      <w:r w:rsidR="00691987">
        <w:rPr>
          <w:rFonts w:cs="Arial"/>
          <w:sz w:val="22"/>
        </w:rPr>
        <w:t>review</w:t>
      </w:r>
      <w:r w:rsidR="007E1A53">
        <w:rPr>
          <w:rFonts w:cs="Arial"/>
          <w:sz w:val="22"/>
        </w:rPr>
        <w:t>.</w:t>
      </w:r>
    </w:p>
    <w:p w14:paraId="5B5FF990" w14:textId="01D8613F" w:rsidR="00057535" w:rsidRDefault="00057535" w:rsidP="00057535">
      <w:pPr>
        <w:tabs>
          <w:tab w:val="left" w:pos="993"/>
        </w:tabs>
        <w:spacing w:after="140" w:line="300" w:lineRule="atLeast"/>
        <w:jc w:val="both"/>
        <w:rPr>
          <w:rFonts w:cs="Arial"/>
          <w:sz w:val="22"/>
        </w:rPr>
      </w:pPr>
      <w:r w:rsidRPr="00057535">
        <w:rPr>
          <w:rFonts w:cs="Arial"/>
          <w:sz w:val="22"/>
        </w:rPr>
        <w:t xml:space="preserve">The position operates with a high level of responsibility and </w:t>
      </w:r>
      <w:r w:rsidR="0040102C">
        <w:rPr>
          <w:rFonts w:cs="Arial"/>
          <w:sz w:val="22"/>
        </w:rPr>
        <w:t xml:space="preserve">autonomy </w:t>
      </w:r>
      <w:proofErr w:type="gramStart"/>
      <w:r w:rsidR="0040102C">
        <w:rPr>
          <w:rFonts w:cs="Arial"/>
          <w:sz w:val="22"/>
        </w:rPr>
        <w:t xml:space="preserve">in </w:t>
      </w:r>
      <w:r w:rsidRPr="00057535">
        <w:rPr>
          <w:rFonts w:cs="Arial"/>
          <w:sz w:val="22"/>
        </w:rPr>
        <w:t xml:space="preserve"> determination</w:t>
      </w:r>
      <w:proofErr w:type="gramEnd"/>
      <w:r w:rsidRPr="00057535">
        <w:rPr>
          <w:rFonts w:cs="Arial"/>
          <w:sz w:val="22"/>
        </w:rPr>
        <w:t xml:space="preserve"> of strategies and work standards. </w:t>
      </w:r>
    </w:p>
    <w:p w14:paraId="053D0AE5" w14:textId="77777777" w:rsidR="00E46892" w:rsidRPr="00057535" w:rsidRDefault="00E46892" w:rsidP="00057535">
      <w:pPr>
        <w:tabs>
          <w:tab w:val="left" w:pos="993"/>
        </w:tabs>
        <w:spacing w:after="140" w:line="300" w:lineRule="atLeast"/>
        <w:jc w:val="both"/>
        <w:rPr>
          <w:rFonts w:cs="Arial"/>
          <w:sz w:val="22"/>
        </w:rPr>
      </w:pPr>
    </w:p>
    <w:p w14:paraId="77E0A9BE" w14:textId="77777777" w:rsidR="001327D4" w:rsidRDefault="00726176" w:rsidP="00B5403C">
      <w:pPr>
        <w:pStyle w:val="Heading3"/>
      </w:pPr>
      <w:r>
        <w:t>Selection Criteria (</w:t>
      </w:r>
      <w:r w:rsidR="00D17EEE">
        <w:t>Knowledge and Skills</w:t>
      </w:r>
      <w:r>
        <w:t>)</w:t>
      </w:r>
      <w:r w:rsidR="00D17EEE">
        <w:t>:</w:t>
      </w:r>
    </w:p>
    <w:p w14:paraId="220073FD" w14:textId="1168D1ED" w:rsidR="007E1A53" w:rsidRPr="00BC1DE7" w:rsidRDefault="007E1A53" w:rsidP="007E1A53">
      <w:pPr>
        <w:pStyle w:val="ListParagraph"/>
        <w:numPr>
          <w:ilvl w:val="0"/>
          <w:numId w:val="25"/>
        </w:numPr>
        <w:tabs>
          <w:tab w:val="clear" w:pos="2835"/>
          <w:tab w:val="left" w:pos="-1440"/>
          <w:tab w:val="left" w:pos="-720"/>
        </w:tabs>
        <w:spacing w:before="0" w:line="320" w:lineRule="exact"/>
        <w:contextualSpacing w:val="0"/>
        <w:jc w:val="both"/>
        <w:rPr>
          <w:rFonts w:eastAsia="Calibri" w:cs="Arial"/>
          <w:sz w:val="22"/>
        </w:rPr>
      </w:pPr>
      <w:r w:rsidRPr="00BC1DE7">
        <w:rPr>
          <w:rFonts w:eastAsia="Calibri" w:cs="Arial"/>
          <w:sz w:val="22"/>
        </w:rPr>
        <w:t>Demonstrated high level investigative, conceptual, analytical and judgement skills, including provi</w:t>
      </w:r>
      <w:r>
        <w:rPr>
          <w:rFonts w:eastAsia="Calibri" w:cs="Arial"/>
          <w:sz w:val="22"/>
        </w:rPr>
        <w:t>sion of</w:t>
      </w:r>
      <w:r w:rsidRPr="00BC1DE7">
        <w:rPr>
          <w:rFonts w:eastAsia="Calibri" w:cs="Arial"/>
          <w:sz w:val="22"/>
        </w:rPr>
        <w:t xml:space="preserve"> soundly based strategic policy advice that demonstrates a comprehensive understanding of the broader political and social context in which the </w:t>
      </w:r>
      <w:r w:rsidR="005C051C">
        <w:rPr>
          <w:rFonts w:eastAsia="Calibri" w:cs="Arial"/>
          <w:sz w:val="22"/>
        </w:rPr>
        <w:t>review is to be undertaken</w:t>
      </w:r>
      <w:r w:rsidRPr="00BC1DE7">
        <w:rPr>
          <w:rFonts w:eastAsia="Calibri" w:cs="Arial"/>
          <w:sz w:val="22"/>
        </w:rPr>
        <w:t>.</w:t>
      </w:r>
    </w:p>
    <w:p w14:paraId="43395528" w14:textId="77777777" w:rsidR="007E1A53" w:rsidRPr="00057535" w:rsidRDefault="007E1A53" w:rsidP="007E1A53">
      <w:pPr>
        <w:pStyle w:val="BodyText"/>
        <w:numPr>
          <w:ilvl w:val="0"/>
          <w:numId w:val="25"/>
        </w:numPr>
        <w:jc w:val="both"/>
        <w:rPr>
          <w:rFonts w:cs="Arial"/>
          <w:sz w:val="22"/>
        </w:rPr>
      </w:pPr>
      <w:r w:rsidRPr="00057535">
        <w:rPr>
          <w:rFonts w:cs="Arial"/>
          <w:sz w:val="22"/>
        </w:rPr>
        <w:t xml:space="preserve">Demonstrated experience in managing complex, innovative projects and programs, including program design, proposal evaluation, contract management, and the proven ability to deploy this expertise collaboratively, flexibly, through existing and new whole-of-government approaches to deliver outcomes on-time and within budget. </w:t>
      </w:r>
    </w:p>
    <w:p w14:paraId="29DA0923" w14:textId="49D462EE" w:rsidR="005C051C" w:rsidRPr="00BC1DE7" w:rsidRDefault="005C051C" w:rsidP="005C051C">
      <w:pPr>
        <w:pStyle w:val="ListParagraph"/>
        <w:numPr>
          <w:ilvl w:val="0"/>
          <w:numId w:val="25"/>
        </w:numPr>
        <w:tabs>
          <w:tab w:val="clear" w:pos="2835"/>
          <w:tab w:val="left" w:pos="-1440"/>
          <w:tab w:val="left" w:pos="-720"/>
        </w:tabs>
        <w:spacing w:before="0" w:line="320" w:lineRule="exact"/>
        <w:contextualSpacing w:val="0"/>
        <w:jc w:val="both"/>
        <w:rPr>
          <w:rFonts w:eastAsia="Calibri" w:cs="Arial"/>
          <w:sz w:val="22"/>
        </w:rPr>
      </w:pPr>
      <w:r w:rsidRPr="00BC1DE7">
        <w:rPr>
          <w:rFonts w:eastAsia="Calibri" w:cs="Arial"/>
          <w:sz w:val="22"/>
        </w:rPr>
        <w:t xml:space="preserve">Highly developed interpersonal skills, with the proven ability to build and foster effective relationships within and outside of the Agency, negotiate outcomes, resolve conflict and </w:t>
      </w:r>
      <w:r w:rsidRPr="007E1A53">
        <w:rPr>
          <w:rFonts w:cs="Arial"/>
          <w:sz w:val="22"/>
        </w:rPr>
        <w:t xml:space="preserve">effectively represent </w:t>
      </w:r>
      <w:r>
        <w:rPr>
          <w:rFonts w:cs="Arial"/>
          <w:sz w:val="22"/>
        </w:rPr>
        <w:t>the Agency</w:t>
      </w:r>
      <w:r w:rsidRPr="007E1A53">
        <w:rPr>
          <w:rFonts w:cs="Arial"/>
          <w:sz w:val="22"/>
        </w:rPr>
        <w:t xml:space="preserve"> at a senior level</w:t>
      </w:r>
      <w:r w:rsidRPr="00BC1DE7">
        <w:rPr>
          <w:rFonts w:eastAsia="Calibri" w:cs="Arial"/>
          <w:sz w:val="22"/>
        </w:rPr>
        <w:t>.</w:t>
      </w:r>
    </w:p>
    <w:p w14:paraId="4748FBF6" w14:textId="437E9561" w:rsidR="005C051C" w:rsidRDefault="007E1A53" w:rsidP="005C051C">
      <w:pPr>
        <w:pStyle w:val="ListParagraph"/>
        <w:numPr>
          <w:ilvl w:val="0"/>
          <w:numId w:val="25"/>
        </w:numPr>
        <w:tabs>
          <w:tab w:val="clear" w:pos="2835"/>
          <w:tab w:val="left" w:pos="-1440"/>
          <w:tab w:val="left" w:pos="-720"/>
        </w:tabs>
        <w:spacing w:before="0" w:line="320" w:lineRule="exact"/>
        <w:contextualSpacing w:val="0"/>
        <w:jc w:val="both"/>
        <w:rPr>
          <w:rFonts w:cs="Arial"/>
          <w:sz w:val="22"/>
        </w:rPr>
      </w:pPr>
      <w:r w:rsidRPr="00BC1DE7">
        <w:rPr>
          <w:rFonts w:eastAsia="Calibri" w:cs="Arial"/>
          <w:sz w:val="22"/>
        </w:rPr>
        <w:t xml:space="preserve">Highly developed written communication skills, including the ability to produce information that is concise, clear and readily understandable to non-specialists, and to prepare high-level documents for </w:t>
      </w:r>
      <w:r>
        <w:rPr>
          <w:rFonts w:eastAsia="Calibri" w:cs="Arial"/>
          <w:sz w:val="22"/>
        </w:rPr>
        <w:t xml:space="preserve">senior executive, </w:t>
      </w:r>
      <w:r w:rsidRPr="00BC1DE7">
        <w:rPr>
          <w:rFonts w:eastAsia="Calibri" w:cs="Arial"/>
          <w:sz w:val="22"/>
        </w:rPr>
        <w:t>Ministers, Government and other audiences</w:t>
      </w:r>
      <w:r w:rsidR="005C051C">
        <w:rPr>
          <w:rFonts w:cs="Arial"/>
          <w:sz w:val="22"/>
        </w:rPr>
        <w:t>.</w:t>
      </w:r>
    </w:p>
    <w:p w14:paraId="2004FCDD" w14:textId="376C6E42" w:rsidR="005C051C" w:rsidRPr="00BC1DE7" w:rsidRDefault="005C051C" w:rsidP="005C051C">
      <w:pPr>
        <w:pStyle w:val="ListParagraph"/>
        <w:numPr>
          <w:ilvl w:val="0"/>
          <w:numId w:val="25"/>
        </w:numPr>
        <w:tabs>
          <w:tab w:val="clear" w:pos="2835"/>
          <w:tab w:val="left" w:pos="-1440"/>
          <w:tab w:val="left" w:pos="-720"/>
        </w:tabs>
        <w:spacing w:before="0" w:line="320" w:lineRule="exact"/>
        <w:contextualSpacing w:val="0"/>
        <w:jc w:val="both"/>
        <w:rPr>
          <w:rFonts w:eastAsia="Calibri" w:cs="Arial"/>
          <w:sz w:val="22"/>
        </w:rPr>
      </w:pPr>
      <w:r w:rsidRPr="00BC1DE7">
        <w:rPr>
          <w:rFonts w:eastAsia="Calibri" w:cs="Arial"/>
          <w:sz w:val="22"/>
        </w:rPr>
        <w:t xml:space="preserve">Proven capability to operate with a very high degree of autonomy and apply high levels of adaptability and flexibility in a </w:t>
      </w:r>
      <w:r w:rsidR="0040102C">
        <w:rPr>
          <w:rFonts w:eastAsia="Calibri" w:cs="Arial"/>
          <w:sz w:val="22"/>
        </w:rPr>
        <w:t xml:space="preserve">dynamic </w:t>
      </w:r>
      <w:r w:rsidRPr="00BC1DE7">
        <w:rPr>
          <w:rFonts w:eastAsia="Calibri" w:cs="Arial"/>
          <w:sz w:val="22"/>
        </w:rPr>
        <w:t>complex environment, together with the ability to deal effectively with competing priorities, pressure and ambiguity</w:t>
      </w:r>
      <w:r>
        <w:rPr>
          <w:rFonts w:eastAsia="Calibri" w:cs="Arial"/>
          <w:sz w:val="22"/>
        </w:rPr>
        <w:t xml:space="preserve"> to deliver effective outcomes</w:t>
      </w:r>
    </w:p>
    <w:p w14:paraId="768AC142" w14:textId="735CC70C" w:rsidR="00E02B5A" w:rsidRPr="00E02B5A" w:rsidRDefault="00E02B5A" w:rsidP="00F86C79">
      <w:pPr>
        <w:tabs>
          <w:tab w:val="clear" w:pos="2835"/>
        </w:tabs>
        <w:spacing w:before="0" w:after="0" w:line="240" w:lineRule="auto"/>
        <w:ind w:left="3261" w:right="-1" w:hanging="3261"/>
        <w:rPr>
          <w:rFonts w:cs="Arial"/>
          <w:bCs/>
          <w:sz w:val="22"/>
        </w:rPr>
      </w:pPr>
    </w:p>
    <w:p w14:paraId="4424EFCC" w14:textId="77777777" w:rsidR="006C2ED7" w:rsidRDefault="006C2ED7" w:rsidP="00E15171">
      <w:pPr>
        <w:pStyle w:val="Heading3"/>
      </w:pPr>
      <w:r>
        <w:t>Position Requirements</w:t>
      </w:r>
    </w:p>
    <w:p w14:paraId="58103176"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0046593B" w14:textId="77777777"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t>
      </w:r>
      <w:r w:rsidR="00FC3492">
        <w:rPr>
          <w:rFonts w:cs="Arial"/>
          <w:sz w:val="22"/>
        </w:rPr>
        <w:t>wing checks are to be conducted:</w:t>
      </w:r>
    </w:p>
    <w:p w14:paraId="25D9EC59" w14:textId="77777777" w:rsidR="00F86C79" w:rsidRPr="00057535" w:rsidRDefault="00F86C79" w:rsidP="009F6C23">
      <w:pPr>
        <w:pStyle w:val="ListParagraph"/>
        <w:numPr>
          <w:ilvl w:val="0"/>
          <w:numId w:val="17"/>
        </w:numPr>
        <w:tabs>
          <w:tab w:val="clear" w:pos="2835"/>
        </w:tabs>
        <w:spacing w:before="0" w:after="200"/>
        <w:ind w:left="426"/>
        <w:rPr>
          <w:b/>
          <w:i/>
          <w:sz w:val="22"/>
        </w:rPr>
      </w:pPr>
      <w:r w:rsidRPr="00057535">
        <w:rPr>
          <w:rFonts w:cs="Arial"/>
          <w:i/>
          <w:sz w:val="22"/>
        </w:rPr>
        <w:t>Nil</w:t>
      </w:r>
    </w:p>
    <w:p w14:paraId="344CE9DA" w14:textId="77777777" w:rsidR="00E15171" w:rsidRDefault="00E15171" w:rsidP="00E15171">
      <w:pPr>
        <w:pStyle w:val="Heading4"/>
        <w:rPr>
          <w:rFonts w:ascii="Gill Sans MT" w:hAnsi="Gill Sans MT"/>
          <w:color w:val="auto"/>
          <w:sz w:val="22"/>
        </w:rPr>
      </w:pPr>
      <w:r>
        <w:rPr>
          <w:rFonts w:ascii="Gill Sans MT" w:hAnsi="Gill Sans MT"/>
          <w:color w:val="auto"/>
          <w:sz w:val="22"/>
        </w:rPr>
        <w:lastRenderedPageBreak/>
        <w:t>Essential</w:t>
      </w:r>
    </w:p>
    <w:p w14:paraId="6CF08725" w14:textId="77777777" w:rsidR="00CB36F2" w:rsidRDefault="00CB36F2" w:rsidP="00CB36F2">
      <w:pPr>
        <w:rPr>
          <w:rFonts w:ascii="Calibri" w:hAnsi="Calibri"/>
          <w:sz w:val="22"/>
        </w:rPr>
      </w:pPr>
      <w:r>
        <w:rPr>
          <w:sz w:val="22"/>
        </w:rPr>
        <w:t xml:space="preserve">A person is to provide evidence that they are vaccinated against COVID-19 or have an approved exemption. </w:t>
      </w:r>
    </w:p>
    <w:p w14:paraId="627D803D" w14:textId="77777777" w:rsidR="00CB36F2" w:rsidRDefault="00CB36F2" w:rsidP="00CB36F2">
      <w:pPr>
        <w:rPr>
          <w:sz w:val="22"/>
        </w:rPr>
      </w:pPr>
      <w:r>
        <w:rPr>
          <w:sz w:val="22"/>
        </w:rPr>
        <w:t xml:space="preserve">A person is vaccinated against COVID-19 if the person has received all of the doses of a vaccine for COVID-19, necessary for the person to be issued with a vaccination certificate in respect of COVID-19 by the Australian Immunisation Register, or an equivalent document from a jurisdiction outside of Australia. </w:t>
      </w:r>
    </w:p>
    <w:p w14:paraId="03AD9049" w14:textId="77777777" w:rsidR="00CB36F2" w:rsidRDefault="00CB36F2" w:rsidP="00CB36F2">
      <w:pPr>
        <w:rPr>
          <w:sz w:val="22"/>
        </w:rPr>
      </w:pPr>
      <w:r>
        <w:rPr>
          <w:sz w:val="22"/>
        </w:rPr>
        <w:t xml:space="preserve">A person may be granted an exemption from the requirement to be vaccinated against the disease where the person demonstrates –   </w:t>
      </w:r>
    </w:p>
    <w:p w14:paraId="3484F81E" w14:textId="77777777" w:rsidR="00CB36F2" w:rsidRDefault="00CB36F2" w:rsidP="00CB36F2">
      <w:pPr>
        <w:pStyle w:val="ListParagraph"/>
        <w:numPr>
          <w:ilvl w:val="0"/>
          <w:numId w:val="31"/>
        </w:numPr>
        <w:ind w:left="360"/>
        <w:rPr>
          <w:sz w:val="22"/>
        </w:rPr>
      </w:pPr>
      <w:r>
        <w:rPr>
          <w:sz w:val="22"/>
        </w:rPr>
        <w:t>Medical contraindication</w:t>
      </w:r>
    </w:p>
    <w:p w14:paraId="6C2F6831" w14:textId="77777777" w:rsidR="00CB36F2" w:rsidRDefault="00CB36F2" w:rsidP="00CB36F2">
      <w:pPr>
        <w:ind w:left="360"/>
        <w:rPr>
          <w:sz w:val="22"/>
        </w:rPr>
      </w:pPr>
      <w:r>
        <w:rPr>
          <w:sz w:val="22"/>
        </w:rPr>
        <w:t xml:space="preserve">A person is unable to be vaccinated against the disease due to a medical contraindication if they: </w:t>
      </w:r>
    </w:p>
    <w:p w14:paraId="71BD2313" w14:textId="77777777" w:rsidR="00CB36F2" w:rsidRDefault="00CB36F2" w:rsidP="00CB36F2">
      <w:pPr>
        <w:pStyle w:val="ListParagraph"/>
        <w:numPr>
          <w:ilvl w:val="0"/>
          <w:numId w:val="32"/>
        </w:numPr>
        <w:tabs>
          <w:tab w:val="left" w:pos="720"/>
        </w:tabs>
        <w:spacing w:before="0" w:after="0" w:line="240" w:lineRule="auto"/>
        <w:ind w:left="1125"/>
        <w:rPr>
          <w:sz w:val="22"/>
        </w:rPr>
      </w:pPr>
      <w:r>
        <w:rPr>
          <w:sz w:val="22"/>
        </w:rPr>
        <w:t>provide evidence in a form provided and accepted by the Head of Agency from a medical practitioner (as defined by the Australian Immunisation Register as a medical practitioner who can grant a medical exemption) which certifies that the person has a medical contraindication that prevents them from being vaccinated against the disease.</w:t>
      </w:r>
    </w:p>
    <w:p w14:paraId="7FF772BB" w14:textId="77777777" w:rsidR="00CB36F2" w:rsidRDefault="00CB36F2" w:rsidP="00CB36F2">
      <w:pPr>
        <w:ind w:left="360" w:firstLine="720"/>
        <w:rPr>
          <w:sz w:val="22"/>
        </w:rPr>
      </w:pPr>
      <w:r>
        <w:rPr>
          <w:sz w:val="22"/>
        </w:rPr>
        <w:t>Or</w:t>
      </w:r>
    </w:p>
    <w:p w14:paraId="52F96040" w14:textId="77777777" w:rsidR="00CB36F2" w:rsidRDefault="00CB36F2" w:rsidP="00CB36F2">
      <w:pPr>
        <w:pStyle w:val="ListParagraph"/>
        <w:numPr>
          <w:ilvl w:val="0"/>
          <w:numId w:val="32"/>
        </w:numPr>
        <w:tabs>
          <w:tab w:val="left" w:pos="720"/>
        </w:tabs>
        <w:spacing w:before="0" w:line="240" w:lineRule="auto"/>
        <w:ind w:left="1125"/>
        <w:rPr>
          <w:sz w:val="22"/>
        </w:rPr>
      </w:pPr>
      <w:r>
        <w:rPr>
          <w:sz w:val="22"/>
        </w:rPr>
        <w:t>have a medical exemption, that applies to the vaccinations for the disease, that has been recorded on the Australian Immunisation Register, operated by or on behalf of the Commonwealth Government.</w:t>
      </w:r>
    </w:p>
    <w:p w14:paraId="43EE5BE1" w14:textId="77777777" w:rsidR="00CB36F2" w:rsidRDefault="00CB36F2" w:rsidP="00CB36F2">
      <w:pPr>
        <w:pStyle w:val="ListParagraph"/>
        <w:numPr>
          <w:ilvl w:val="0"/>
          <w:numId w:val="31"/>
        </w:numPr>
        <w:spacing w:before="240"/>
        <w:ind w:left="354" w:hanging="357"/>
        <w:rPr>
          <w:sz w:val="22"/>
        </w:rPr>
      </w:pPr>
      <w:r>
        <w:rPr>
          <w:sz w:val="22"/>
        </w:rPr>
        <w:t>Exceptional circumstances demonstrated to the satisfaction of the Head of Agency</w:t>
      </w:r>
    </w:p>
    <w:p w14:paraId="690B8BFA"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7B05ED2E" w14:textId="77777777" w:rsidR="00057535" w:rsidRPr="00057535" w:rsidRDefault="00057535" w:rsidP="00057535">
      <w:pPr>
        <w:pStyle w:val="ListParagraph"/>
        <w:numPr>
          <w:ilvl w:val="0"/>
          <w:numId w:val="17"/>
        </w:numPr>
        <w:tabs>
          <w:tab w:val="clear" w:pos="2835"/>
        </w:tabs>
        <w:spacing w:before="0" w:after="200"/>
        <w:ind w:left="426"/>
        <w:rPr>
          <w:rFonts w:cs="Arial"/>
          <w:i/>
          <w:sz w:val="22"/>
        </w:rPr>
      </w:pPr>
      <w:r w:rsidRPr="00057535">
        <w:rPr>
          <w:rFonts w:cs="Arial"/>
          <w:i/>
          <w:sz w:val="22"/>
        </w:rPr>
        <w:t>Current driver’s licence.</w:t>
      </w:r>
    </w:p>
    <w:p w14:paraId="2D68E51D" w14:textId="370D410C" w:rsidR="00057535" w:rsidRPr="00057535" w:rsidRDefault="00057535" w:rsidP="00057535">
      <w:pPr>
        <w:pStyle w:val="ListParagraph"/>
        <w:numPr>
          <w:ilvl w:val="0"/>
          <w:numId w:val="17"/>
        </w:numPr>
        <w:tabs>
          <w:tab w:val="clear" w:pos="2835"/>
        </w:tabs>
        <w:spacing w:before="0" w:after="200"/>
        <w:ind w:left="426"/>
        <w:rPr>
          <w:rFonts w:cs="Arial"/>
          <w:i/>
          <w:sz w:val="22"/>
        </w:rPr>
      </w:pPr>
      <w:r w:rsidRPr="00057535">
        <w:rPr>
          <w:rFonts w:cs="Arial"/>
          <w:i/>
          <w:sz w:val="22"/>
        </w:rPr>
        <w:t>A relevant degree or other tertiary qualification, or equivalent experience</w:t>
      </w:r>
      <w:r w:rsidR="00D6697E">
        <w:rPr>
          <w:rFonts w:cs="Arial"/>
          <w:i/>
          <w:sz w:val="22"/>
        </w:rPr>
        <w:t>.</w:t>
      </w:r>
    </w:p>
    <w:p w14:paraId="1BAE4924" w14:textId="77777777" w:rsidR="00134492" w:rsidRDefault="00134492" w:rsidP="00134492">
      <w:pPr>
        <w:tabs>
          <w:tab w:val="left" w:pos="720"/>
        </w:tabs>
        <w:spacing w:before="0" w:after="200"/>
        <w:rPr>
          <w:highlight w:val="yellow"/>
        </w:rPr>
      </w:pPr>
    </w:p>
    <w:p w14:paraId="0838A247" w14:textId="77777777" w:rsidR="00134492" w:rsidRDefault="00134492" w:rsidP="00134492">
      <w:pPr>
        <w:pStyle w:val="Heading3"/>
        <w:spacing w:before="0" w:after="0" w:line="240" w:lineRule="auto"/>
      </w:pPr>
      <w:r>
        <w:t>Working at State Growth</w:t>
      </w:r>
    </w:p>
    <w:p w14:paraId="7FB63A1B" w14:textId="77777777" w:rsidR="00134492" w:rsidRDefault="00134492" w:rsidP="00134492">
      <w:pPr>
        <w:pStyle w:val="BodyText"/>
        <w:ind w:left="-66" w:right="43"/>
        <w:jc w:val="both"/>
        <w:rPr>
          <w:rFonts w:cs="Arial"/>
          <w:sz w:val="22"/>
        </w:rPr>
      </w:pPr>
      <w:r>
        <w:rPr>
          <w:rFonts w:cs="Arial"/>
          <w:sz w:val="22"/>
        </w:rPr>
        <w:t xml:space="preserve">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 </w:t>
      </w:r>
    </w:p>
    <w:p w14:paraId="0CE0267B" w14:textId="77777777" w:rsidR="00134492" w:rsidRDefault="00134492" w:rsidP="00134492">
      <w:pPr>
        <w:pStyle w:val="BodyText"/>
        <w:ind w:right="43"/>
        <w:jc w:val="both"/>
        <w:rPr>
          <w:rFonts w:eastAsia="Calibri" w:cs="Arial"/>
        </w:rPr>
      </w:pPr>
      <w:r>
        <w:rPr>
          <w:rFonts w:eastAsia="Calibri" w:cs="Arial"/>
        </w:rPr>
        <w:t xml:space="preserve">Visit </w:t>
      </w:r>
      <w:hyperlink w:history="1">
        <w:r>
          <w:rPr>
            <w:rStyle w:val="Hyperlink"/>
            <w:rFonts w:eastAsia="Calibri" w:cs="Arial"/>
          </w:rPr>
          <w:t xml:space="preserve"> www.stategrowth.tas.gov.au for</w:t>
        </w:r>
      </w:hyperlink>
      <w:r>
        <w:rPr>
          <w:rFonts w:eastAsia="Calibri" w:cs="Arial"/>
        </w:rPr>
        <w:t xml:space="preserve"> more information.</w:t>
      </w:r>
    </w:p>
    <w:p w14:paraId="0E30FC27" w14:textId="77777777" w:rsidR="00134492" w:rsidRDefault="00134492" w:rsidP="00134492">
      <w:pPr>
        <w:pStyle w:val="BodyText"/>
        <w:ind w:right="43"/>
        <w:jc w:val="both"/>
        <w:rPr>
          <w:rFonts w:cs="Arial"/>
          <w:sz w:val="22"/>
        </w:rPr>
      </w:pPr>
      <w:r>
        <w:rPr>
          <w:rFonts w:cs="Arial"/>
          <w:sz w:val="22"/>
        </w:rPr>
        <w:t xml:space="preserve">Our department is a diverse, inclusive and flexible workplace that enables our people to contribute to their full potential. We value workplace diversity and recognise the value each person offers that is shaped by their unique characteristics, background, experiences, knowledge, skills, values and perspectives.  State Growth promotes an inclusive workplace where people are able to contribute and talk about ideas and their capability to deliver within a team. </w:t>
      </w:r>
    </w:p>
    <w:p w14:paraId="0F4713B0" w14:textId="77777777" w:rsidR="00CB36F2" w:rsidRDefault="00CB36F2">
      <w:pPr>
        <w:tabs>
          <w:tab w:val="clear" w:pos="2835"/>
        </w:tabs>
        <w:spacing w:before="0" w:after="200"/>
        <w:rPr>
          <w:rFonts w:cs="Arial"/>
          <w:sz w:val="22"/>
        </w:rPr>
      </w:pPr>
      <w:r>
        <w:rPr>
          <w:rFonts w:cs="Arial"/>
          <w:sz w:val="22"/>
        </w:rPr>
        <w:br w:type="page"/>
      </w:r>
    </w:p>
    <w:p w14:paraId="084611E1" w14:textId="1ACB9606" w:rsidR="00134492" w:rsidRDefault="00134492" w:rsidP="00134492">
      <w:pPr>
        <w:pStyle w:val="BodyText"/>
        <w:ind w:right="43"/>
        <w:jc w:val="both"/>
        <w:rPr>
          <w:rFonts w:cs="Arial"/>
          <w:sz w:val="22"/>
        </w:rPr>
      </w:pPr>
      <w:r>
        <w:rPr>
          <w:rFonts w:cs="Arial"/>
          <w:sz w:val="22"/>
        </w:rPr>
        <w:lastRenderedPageBreak/>
        <w:t xml:space="preserve">State Growth is a values-based organisation. Our aims </w:t>
      </w:r>
      <w:proofErr w:type="gramStart"/>
      <w:r>
        <w:rPr>
          <w:rFonts w:cs="Arial"/>
          <w:sz w:val="22"/>
        </w:rPr>
        <w:t>is</w:t>
      </w:r>
      <w:proofErr w:type="gramEnd"/>
      <w:r>
        <w:rPr>
          <w:rFonts w:cs="Arial"/>
          <w:sz w:val="22"/>
        </w:rPr>
        <w:t xml:space="preserve"> to attract, recruit and retain people who will uphold our values and are committed to building a strong values based culture. Our values and behaviours reflect what we consider to be important, that is </w:t>
      </w:r>
    </w:p>
    <w:p w14:paraId="03289093" w14:textId="77777777" w:rsidR="00134492" w:rsidRDefault="00134492" w:rsidP="00134492">
      <w:pPr>
        <w:spacing w:after="200"/>
        <w:ind w:left="294" w:right="43"/>
        <w:rPr>
          <w:rFonts w:cs="Helvetica"/>
          <w:color w:val="333333"/>
          <w:sz w:val="22"/>
          <w:lang w:eastAsia="en-AU"/>
        </w:rPr>
      </w:pPr>
      <w:r>
        <w:rPr>
          <w:rFonts w:cs="Helvetica"/>
          <w:i/>
          <w:iCs/>
          <w:color w:val="333333"/>
          <w:sz w:val="22"/>
          <w:lang w:eastAsia="en-AU"/>
        </w:rPr>
        <w:t>Our people</w:t>
      </w:r>
      <w:r>
        <w:rPr>
          <w:rFonts w:cs="Helvetica"/>
          <w:color w:val="333333"/>
          <w:sz w:val="22"/>
          <w:lang w:eastAsia="en-AU"/>
        </w:rPr>
        <w:t xml:space="preserve"> who are at the heart of the organisation; o</w:t>
      </w:r>
      <w:r>
        <w:rPr>
          <w:rFonts w:cs="Helvetica"/>
          <w:i/>
          <w:iCs/>
          <w:color w:val="333333"/>
          <w:sz w:val="22"/>
          <w:lang w:eastAsia="en-AU"/>
        </w:rPr>
        <w:t>ur decisions</w:t>
      </w:r>
      <w:r>
        <w:rPr>
          <w:rFonts w:cs="Helvetica"/>
          <w:color w:val="333333"/>
          <w:sz w:val="22"/>
          <w:lang w:eastAsia="en-AU"/>
        </w:rPr>
        <w:t xml:space="preserve"> which are based on sound principles; and o</w:t>
      </w:r>
      <w:r>
        <w:rPr>
          <w:rFonts w:cs="Helvetica"/>
          <w:i/>
          <w:iCs/>
          <w:color w:val="333333"/>
          <w:sz w:val="22"/>
          <w:lang w:eastAsia="en-AU"/>
        </w:rPr>
        <w:t>ur clients</w:t>
      </w:r>
      <w:r>
        <w:rPr>
          <w:rFonts w:cs="Helvetica"/>
          <w:color w:val="333333"/>
          <w:sz w:val="22"/>
          <w:lang w:eastAsia="en-AU"/>
        </w:rPr>
        <w:t xml:space="preserve"> who are at the centre of what we do.</w:t>
      </w:r>
    </w:p>
    <w:p w14:paraId="463F14D8" w14:textId="77777777" w:rsidR="00134492" w:rsidRDefault="00134492" w:rsidP="00134492">
      <w:pPr>
        <w:ind w:right="43"/>
        <w:rPr>
          <w:rFonts w:cs="Helvetica"/>
          <w:color w:val="333333"/>
          <w:sz w:val="22"/>
          <w:lang w:eastAsia="en-AU"/>
        </w:rPr>
      </w:pPr>
      <w:r>
        <w:rPr>
          <w:rFonts w:cs="Helvetica"/>
          <w:color w:val="333333"/>
          <w:sz w:val="22"/>
          <w:lang w:eastAsia="en-AU"/>
        </w:rPr>
        <w:t xml:space="preserve">We have the </w:t>
      </w:r>
      <w:r>
        <w:rPr>
          <w:rFonts w:cs="Helvetica"/>
          <w:b/>
          <w:i/>
          <w:color w:val="333333"/>
          <w:sz w:val="22"/>
          <w:lang w:eastAsia="en-AU"/>
        </w:rPr>
        <w:t>Courage to Make a Difference</w:t>
      </w:r>
      <w:r>
        <w:rPr>
          <w:rFonts w:cs="Helvetica"/>
          <w:color w:val="333333"/>
          <w:sz w:val="22"/>
          <w:lang w:eastAsia="en-AU"/>
        </w:rPr>
        <w:t xml:space="preserve"> through:</w:t>
      </w:r>
    </w:p>
    <w:p w14:paraId="7D0F7A35" w14:textId="77777777" w:rsidR="00134492" w:rsidRDefault="00134492" w:rsidP="00134492">
      <w:pPr>
        <w:numPr>
          <w:ilvl w:val="0"/>
          <w:numId w:val="29"/>
        </w:numPr>
        <w:tabs>
          <w:tab w:val="left" w:pos="720"/>
        </w:tabs>
        <w:spacing w:before="0" w:after="0" w:line="240" w:lineRule="auto"/>
        <w:ind w:right="43"/>
        <w:rPr>
          <w:rFonts w:cs="Arial"/>
          <w:sz w:val="22"/>
        </w:rPr>
      </w:pPr>
      <w:r>
        <w:rPr>
          <w:rFonts w:cs="Helvetica"/>
          <w:b/>
          <w:i/>
          <w:color w:val="333333"/>
          <w:sz w:val="22"/>
          <w:lang w:eastAsia="en-AU"/>
        </w:rPr>
        <w:t xml:space="preserve">Teamwork </w:t>
      </w:r>
      <w:r>
        <w:rPr>
          <w:rFonts w:cs="Arial"/>
          <w:sz w:val="22"/>
        </w:rPr>
        <w:t>– our teams are diverse, caring and productive</w:t>
      </w:r>
    </w:p>
    <w:p w14:paraId="55D04EFF" w14:textId="77777777" w:rsidR="00134492" w:rsidRDefault="00134492" w:rsidP="00134492">
      <w:pPr>
        <w:numPr>
          <w:ilvl w:val="0"/>
          <w:numId w:val="29"/>
        </w:numPr>
        <w:tabs>
          <w:tab w:val="left" w:pos="720"/>
        </w:tabs>
        <w:spacing w:before="0" w:after="0" w:line="240" w:lineRule="auto"/>
        <w:ind w:right="43"/>
        <w:rPr>
          <w:rFonts w:cs="Arial"/>
          <w:sz w:val="22"/>
        </w:rPr>
      </w:pPr>
      <w:r>
        <w:rPr>
          <w:rFonts w:cs="Helvetica"/>
          <w:b/>
          <w:i/>
          <w:color w:val="333333"/>
          <w:sz w:val="22"/>
          <w:lang w:eastAsia="en-AU"/>
        </w:rPr>
        <w:t xml:space="preserve">Respect </w:t>
      </w:r>
      <w:r>
        <w:rPr>
          <w:rFonts w:cs="Arial"/>
          <w:sz w:val="22"/>
        </w:rPr>
        <w:t>– we are fair, trusting and appreciative</w:t>
      </w:r>
    </w:p>
    <w:p w14:paraId="33735D56" w14:textId="77777777" w:rsidR="00134492" w:rsidRDefault="00134492" w:rsidP="00134492">
      <w:pPr>
        <w:numPr>
          <w:ilvl w:val="0"/>
          <w:numId w:val="29"/>
        </w:numPr>
        <w:tabs>
          <w:tab w:val="left" w:pos="720"/>
        </w:tabs>
        <w:spacing w:before="0" w:after="0" w:line="240" w:lineRule="auto"/>
        <w:ind w:right="43"/>
        <w:rPr>
          <w:rFonts w:cs="Arial"/>
          <w:sz w:val="22"/>
        </w:rPr>
      </w:pPr>
      <w:r>
        <w:rPr>
          <w:rFonts w:cs="Helvetica"/>
          <w:b/>
          <w:i/>
          <w:color w:val="333333"/>
          <w:sz w:val="22"/>
          <w:lang w:eastAsia="en-AU"/>
        </w:rPr>
        <w:t>Excellence</w:t>
      </w:r>
      <w:r>
        <w:rPr>
          <w:rFonts w:cs="Arial"/>
          <w:sz w:val="22"/>
        </w:rPr>
        <w:t xml:space="preserve"> – we take pride in our work and encourage new ideas to deliver public value</w:t>
      </w:r>
    </w:p>
    <w:p w14:paraId="6BD077C4" w14:textId="77777777" w:rsidR="00134492" w:rsidRDefault="00134492" w:rsidP="00134492">
      <w:pPr>
        <w:numPr>
          <w:ilvl w:val="0"/>
          <w:numId w:val="29"/>
        </w:numPr>
        <w:tabs>
          <w:tab w:val="left" w:pos="720"/>
        </w:tabs>
        <w:spacing w:before="0" w:after="0" w:line="240" w:lineRule="auto"/>
        <w:ind w:right="43"/>
        <w:rPr>
          <w:rFonts w:cs="Arial"/>
          <w:sz w:val="22"/>
        </w:rPr>
      </w:pPr>
      <w:r>
        <w:rPr>
          <w:rFonts w:cs="Helvetica"/>
          <w:b/>
          <w:i/>
          <w:color w:val="333333"/>
          <w:sz w:val="22"/>
          <w:lang w:eastAsia="en-AU"/>
        </w:rPr>
        <w:t>Integrity</w:t>
      </w:r>
      <w:r>
        <w:rPr>
          <w:rFonts w:cs="Arial"/>
          <w:sz w:val="22"/>
        </w:rPr>
        <w:t xml:space="preserve"> – we are ethical and accountable in all we do</w:t>
      </w:r>
    </w:p>
    <w:p w14:paraId="378F9E01" w14:textId="77777777" w:rsidR="00134492" w:rsidRDefault="00134492" w:rsidP="00134492">
      <w:pPr>
        <w:pStyle w:val="BodyText"/>
        <w:ind w:right="43"/>
        <w:jc w:val="both"/>
        <w:rPr>
          <w:rFonts w:cs="Arial"/>
          <w:sz w:val="22"/>
        </w:rPr>
      </w:pPr>
      <w:r>
        <w:rPr>
          <w:rFonts w:cs="Arial"/>
          <w:sz w:val="22"/>
        </w:rPr>
        <w:t>We are committed to high standards of performance in relation to Workplace Health and Safety and all employees are expected to participate in maintaining safe working conditions and practice. State Growth has zero tolerance to violence, including violence against women and any form of family violence. We take an active role to support employees and their families by providing a workplace that promotes their safety and provides the flexibility to support employees to live free from violence.</w:t>
      </w:r>
    </w:p>
    <w:p w14:paraId="1BAD5353" w14:textId="77777777" w:rsidR="00134492" w:rsidRDefault="00134492" w:rsidP="00134492">
      <w:pPr>
        <w:pStyle w:val="BodyText"/>
        <w:ind w:right="43"/>
        <w:jc w:val="both"/>
        <w:rPr>
          <w:rFonts w:cs="Arial"/>
          <w:color w:val="0563C1"/>
          <w:sz w:val="22"/>
          <w:u w:val="single"/>
        </w:rPr>
      </w:pPr>
      <w:r>
        <w:rPr>
          <w:rFonts w:eastAsia="Calibri" w:cs="Arial"/>
          <w:sz w:val="22"/>
        </w:rPr>
        <w:t>All employees are responsible for ensuring that the standards of behaviour and conduct specified in the State Service Principles and Code of Conduct are adhered to (</w:t>
      </w:r>
      <w:r>
        <w:rPr>
          <w:rFonts w:eastAsia="Calibri" w:cs="Arial"/>
          <w:i/>
          <w:sz w:val="22"/>
        </w:rPr>
        <w:t>State Service Act 2000</w:t>
      </w:r>
      <w:r>
        <w:rPr>
          <w:rFonts w:eastAsia="Calibri" w:cs="Arial"/>
          <w:sz w:val="22"/>
        </w:rPr>
        <w:t xml:space="preserve">). </w:t>
      </w:r>
      <w:r>
        <w:rPr>
          <w:rFonts w:cs="Arial"/>
          <w:sz w:val="22"/>
        </w:rPr>
        <w:t>These can be located at State Service Management Office (</w:t>
      </w:r>
      <w:hyperlink r:id="rId8" w:history="1">
        <w:r>
          <w:rPr>
            <w:rStyle w:val="Hyperlink"/>
            <w:rFonts w:cs="Arial"/>
            <w:sz w:val="22"/>
          </w:rPr>
          <w:t>www.dpac.tas.gov.au/divisions/ssmo</w:t>
        </w:r>
      </w:hyperlink>
      <w:r>
        <w:rPr>
          <w:rFonts w:cs="Arial"/>
          <w:sz w:val="22"/>
        </w:rPr>
        <w:t>)</w:t>
      </w:r>
    </w:p>
    <w:p w14:paraId="2C2A567D" w14:textId="77777777" w:rsidR="00BD11C1" w:rsidRDefault="00BD11C1" w:rsidP="00134492">
      <w:pPr>
        <w:pStyle w:val="Heading3"/>
      </w:pPr>
    </w:p>
    <w:sectPr w:rsidR="00BD11C1" w:rsidSect="009F6C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AA938" w14:textId="77777777" w:rsidR="00A26FCA" w:rsidRDefault="00A26FCA" w:rsidP="00BC49A5">
      <w:r>
        <w:separator/>
      </w:r>
    </w:p>
  </w:endnote>
  <w:endnote w:type="continuationSeparator" w:id="0">
    <w:p w14:paraId="4FADD4A2" w14:textId="77777777" w:rsidR="00A26FCA" w:rsidRDefault="00A26FC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Sans Light">
    <w:altName w:val="Calibri"/>
    <w:charset w:val="00"/>
    <w:family w:val="swiss"/>
    <w:pitch w:val="variable"/>
    <w:sig w:usb0="00000007"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C8517" w14:textId="77777777" w:rsidR="001A7FED" w:rsidRDefault="001A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3B2F03E3" w14:textId="77777777"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BD11C1">
          <w:rPr>
            <w:noProof/>
          </w:rPr>
          <w:t>4</w:t>
        </w:r>
        <w:r w:rsidR="007F73E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8B23" w14:textId="77777777" w:rsidR="001A7FED" w:rsidRDefault="001A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A222" w14:textId="77777777" w:rsidR="00A26FCA" w:rsidRDefault="00A26FCA" w:rsidP="00BC49A5">
      <w:r>
        <w:separator/>
      </w:r>
    </w:p>
  </w:footnote>
  <w:footnote w:type="continuationSeparator" w:id="0">
    <w:p w14:paraId="7B33572C" w14:textId="77777777" w:rsidR="00A26FCA" w:rsidRDefault="00A26FC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3CCAB" w14:textId="77777777" w:rsidR="001A7FED" w:rsidRDefault="001A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3168" w14:textId="77777777" w:rsidR="001A7FED" w:rsidRDefault="001A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1E6C" w14:textId="77777777" w:rsidR="001A7FED" w:rsidRDefault="001A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BA2FB5"/>
    <w:multiLevelType w:val="hybridMultilevel"/>
    <w:tmpl w:val="008A29FC"/>
    <w:lvl w:ilvl="0" w:tplc="F38E344E">
      <w:start w:val="1"/>
      <w:numFmt w:val="bullet"/>
      <w:pStyle w:val="GovBullets"/>
      <w:lvlText w:val=""/>
      <w:lvlJc w:val="left"/>
      <w:pPr>
        <w:ind w:left="340" w:hanging="340"/>
      </w:pPr>
      <w:rPr>
        <w:rFonts w:ascii="Symbol" w:hAnsi="Symbol" w:hint="default"/>
        <w:color w:val="55437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53529D"/>
    <w:multiLevelType w:val="hybridMultilevel"/>
    <w:tmpl w:val="478A017C"/>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A77117"/>
    <w:multiLevelType w:val="hybridMultilevel"/>
    <w:tmpl w:val="9DF0A2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444C4A34"/>
    <w:multiLevelType w:val="hybridMultilevel"/>
    <w:tmpl w:val="DC649404"/>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2"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A35F6B"/>
    <w:multiLevelType w:val="hybridMultilevel"/>
    <w:tmpl w:val="B09E2FFE"/>
    <w:lvl w:ilvl="0" w:tplc="9A680804">
      <w:start w:val="1"/>
      <w:numFmt w:val="decimal"/>
      <w:lvlText w:val="%1."/>
      <w:lvlJc w:val="left"/>
      <w:pPr>
        <w:ind w:left="153" w:hanging="360"/>
      </w:pPr>
      <w:rPr>
        <w:b w:val="0"/>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4D2D0F65"/>
    <w:multiLevelType w:val="hybridMultilevel"/>
    <w:tmpl w:val="B728F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D2AA9"/>
    <w:multiLevelType w:val="hybridMultilevel"/>
    <w:tmpl w:val="9B4C5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C11664"/>
    <w:multiLevelType w:val="hybridMultilevel"/>
    <w:tmpl w:val="54CC71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6E6735"/>
    <w:multiLevelType w:val="hybridMultilevel"/>
    <w:tmpl w:val="3E5A6FA0"/>
    <w:lvl w:ilvl="0" w:tplc="0C09000F">
      <w:start w:val="1"/>
      <w:numFmt w:val="decimal"/>
      <w:lvlText w:val="%1."/>
      <w:lvlJc w:val="left"/>
      <w:pPr>
        <w:ind w:left="3129" w:hanging="360"/>
      </w:pPr>
    </w:lvl>
    <w:lvl w:ilvl="1" w:tplc="0C090019" w:tentative="1">
      <w:start w:val="1"/>
      <w:numFmt w:val="lowerLetter"/>
      <w:lvlText w:val="%2."/>
      <w:lvlJc w:val="left"/>
      <w:pPr>
        <w:ind w:left="3849" w:hanging="360"/>
      </w:pPr>
    </w:lvl>
    <w:lvl w:ilvl="2" w:tplc="0C09001B" w:tentative="1">
      <w:start w:val="1"/>
      <w:numFmt w:val="lowerRoman"/>
      <w:lvlText w:val="%3."/>
      <w:lvlJc w:val="right"/>
      <w:pPr>
        <w:ind w:left="4569" w:hanging="180"/>
      </w:pPr>
    </w:lvl>
    <w:lvl w:ilvl="3" w:tplc="0C09000F" w:tentative="1">
      <w:start w:val="1"/>
      <w:numFmt w:val="decimal"/>
      <w:lvlText w:val="%4."/>
      <w:lvlJc w:val="left"/>
      <w:pPr>
        <w:ind w:left="5289" w:hanging="360"/>
      </w:pPr>
    </w:lvl>
    <w:lvl w:ilvl="4" w:tplc="0C090019" w:tentative="1">
      <w:start w:val="1"/>
      <w:numFmt w:val="lowerLetter"/>
      <w:lvlText w:val="%5."/>
      <w:lvlJc w:val="left"/>
      <w:pPr>
        <w:ind w:left="6009" w:hanging="360"/>
      </w:pPr>
    </w:lvl>
    <w:lvl w:ilvl="5" w:tplc="0C09001B" w:tentative="1">
      <w:start w:val="1"/>
      <w:numFmt w:val="lowerRoman"/>
      <w:lvlText w:val="%6."/>
      <w:lvlJc w:val="right"/>
      <w:pPr>
        <w:ind w:left="6729" w:hanging="180"/>
      </w:pPr>
    </w:lvl>
    <w:lvl w:ilvl="6" w:tplc="0C09000F" w:tentative="1">
      <w:start w:val="1"/>
      <w:numFmt w:val="decimal"/>
      <w:lvlText w:val="%7."/>
      <w:lvlJc w:val="left"/>
      <w:pPr>
        <w:ind w:left="7449" w:hanging="360"/>
      </w:pPr>
    </w:lvl>
    <w:lvl w:ilvl="7" w:tplc="0C090019" w:tentative="1">
      <w:start w:val="1"/>
      <w:numFmt w:val="lowerLetter"/>
      <w:lvlText w:val="%8."/>
      <w:lvlJc w:val="left"/>
      <w:pPr>
        <w:ind w:left="8169" w:hanging="360"/>
      </w:pPr>
    </w:lvl>
    <w:lvl w:ilvl="8" w:tplc="0C09001B" w:tentative="1">
      <w:start w:val="1"/>
      <w:numFmt w:val="lowerRoman"/>
      <w:lvlText w:val="%9."/>
      <w:lvlJc w:val="right"/>
      <w:pPr>
        <w:ind w:left="8889" w:hanging="180"/>
      </w:pPr>
    </w:lvl>
  </w:abstractNum>
  <w:abstractNum w:abstractNumId="21" w15:restartNumberingAfterBreak="0">
    <w:nsid w:val="579256A3"/>
    <w:multiLevelType w:val="hybridMultilevel"/>
    <w:tmpl w:val="F994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4C643D"/>
    <w:multiLevelType w:val="hybridMultilevel"/>
    <w:tmpl w:val="75022860"/>
    <w:lvl w:ilvl="0" w:tplc="0C090001">
      <w:start w:val="1"/>
      <w:numFmt w:val="bullet"/>
      <w:lvlText w:val=""/>
      <w:lvlJc w:val="left"/>
      <w:pPr>
        <w:ind w:left="654" w:hanging="360"/>
      </w:pPr>
      <w:rPr>
        <w:rFonts w:ascii="Symbol" w:hAnsi="Symbol" w:hint="default"/>
      </w:rPr>
    </w:lvl>
    <w:lvl w:ilvl="1" w:tplc="0C090003">
      <w:start w:val="1"/>
      <w:numFmt w:val="bullet"/>
      <w:lvlText w:val="o"/>
      <w:lvlJc w:val="left"/>
      <w:pPr>
        <w:ind w:left="1374" w:hanging="360"/>
      </w:pPr>
      <w:rPr>
        <w:rFonts w:ascii="Courier New" w:hAnsi="Courier New" w:cs="Courier New" w:hint="default"/>
      </w:rPr>
    </w:lvl>
    <w:lvl w:ilvl="2" w:tplc="0C090005">
      <w:start w:val="1"/>
      <w:numFmt w:val="bullet"/>
      <w:lvlText w:val=""/>
      <w:lvlJc w:val="left"/>
      <w:pPr>
        <w:ind w:left="2094" w:hanging="360"/>
      </w:pPr>
      <w:rPr>
        <w:rFonts w:ascii="Wingdings" w:hAnsi="Wingdings" w:hint="default"/>
      </w:rPr>
    </w:lvl>
    <w:lvl w:ilvl="3" w:tplc="0C090001">
      <w:start w:val="1"/>
      <w:numFmt w:val="bullet"/>
      <w:lvlText w:val=""/>
      <w:lvlJc w:val="left"/>
      <w:pPr>
        <w:ind w:left="2814" w:hanging="360"/>
      </w:pPr>
      <w:rPr>
        <w:rFonts w:ascii="Symbol" w:hAnsi="Symbol" w:hint="default"/>
      </w:rPr>
    </w:lvl>
    <w:lvl w:ilvl="4" w:tplc="0C090003">
      <w:start w:val="1"/>
      <w:numFmt w:val="bullet"/>
      <w:lvlText w:val="o"/>
      <w:lvlJc w:val="left"/>
      <w:pPr>
        <w:ind w:left="3534" w:hanging="360"/>
      </w:pPr>
      <w:rPr>
        <w:rFonts w:ascii="Courier New" w:hAnsi="Courier New" w:cs="Courier New" w:hint="default"/>
      </w:rPr>
    </w:lvl>
    <w:lvl w:ilvl="5" w:tplc="0C090005">
      <w:start w:val="1"/>
      <w:numFmt w:val="bullet"/>
      <w:lvlText w:val=""/>
      <w:lvlJc w:val="left"/>
      <w:pPr>
        <w:ind w:left="4254" w:hanging="360"/>
      </w:pPr>
      <w:rPr>
        <w:rFonts w:ascii="Wingdings" w:hAnsi="Wingdings" w:hint="default"/>
      </w:rPr>
    </w:lvl>
    <w:lvl w:ilvl="6" w:tplc="0C090001">
      <w:start w:val="1"/>
      <w:numFmt w:val="bullet"/>
      <w:lvlText w:val=""/>
      <w:lvlJc w:val="left"/>
      <w:pPr>
        <w:ind w:left="4974" w:hanging="360"/>
      </w:pPr>
      <w:rPr>
        <w:rFonts w:ascii="Symbol" w:hAnsi="Symbol" w:hint="default"/>
      </w:rPr>
    </w:lvl>
    <w:lvl w:ilvl="7" w:tplc="0C090003">
      <w:start w:val="1"/>
      <w:numFmt w:val="bullet"/>
      <w:lvlText w:val="o"/>
      <w:lvlJc w:val="left"/>
      <w:pPr>
        <w:ind w:left="5694" w:hanging="360"/>
      </w:pPr>
      <w:rPr>
        <w:rFonts w:ascii="Courier New" w:hAnsi="Courier New" w:cs="Courier New" w:hint="default"/>
      </w:rPr>
    </w:lvl>
    <w:lvl w:ilvl="8" w:tplc="0C090005">
      <w:start w:val="1"/>
      <w:numFmt w:val="bullet"/>
      <w:lvlText w:val=""/>
      <w:lvlJc w:val="left"/>
      <w:pPr>
        <w:ind w:left="6414" w:hanging="360"/>
      </w:pPr>
      <w:rPr>
        <w:rFonts w:ascii="Wingdings" w:hAnsi="Wingdings" w:hint="default"/>
      </w:rPr>
    </w:lvl>
  </w:abstractNum>
  <w:abstractNum w:abstractNumId="3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6"/>
  </w:num>
  <w:num w:numId="4">
    <w:abstractNumId w:val="9"/>
  </w:num>
  <w:num w:numId="5">
    <w:abstractNumId w:val="4"/>
  </w:num>
  <w:num w:numId="6">
    <w:abstractNumId w:val="28"/>
  </w:num>
  <w:num w:numId="7">
    <w:abstractNumId w:val="7"/>
  </w:num>
  <w:num w:numId="8">
    <w:abstractNumId w:val="30"/>
  </w:num>
  <w:num w:numId="9">
    <w:abstractNumId w:val="5"/>
  </w:num>
  <w:num w:numId="10">
    <w:abstractNumId w:val="1"/>
  </w:num>
  <w:num w:numId="11">
    <w:abstractNumId w:val="15"/>
  </w:num>
  <w:num w:numId="12">
    <w:abstractNumId w:val="3"/>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num>
  <w:num w:numId="16">
    <w:abstractNumId w:val="10"/>
  </w:num>
  <w:num w:numId="17">
    <w:abstractNumId w:val="21"/>
  </w:num>
  <w:num w:numId="18">
    <w:abstractNumId w:val="22"/>
  </w:num>
  <w:num w:numId="19">
    <w:abstractNumId w:val="13"/>
  </w:num>
  <w:num w:numId="20">
    <w:abstractNumId w:val="20"/>
  </w:num>
  <w:num w:numId="21">
    <w:abstractNumId w:val="8"/>
  </w:num>
  <w:num w:numId="22">
    <w:abstractNumId w:val="19"/>
  </w:num>
  <w:num w:numId="23">
    <w:abstractNumId w:val="14"/>
  </w:num>
  <w:num w:numId="24">
    <w:abstractNumId w:val="11"/>
  </w:num>
  <w:num w:numId="25">
    <w:abstractNumId w:val="18"/>
  </w:num>
  <w:num w:numId="26">
    <w:abstractNumId w:val="17"/>
  </w:num>
  <w:num w:numId="27">
    <w:abstractNumId w:val="6"/>
  </w:num>
  <w:num w:numId="28">
    <w:abstractNumId w:val="2"/>
  </w:num>
  <w:num w:numId="29">
    <w:abstractNumId w:val="17"/>
  </w:num>
  <w:num w:numId="30">
    <w:abstractNumId w:val="2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06A46"/>
    <w:rsid w:val="00035AAC"/>
    <w:rsid w:val="000436F6"/>
    <w:rsid w:val="00051D67"/>
    <w:rsid w:val="00057535"/>
    <w:rsid w:val="00066D45"/>
    <w:rsid w:val="00085651"/>
    <w:rsid w:val="00094E6B"/>
    <w:rsid w:val="000A687B"/>
    <w:rsid w:val="000B6615"/>
    <w:rsid w:val="000D117E"/>
    <w:rsid w:val="001067A0"/>
    <w:rsid w:val="00106BD7"/>
    <w:rsid w:val="001165AA"/>
    <w:rsid w:val="00123C36"/>
    <w:rsid w:val="001327D4"/>
    <w:rsid w:val="00134492"/>
    <w:rsid w:val="0016305A"/>
    <w:rsid w:val="001658D9"/>
    <w:rsid w:val="0017690F"/>
    <w:rsid w:val="00185BDA"/>
    <w:rsid w:val="00186BB1"/>
    <w:rsid w:val="001947A1"/>
    <w:rsid w:val="00194A48"/>
    <w:rsid w:val="00194B22"/>
    <w:rsid w:val="001963E4"/>
    <w:rsid w:val="001A4B29"/>
    <w:rsid w:val="001A7FED"/>
    <w:rsid w:val="001C06F8"/>
    <w:rsid w:val="001E7B7E"/>
    <w:rsid w:val="001F490C"/>
    <w:rsid w:val="00217F2A"/>
    <w:rsid w:val="00226289"/>
    <w:rsid w:val="00235AEC"/>
    <w:rsid w:val="00263C51"/>
    <w:rsid w:val="00263E12"/>
    <w:rsid w:val="0027099F"/>
    <w:rsid w:val="002743F8"/>
    <w:rsid w:val="00285365"/>
    <w:rsid w:val="002A584C"/>
    <w:rsid w:val="002B256E"/>
    <w:rsid w:val="002B3E80"/>
    <w:rsid w:val="002E33F1"/>
    <w:rsid w:val="00303EC6"/>
    <w:rsid w:val="003058D6"/>
    <w:rsid w:val="00331842"/>
    <w:rsid w:val="003420FF"/>
    <w:rsid w:val="00371F59"/>
    <w:rsid w:val="00391075"/>
    <w:rsid w:val="003951E9"/>
    <w:rsid w:val="0039695F"/>
    <w:rsid w:val="003C5DE2"/>
    <w:rsid w:val="003E0CDE"/>
    <w:rsid w:val="003F442E"/>
    <w:rsid w:val="0040102C"/>
    <w:rsid w:val="00402EC9"/>
    <w:rsid w:val="00411FA3"/>
    <w:rsid w:val="00417933"/>
    <w:rsid w:val="00486C56"/>
    <w:rsid w:val="00490402"/>
    <w:rsid w:val="004960C2"/>
    <w:rsid w:val="004E3224"/>
    <w:rsid w:val="004F2DAF"/>
    <w:rsid w:val="00542542"/>
    <w:rsid w:val="00547824"/>
    <w:rsid w:val="005864CE"/>
    <w:rsid w:val="005A1849"/>
    <w:rsid w:val="005C051C"/>
    <w:rsid w:val="005C73AE"/>
    <w:rsid w:val="005D5969"/>
    <w:rsid w:val="005E4674"/>
    <w:rsid w:val="00600395"/>
    <w:rsid w:val="00626D9C"/>
    <w:rsid w:val="00646492"/>
    <w:rsid w:val="006701C7"/>
    <w:rsid w:val="00691987"/>
    <w:rsid w:val="006A23DC"/>
    <w:rsid w:val="006B623C"/>
    <w:rsid w:val="006C2ED7"/>
    <w:rsid w:val="006F2AF5"/>
    <w:rsid w:val="00710239"/>
    <w:rsid w:val="00726176"/>
    <w:rsid w:val="00743A19"/>
    <w:rsid w:val="00746501"/>
    <w:rsid w:val="007B61E0"/>
    <w:rsid w:val="007C055A"/>
    <w:rsid w:val="007C2B83"/>
    <w:rsid w:val="007E1A53"/>
    <w:rsid w:val="007E7694"/>
    <w:rsid w:val="007F73E6"/>
    <w:rsid w:val="008171F0"/>
    <w:rsid w:val="00840A9D"/>
    <w:rsid w:val="00842E0D"/>
    <w:rsid w:val="00864179"/>
    <w:rsid w:val="008728F7"/>
    <w:rsid w:val="008732A5"/>
    <w:rsid w:val="008B26CF"/>
    <w:rsid w:val="008C30D4"/>
    <w:rsid w:val="008E0E53"/>
    <w:rsid w:val="008F1AEF"/>
    <w:rsid w:val="008F3009"/>
    <w:rsid w:val="008F3F19"/>
    <w:rsid w:val="00905B48"/>
    <w:rsid w:val="00920A3F"/>
    <w:rsid w:val="0093612C"/>
    <w:rsid w:val="00946348"/>
    <w:rsid w:val="009601AD"/>
    <w:rsid w:val="00967EC2"/>
    <w:rsid w:val="00997371"/>
    <w:rsid w:val="009A3690"/>
    <w:rsid w:val="009A65F9"/>
    <w:rsid w:val="009B4518"/>
    <w:rsid w:val="009C0EED"/>
    <w:rsid w:val="009C299E"/>
    <w:rsid w:val="009C31F1"/>
    <w:rsid w:val="009D522C"/>
    <w:rsid w:val="009F6C23"/>
    <w:rsid w:val="00A124DA"/>
    <w:rsid w:val="00A26FCA"/>
    <w:rsid w:val="00A27736"/>
    <w:rsid w:val="00A324D3"/>
    <w:rsid w:val="00A44F84"/>
    <w:rsid w:val="00A8213E"/>
    <w:rsid w:val="00AA32B0"/>
    <w:rsid w:val="00AA4EB4"/>
    <w:rsid w:val="00AC5F3A"/>
    <w:rsid w:val="00AC6312"/>
    <w:rsid w:val="00AD50B4"/>
    <w:rsid w:val="00AF13F8"/>
    <w:rsid w:val="00B22C6F"/>
    <w:rsid w:val="00B232E2"/>
    <w:rsid w:val="00B35B95"/>
    <w:rsid w:val="00B5403C"/>
    <w:rsid w:val="00B6253B"/>
    <w:rsid w:val="00B63773"/>
    <w:rsid w:val="00B85BCD"/>
    <w:rsid w:val="00B917C0"/>
    <w:rsid w:val="00BB000F"/>
    <w:rsid w:val="00BB79E6"/>
    <w:rsid w:val="00BC49A5"/>
    <w:rsid w:val="00BD11C1"/>
    <w:rsid w:val="00BD238B"/>
    <w:rsid w:val="00BE0907"/>
    <w:rsid w:val="00BF28DD"/>
    <w:rsid w:val="00C105FB"/>
    <w:rsid w:val="00C12643"/>
    <w:rsid w:val="00C33BFC"/>
    <w:rsid w:val="00C538DE"/>
    <w:rsid w:val="00C6296B"/>
    <w:rsid w:val="00C77318"/>
    <w:rsid w:val="00C96242"/>
    <w:rsid w:val="00CB36F2"/>
    <w:rsid w:val="00CC6B72"/>
    <w:rsid w:val="00CD15B0"/>
    <w:rsid w:val="00CD42F8"/>
    <w:rsid w:val="00CE44EE"/>
    <w:rsid w:val="00D0096D"/>
    <w:rsid w:val="00D17EEE"/>
    <w:rsid w:val="00D21223"/>
    <w:rsid w:val="00D6697E"/>
    <w:rsid w:val="00D72CDA"/>
    <w:rsid w:val="00D74D9D"/>
    <w:rsid w:val="00D935B9"/>
    <w:rsid w:val="00DA096A"/>
    <w:rsid w:val="00DD1205"/>
    <w:rsid w:val="00DE517B"/>
    <w:rsid w:val="00DF30F2"/>
    <w:rsid w:val="00E02B5A"/>
    <w:rsid w:val="00E15171"/>
    <w:rsid w:val="00E17218"/>
    <w:rsid w:val="00E216F6"/>
    <w:rsid w:val="00E21FA5"/>
    <w:rsid w:val="00E46892"/>
    <w:rsid w:val="00E537CB"/>
    <w:rsid w:val="00E74913"/>
    <w:rsid w:val="00E80EAC"/>
    <w:rsid w:val="00E9334F"/>
    <w:rsid w:val="00E96058"/>
    <w:rsid w:val="00EB220A"/>
    <w:rsid w:val="00EB5617"/>
    <w:rsid w:val="00ED32A9"/>
    <w:rsid w:val="00EE59F7"/>
    <w:rsid w:val="00F03443"/>
    <w:rsid w:val="00F1075E"/>
    <w:rsid w:val="00F119E4"/>
    <w:rsid w:val="00F2463C"/>
    <w:rsid w:val="00F72184"/>
    <w:rsid w:val="00F821D2"/>
    <w:rsid w:val="00F86C79"/>
    <w:rsid w:val="00FC3492"/>
    <w:rsid w:val="00FC6745"/>
    <w:rsid w:val="00FE4958"/>
    <w:rsid w:val="00FE6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2B2E"/>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235AEC"/>
    <w:rPr>
      <w:color w:val="605E5C"/>
      <w:shd w:val="clear" w:color="auto" w:fill="E1DFDD"/>
    </w:rPr>
  </w:style>
  <w:style w:type="paragraph" w:customStyle="1" w:styleId="GovBullets">
    <w:name w:val="Gov Bullets"/>
    <w:basedOn w:val="Normal"/>
    <w:qFormat/>
    <w:rsid w:val="005C051C"/>
    <w:pPr>
      <w:numPr>
        <w:numId w:val="28"/>
      </w:numPr>
      <w:tabs>
        <w:tab w:val="clear" w:pos="2835"/>
      </w:tabs>
      <w:spacing w:before="0" w:after="80" w:line="280" w:lineRule="exact"/>
    </w:pPr>
    <w:rPr>
      <w:rFonts w:ascii="GillSans Light" w:eastAsia="Cambria" w:hAnsi="GillSans Light" w:cs="Times New Roman"/>
      <w:sz w:val="22"/>
      <w:szCs w:val="24"/>
      <w:lang w:val="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locked/>
    <w:rsid w:val="00CB36F2"/>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304579047">
      <w:bodyDiv w:val="1"/>
      <w:marLeft w:val="0"/>
      <w:marRight w:val="0"/>
      <w:marTop w:val="0"/>
      <w:marBottom w:val="0"/>
      <w:divBdr>
        <w:top w:val="none" w:sz="0" w:space="0" w:color="auto"/>
        <w:left w:val="none" w:sz="0" w:space="0" w:color="auto"/>
        <w:bottom w:val="none" w:sz="0" w:space="0" w:color="auto"/>
        <w:right w:val="none" w:sz="0" w:space="0" w:color="auto"/>
      </w:divBdr>
    </w:div>
    <w:div w:id="16387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F807-C5D4-4973-8AC3-9E36E26A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Ferraro, Sandra</cp:lastModifiedBy>
  <cp:revision>2</cp:revision>
  <cp:lastPrinted>2016-07-04T07:18:00Z</cp:lastPrinted>
  <dcterms:created xsi:type="dcterms:W3CDTF">2022-01-14T00:52:00Z</dcterms:created>
  <dcterms:modified xsi:type="dcterms:W3CDTF">2022-01-14T00:52:00Z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