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B06EDE">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4B1E48">
            <w:pPr>
              <w:rPr>
                <w:b/>
                <w:bCs/>
              </w:rPr>
            </w:pPr>
            <w:r w:rsidRPr="00405739">
              <w:rPr>
                <w:b/>
                <w:bCs/>
              </w:rPr>
              <w:t xml:space="preserve">Position Title: </w:t>
            </w:r>
          </w:p>
        </w:tc>
        <w:tc>
          <w:tcPr>
            <w:tcW w:w="7438" w:type="dxa"/>
          </w:tcPr>
          <w:p w14:paraId="707381D6" w14:textId="7A6393D3" w:rsidR="003C0450" w:rsidRPr="00C56BF6" w:rsidRDefault="00BD43CF" w:rsidP="004B1E48">
            <w:pPr>
              <w:rPr>
                <w:rFonts w:ascii="Gill Sans MT" w:hAnsi="Gill Sans MT" w:cs="Gill Sans"/>
              </w:rPr>
            </w:pPr>
            <w:r w:rsidRPr="00BD43CF">
              <w:rPr>
                <w:rStyle w:val="InformationBlockChar"/>
                <w:rFonts w:eastAsiaTheme="minorHAnsi"/>
                <w:b w:val="0"/>
                <w:bCs/>
              </w:rPr>
              <w:t>Senior</w:t>
            </w:r>
            <w:r w:rsidRPr="0008694A">
              <w:rPr>
                <w:rStyle w:val="InformationBlockChar"/>
                <w:rFonts w:eastAsiaTheme="minorHAnsi"/>
              </w:rPr>
              <w:t xml:space="preserve"> </w:t>
            </w:r>
            <w:r w:rsidRPr="0008694A">
              <w:t xml:space="preserve">IT </w:t>
            </w:r>
            <w:r>
              <w:t xml:space="preserve">Officer </w:t>
            </w:r>
            <w:r w:rsidR="00FA26A0">
              <w:t>-</w:t>
            </w:r>
            <w:r>
              <w:t xml:space="preserve"> </w:t>
            </w:r>
            <w:r w:rsidRPr="0008694A">
              <w:t>Communications</w:t>
            </w:r>
          </w:p>
        </w:tc>
      </w:tr>
      <w:tr w:rsidR="003C0450" w:rsidRPr="007708FA" w14:paraId="48FC4FE1" w14:textId="77777777" w:rsidTr="008B7413">
        <w:tc>
          <w:tcPr>
            <w:tcW w:w="2802" w:type="dxa"/>
          </w:tcPr>
          <w:p w14:paraId="78AAC6C3" w14:textId="77777777" w:rsidR="003C0450" w:rsidRPr="00405739" w:rsidRDefault="003C0450" w:rsidP="00405739">
            <w:pPr>
              <w:rPr>
                <w:b/>
                <w:bCs/>
              </w:rPr>
            </w:pPr>
            <w:r w:rsidRPr="00405739">
              <w:rPr>
                <w:b/>
                <w:bCs/>
              </w:rPr>
              <w:t>Position Number:</w:t>
            </w:r>
          </w:p>
        </w:tc>
        <w:tc>
          <w:tcPr>
            <w:tcW w:w="7438" w:type="dxa"/>
          </w:tcPr>
          <w:p w14:paraId="4A981F79" w14:textId="6D4D8217" w:rsidR="003C0450" w:rsidRPr="00C56BF6" w:rsidRDefault="00BD43CF" w:rsidP="004B1E48">
            <w:pPr>
              <w:rPr>
                <w:rFonts w:ascii="Gill Sans MT" w:hAnsi="Gill Sans MT" w:cs="Gill Sans"/>
              </w:rPr>
            </w:pPr>
            <w:r>
              <w:rPr>
                <w:rStyle w:val="InformationBlockChar"/>
                <w:rFonts w:eastAsiaTheme="minorHAnsi"/>
                <w:b w:val="0"/>
                <w:bCs/>
              </w:rPr>
              <w:t xml:space="preserve">Generic </w:t>
            </w:r>
          </w:p>
        </w:tc>
      </w:tr>
      <w:tr w:rsidR="003C0450" w:rsidRPr="007708FA" w14:paraId="164543D1" w14:textId="77777777" w:rsidTr="008B7413">
        <w:trPr>
          <w:trHeight w:val="406"/>
        </w:trPr>
        <w:tc>
          <w:tcPr>
            <w:tcW w:w="2802" w:type="dxa"/>
          </w:tcPr>
          <w:p w14:paraId="12914C4C" w14:textId="745CF857" w:rsidR="003C0450" w:rsidRPr="00405739" w:rsidRDefault="003C0450" w:rsidP="00405739">
            <w:pPr>
              <w:rPr>
                <w:b/>
                <w:bCs/>
              </w:rPr>
            </w:pPr>
            <w:r w:rsidRPr="00405739">
              <w:rPr>
                <w:b/>
                <w:bCs/>
              </w:rPr>
              <w:t xml:space="preserve">Classification: </w:t>
            </w:r>
          </w:p>
        </w:tc>
        <w:tc>
          <w:tcPr>
            <w:tcW w:w="7438" w:type="dxa"/>
          </w:tcPr>
          <w:p w14:paraId="6B28C61D" w14:textId="405CFF61" w:rsidR="003C0450" w:rsidRPr="00C56BF6" w:rsidRDefault="00BD43CF" w:rsidP="004B1E48">
            <w:pPr>
              <w:rPr>
                <w:rFonts w:ascii="Gill Sans MT" w:hAnsi="Gill Sans MT" w:cs="Gill Sans"/>
              </w:rPr>
            </w:pPr>
            <w:r>
              <w:rPr>
                <w:rFonts w:cs="Arial"/>
                <w:iCs/>
                <w:kern w:val="36"/>
                <w:lang w:eastAsia="en-AU"/>
              </w:rPr>
              <w:t>Information and Communication Technology (ICT) Level 2</w:t>
            </w:r>
          </w:p>
        </w:tc>
      </w:tr>
      <w:tr w:rsidR="003C0450" w:rsidRPr="007708FA" w14:paraId="0DF20D89" w14:textId="77777777" w:rsidTr="008B7413">
        <w:tc>
          <w:tcPr>
            <w:tcW w:w="2802" w:type="dxa"/>
          </w:tcPr>
          <w:p w14:paraId="7A47775F" w14:textId="77777777" w:rsidR="003C0450" w:rsidRPr="00C56BF6" w:rsidRDefault="003C0450" w:rsidP="00405739">
            <w:pPr>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75A8CE32" w:rsidR="003C0450" w:rsidRPr="00C56BF6" w:rsidRDefault="00BD43CF" w:rsidP="004B1E48">
                <w:pPr>
                  <w:rPr>
                    <w:rFonts w:ascii="Gill Sans MT" w:hAnsi="Gill Sans MT" w:cs="Gill Sans"/>
                  </w:rPr>
                </w:pPr>
                <w:r>
                  <w:rPr>
                    <w:rFonts w:ascii="Gill Sans MT" w:hAnsi="Gill Sans MT" w:cs="Gill Sans"/>
                  </w:rPr>
                  <w:t>Health and Human Services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405739">
            <w:pPr>
              <w:rPr>
                <w:b/>
                <w:bCs/>
              </w:rPr>
            </w:pPr>
            <w:r w:rsidRPr="00C56BF6">
              <w:rPr>
                <w:b/>
                <w:bCs/>
              </w:rPr>
              <w:t>Group/Section</w:t>
            </w:r>
            <w:r w:rsidR="003C0450" w:rsidRPr="00C56BF6">
              <w:rPr>
                <w:b/>
                <w:bCs/>
              </w:rPr>
              <w:t>:</w:t>
            </w:r>
          </w:p>
        </w:tc>
        <w:tc>
          <w:tcPr>
            <w:tcW w:w="7438" w:type="dxa"/>
          </w:tcPr>
          <w:p w14:paraId="109FFD6E" w14:textId="6B443871" w:rsidR="003C0450" w:rsidRDefault="00BD43CF" w:rsidP="00B06EDE">
            <w:pPr>
              <w:spacing w:after="0"/>
              <w:rPr>
                <w:rStyle w:val="InformationBlockChar"/>
                <w:rFonts w:eastAsiaTheme="minorHAnsi"/>
                <w:b w:val="0"/>
                <w:bCs/>
              </w:rPr>
            </w:pPr>
            <w:r>
              <w:rPr>
                <w:rStyle w:val="InformationBlockChar"/>
                <w:rFonts w:eastAsiaTheme="minorHAnsi"/>
                <w:b w:val="0"/>
                <w:bCs/>
              </w:rPr>
              <w:t>Health ICT – Digital Infrastructure Services</w:t>
            </w:r>
          </w:p>
          <w:p w14:paraId="41DFE068" w14:textId="6C754138" w:rsidR="00B06EDE" w:rsidRPr="00C56BF6" w:rsidRDefault="00BD43CF" w:rsidP="004B1E48">
            <w:pPr>
              <w:rPr>
                <w:rFonts w:ascii="Gill Sans MT" w:hAnsi="Gill Sans MT" w:cs="Gill Sans"/>
              </w:rPr>
            </w:pPr>
            <w:r>
              <w:rPr>
                <w:rFonts w:ascii="Gill Sans MT" w:hAnsi="Gill Sans MT" w:cs="Gill Sans"/>
              </w:rPr>
              <w:t xml:space="preserve">Network and Communications </w:t>
            </w:r>
          </w:p>
        </w:tc>
      </w:tr>
      <w:tr w:rsidR="003C0450" w:rsidRPr="007708FA" w14:paraId="5C7E70BA" w14:textId="77777777" w:rsidTr="008B7413">
        <w:tc>
          <w:tcPr>
            <w:tcW w:w="2802" w:type="dxa"/>
          </w:tcPr>
          <w:p w14:paraId="4FD1A4A5" w14:textId="77777777" w:rsidR="003C0450" w:rsidRPr="00C56BF6" w:rsidRDefault="003C0450" w:rsidP="00405739">
            <w:pPr>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55425B66" w:rsidR="003C0450" w:rsidRPr="00C56BF6" w:rsidRDefault="00BD43CF" w:rsidP="004B1E48">
                <w:r>
                  <w:t>Permanent, Full Time</w:t>
                </w:r>
              </w:p>
            </w:tc>
          </w:sdtContent>
        </w:sdt>
      </w:tr>
      <w:tr w:rsidR="003C0450" w:rsidRPr="007708FA" w14:paraId="2ACA567B" w14:textId="77777777" w:rsidTr="008B7413">
        <w:tc>
          <w:tcPr>
            <w:tcW w:w="2802" w:type="dxa"/>
          </w:tcPr>
          <w:p w14:paraId="79B77FF6" w14:textId="77777777" w:rsidR="003C0450" w:rsidRPr="00C56BF6" w:rsidRDefault="003C0450" w:rsidP="00405739">
            <w:pPr>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75208B55" w:rsidR="003C0450" w:rsidRPr="00C56BF6" w:rsidRDefault="00BD43CF" w:rsidP="004B1E48">
                <w:r>
                  <w:t xml:space="preserve">South, North, </w:t>
                </w:r>
                <w:proofErr w:type="gramStart"/>
                <w:r>
                  <w:t>North West</w:t>
                </w:r>
                <w:proofErr w:type="gramEnd"/>
              </w:p>
            </w:tc>
          </w:sdtContent>
        </w:sdt>
      </w:tr>
      <w:tr w:rsidR="003C0450" w:rsidRPr="007708FA" w14:paraId="2F78A241" w14:textId="77777777" w:rsidTr="008B7413">
        <w:tc>
          <w:tcPr>
            <w:tcW w:w="2802" w:type="dxa"/>
          </w:tcPr>
          <w:p w14:paraId="2F647F8E" w14:textId="77777777" w:rsidR="003C0450" w:rsidRPr="00C56BF6" w:rsidRDefault="003C0450" w:rsidP="00405739">
            <w:pPr>
              <w:rPr>
                <w:b/>
                <w:bCs/>
              </w:rPr>
            </w:pPr>
            <w:r w:rsidRPr="00C56BF6">
              <w:rPr>
                <w:b/>
                <w:bCs/>
              </w:rPr>
              <w:t xml:space="preserve">Reports to: </w:t>
            </w:r>
          </w:p>
        </w:tc>
        <w:tc>
          <w:tcPr>
            <w:tcW w:w="7438" w:type="dxa"/>
          </w:tcPr>
          <w:p w14:paraId="3D7E4061" w14:textId="595450E3" w:rsidR="003C0450" w:rsidRPr="00C56BF6" w:rsidRDefault="008C3887" w:rsidP="004B1E48">
            <w:pPr>
              <w:rPr>
                <w:rFonts w:ascii="Gill Sans MT" w:hAnsi="Gill Sans MT" w:cs="Gill Sans"/>
              </w:rPr>
            </w:pPr>
            <w:r>
              <w:rPr>
                <w:rStyle w:val="InformationBlockChar"/>
                <w:rFonts w:eastAsiaTheme="minorHAnsi"/>
                <w:b w:val="0"/>
                <w:bCs/>
              </w:rPr>
              <w:t>Manager</w:t>
            </w:r>
            <w:r w:rsidR="00BD43CF">
              <w:rPr>
                <w:rStyle w:val="InformationBlockChar"/>
                <w:rFonts w:eastAsiaTheme="minorHAnsi"/>
                <w:b w:val="0"/>
                <w:bCs/>
              </w:rPr>
              <w:t xml:space="preserve"> - Network Communications</w:t>
            </w:r>
          </w:p>
        </w:tc>
      </w:tr>
      <w:tr w:rsidR="004B1E48" w:rsidRPr="007708FA" w14:paraId="67551C13" w14:textId="77777777" w:rsidTr="008B7413">
        <w:tc>
          <w:tcPr>
            <w:tcW w:w="2802" w:type="dxa"/>
          </w:tcPr>
          <w:p w14:paraId="0E494445" w14:textId="1E79F8EB" w:rsidR="004B1E48" w:rsidRPr="00C56BF6" w:rsidRDefault="004B1E48" w:rsidP="00405739">
            <w:pPr>
              <w:rPr>
                <w:b/>
                <w:bCs/>
              </w:rPr>
            </w:pPr>
            <w:r w:rsidRPr="00C56BF6">
              <w:rPr>
                <w:b/>
                <w:bCs/>
              </w:rPr>
              <w:t>Effective Date</w:t>
            </w:r>
            <w:r w:rsidR="00540344" w:rsidRPr="00C56BF6">
              <w:rPr>
                <w:b/>
                <w:bCs/>
              </w:rPr>
              <w:t>:</w:t>
            </w:r>
          </w:p>
        </w:tc>
        <w:tc>
          <w:tcPr>
            <w:tcW w:w="7438" w:type="dxa"/>
          </w:tcPr>
          <w:p w14:paraId="2BCCB554" w14:textId="158893C0" w:rsidR="004B1E48" w:rsidRPr="00C56BF6" w:rsidRDefault="00BD43CF" w:rsidP="004B1E48">
            <w:pPr>
              <w:rPr>
                <w:rFonts w:ascii="Gill Sans MT" w:hAnsi="Gill Sans MT" w:cs="Gill Sans"/>
              </w:rPr>
            </w:pPr>
            <w:r>
              <w:rPr>
                <w:rStyle w:val="InformationBlockChar"/>
                <w:rFonts w:eastAsiaTheme="minorHAnsi"/>
                <w:b w:val="0"/>
                <w:bCs/>
              </w:rPr>
              <w:t>July 2016</w:t>
            </w:r>
          </w:p>
        </w:tc>
      </w:tr>
      <w:tr w:rsidR="00540344" w:rsidRPr="007708FA" w14:paraId="75995D8A" w14:textId="77777777" w:rsidTr="008B7413">
        <w:tc>
          <w:tcPr>
            <w:tcW w:w="2802" w:type="dxa"/>
          </w:tcPr>
          <w:p w14:paraId="3089A42E" w14:textId="5927578B" w:rsidR="00540344" w:rsidRPr="00C56BF6" w:rsidRDefault="00540344" w:rsidP="00405739">
            <w:pPr>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0E9657F0" w:rsidR="00540344" w:rsidRPr="00C56BF6" w:rsidRDefault="00BD43CF" w:rsidP="004B1E48">
                <w:pPr>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405739">
            <w:pPr>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12D09FDA" w:rsidR="00540344" w:rsidRPr="00C56BF6" w:rsidRDefault="00BD43CF" w:rsidP="004B1E48">
                <w:pPr>
                  <w:rPr>
                    <w:rStyle w:val="InformationBlockChar"/>
                    <w:rFonts w:eastAsiaTheme="minorHAnsi"/>
                    <w:b w:val="0"/>
                    <w:bCs/>
                  </w:rPr>
                </w:pPr>
                <w:r>
                  <w:rPr>
                    <w:rStyle w:val="InformationBlockChar"/>
                    <w:rFonts w:eastAsiaTheme="minorHAnsi"/>
                    <w:b w:val="0"/>
                    <w:bCs/>
                  </w:rPr>
                  <w:t>Pre-employment</w:t>
                </w:r>
              </w:p>
            </w:tc>
          </w:sdtContent>
        </w:sdt>
      </w:tr>
      <w:tr w:rsidR="00B06EDE" w14:paraId="434C484B" w14:textId="77777777" w:rsidTr="00B06EDE">
        <w:tc>
          <w:tcPr>
            <w:tcW w:w="2802" w:type="dxa"/>
          </w:tcPr>
          <w:p w14:paraId="2FBC32BB" w14:textId="77777777" w:rsidR="00B06EDE" w:rsidRPr="00B06EDE" w:rsidRDefault="00B06EDE">
            <w:pPr>
              <w:rPr>
                <w:b/>
                <w:bCs/>
              </w:rPr>
            </w:pPr>
            <w:r w:rsidRPr="00B06EDE">
              <w:rPr>
                <w:b/>
                <w:bCs/>
              </w:rPr>
              <w:t>Desirable Requirements:</w:t>
            </w:r>
          </w:p>
        </w:tc>
        <w:tc>
          <w:tcPr>
            <w:tcW w:w="7438" w:type="dxa"/>
          </w:tcPr>
          <w:p w14:paraId="7FB72198" w14:textId="7F6C81B6" w:rsidR="00BD43CF" w:rsidRPr="00845D8F" w:rsidRDefault="00BD43CF" w:rsidP="00C00AB9">
            <w:pPr>
              <w:spacing w:after="120"/>
              <w:ind w:left="567" w:hanging="567"/>
              <w:jc w:val="both"/>
            </w:pPr>
            <w:r w:rsidRPr="00845D8F">
              <w:t xml:space="preserve">Current </w:t>
            </w:r>
            <w:r>
              <w:t>D</w:t>
            </w:r>
            <w:r w:rsidRPr="00845D8F">
              <w:t xml:space="preserve">river’s </w:t>
            </w:r>
            <w:r>
              <w:t>L</w:t>
            </w:r>
            <w:r w:rsidRPr="00845D8F">
              <w:t>icence</w:t>
            </w:r>
          </w:p>
          <w:p w14:paraId="2F90CB51" w14:textId="7A82E2D5" w:rsidR="00BD43CF" w:rsidRPr="00845D8F" w:rsidRDefault="00BD43CF" w:rsidP="00C00AB9">
            <w:pPr>
              <w:spacing w:after="120"/>
              <w:ind w:left="567" w:hanging="567"/>
              <w:jc w:val="both"/>
            </w:pPr>
            <w:r w:rsidRPr="00845D8F">
              <w:t>Tertiary qualifications in computer technology or a related discipline</w:t>
            </w:r>
          </w:p>
          <w:p w14:paraId="61F30679" w14:textId="2B7A6E50" w:rsidR="00B06EDE" w:rsidRPr="00BD43CF" w:rsidRDefault="00BD43CF" w:rsidP="00C00AB9">
            <w:pPr>
              <w:spacing w:after="120"/>
              <w:ind w:left="567" w:hanging="567"/>
              <w:jc w:val="both"/>
            </w:pPr>
            <w:r w:rsidRPr="00845D8F">
              <w:t>Relevant IT industry experience</w:t>
            </w:r>
          </w:p>
        </w:tc>
      </w:tr>
      <w:tr w:rsidR="00B06EDE" w14:paraId="68C8EF1C" w14:textId="77777777" w:rsidTr="00B06EDE">
        <w:tc>
          <w:tcPr>
            <w:tcW w:w="2802" w:type="dxa"/>
          </w:tcPr>
          <w:p w14:paraId="607E3425" w14:textId="77777777" w:rsidR="00B06EDE" w:rsidRPr="00B06EDE" w:rsidRDefault="00B06EDE">
            <w:pPr>
              <w:rPr>
                <w:b/>
                <w:bCs/>
              </w:rPr>
            </w:pPr>
            <w:r w:rsidRPr="00B06EDE">
              <w:rPr>
                <w:b/>
                <w:bCs/>
              </w:rPr>
              <w:t xml:space="preserve">Position Features: </w:t>
            </w:r>
          </w:p>
        </w:tc>
        <w:tc>
          <w:tcPr>
            <w:tcW w:w="7438" w:type="dxa"/>
          </w:tcPr>
          <w:p w14:paraId="12E6C928" w14:textId="2454ED2B" w:rsidR="00BD43CF" w:rsidRPr="00845D8F" w:rsidRDefault="00BD43CF" w:rsidP="00C00AB9">
            <w:pPr>
              <w:spacing w:after="120"/>
              <w:jc w:val="both"/>
            </w:pPr>
            <w:r w:rsidRPr="00845D8F">
              <w:t xml:space="preserve">Some regular out of hours work may be required to meet specific needs or </w:t>
            </w:r>
            <w:proofErr w:type="gramStart"/>
            <w:r w:rsidRPr="00845D8F">
              <w:t>deadlines</w:t>
            </w:r>
            <w:proofErr w:type="gramEnd"/>
          </w:p>
          <w:p w14:paraId="3ABFD20F" w14:textId="619B57FE" w:rsidR="00BD43CF" w:rsidRPr="00845D8F" w:rsidRDefault="00BD43CF" w:rsidP="00C00AB9">
            <w:pPr>
              <w:spacing w:after="120"/>
              <w:jc w:val="both"/>
            </w:pPr>
            <w:r w:rsidRPr="00845D8F">
              <w:t xml:space="preserve">Participation in a </w:t>
            </w:r>
            <w:proofErr w:type="gramStart"/>
            <w:r w:rsidRPr="00845D8F">
              <w:t>rostered on</w:t>
            </w:r>
            <w:proofErr w:type="gramEnd"/>
            <w:r w:rsidRPr="00845D8F">
              <w:t xml:space="preserve"> call team to provide out of core hours support may be required</w:t>
            </w:r>
          </w:p>
          <w:p w14:paraId="64A3538B" w14:textId="1990DB11" w:rsidR="00B06EDE" w:rsidRPr="007024CD" w:rsidRDefault="00BD43CF" w:rsidP="00C00AB9">
            <w:pPr>
              <w:spacing w:after="240"/>
              <w:ind w:left="567" w:hanging="567"/>
              <w:jc w:val="both"/>
            </w:pPr>
            <w:r w:rsidRPr="00845D8F">
              <w:t>Some interstate and intrastate travel may be required</w:t>
            </w:r>
          </w:p>
        </w:tc>
      </w:tr>
    </w:tbl>
    <w:p w14:paraId="735094DF" w14:textId="7F749683" w:rsidR="008B7413" w:rsidRDefault="00E91AB6" w:rsidP="00512B29">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36BF0E56" w14:textId="77777777" w:rsidR="00B06EDE" w:rsidRPr="00B06EDE" w:rsidRDefault="00B06EDE" w:rsidP="00B06EDE"/>
    <w:p w14:paraId="643BDE1C" w14:textId="5A95BEB3" w:rsidR="003C0450" w:rsidRDefault="003C0450" w:rsidP="007024CD">
      <w:pPr>
        <w:pStyle w:val="Heading3"/>
        <w:spacing w:line="280" w:lineRule="atLeast"/>
      </w:pPr>
      <w:r w:rsidRPr="00405739">
        <w:lastRenderedPageBreak/>
        <w:t xml:space="preserve">Primary Purpose: </w:t>
      </w:r>
    </w:p>
    <w:p w14:paraId="33EC3B33" w14:textId="764ADAB6" w:rsidR="00BD43CF" w:rsidRPr="00845D8F" w:rsidRDefault="00BD43CF" w:rsidP="00C00AB9">
      <w:pPr>
        <w:spacing w:line="280" w:lineRule="atLeast"/>
        <w:jc w:val="both"/>
      </w:pPr>
      <w:r w:rsidRPr="00845D8F">
        <w:t xml:space="preserve">In partnership with Department of Health </w:t>
      </w:r>
      <w:r>
        <w:t>(DoH</w:t>
      </w:r>
      <w:r w:rsidRPr="00845D8F">
        <w:t xml:space="preserve">) stakeholders, and under the direction of the </w:t>
      </w:r>
      <w:r w:rsidR="008C3887">
        <w:t>Manager</w:t>
      </w:r>
      <w:r>
        <w:t xml:space="preserve"> - Network</w:t>
      </w:r>
      <w:r w:rsidRPr="00845D8F">
        <w:t xml:space="preserve"> Communications, the Senior IT Officer - Communications will:</w:t>
      </w:r>
    </w:p>
    <w:p w14:paraId="08A7DFE2" w14:textId="5D8C729D" w:rsidR="00BD43CF" w:rsidRPr="00845D8F" w:rsidRDefault="00BD43CF" w:rsidP="00C00AB9">
      <w:pPr>
        <w:pStyle w:val="ListParagraph"/>
        <w:numPr>
          <w:ilvl w:val="0"/>
          <w:numId w:val="24"/>
        </w:numPr>
        <w:tabs>
          <w:tab w:val="clear" w:pos="567"/>
          <w:tab w:val="clear" w:pos="1134"/>
          <w:tab w:val="clear" w:pos="1701"/>
        </w:tabs>
        <w:spacing w:line="280" w:lineRule="atLeast"/>
        <w:ind w:left="567" w:hanging="567"/>
        <w:jc w:val="both"/>
      </w:pPr>
      <w:r>
        <w:t>Perform</w:t>
      </w:r>
      <w:r w:rsidRPr="00845D8F">
        <w:t xml:space="preserve"> ICT infrastructure management, service delivery an</w:t>
      </w:r>
      <w:r>
        <w:t>d support of the Agency’s state</w:t>
      </w:r>
      <w:r w:rsidRPr="00845D8F">
        <w:t>wide</w:t>
      </w:r>
      <w:r>
        <w:t xml:space="preserve"> Health</w:t>
      </w:r>
      <w:r w:rsidRPr="00845D8F">
        <w:t xml:space="preserve"> ICT network infrastructure assets, using contemporary </w:t>
      </w:r>
      <w:r>
        <w:t>IT Infrastructure Library (</w:t>
      </w:r>
      <w:r w:rsidRPr="00845D8F">
        <w:t>ITIL</w:t>
      </w:r>
      <w:r>
        <w:t>)</w:t>
      </w:r>
      <w:r w:rsidRPr="00845D8F">
        <w:t xml:space="preserve"> best practices to ensure continuity of service delivery.</w:t>
      </w:r>
    </w:p>
    <w:p w14:paraId="3DC1C17A" w14:textId="40B6BEBC" w:rsidR="00B06EDE" w:rsidRPr="00B06EDE" w:rsidRDefault="00BD43CF" w:rsidP="00C00AB9">
      <w:pPr>
        <w:pStyle w:val="ListParagraph"/>
        <w:numPr>
          <w:ilvl w:val="0"/>
          <w:numId w:val="23"/>
        </w:numPr>
        <w:tabs>
          <w:tab w:val="clear" w:pos="567"/>
          <w:tab w:val="clear" w:pos="1134"/>
          <w:tab w:val="clear" w:pos="1701"/>
        </w:tabs>
        <w:spacing w:after="240" w:line="280" w:lineRule="atLeast"/>
        <w:ind w:left="567" w:hanging="567"/>
        <w:jc w:val="both"/>
      </w:pPr>
      <w:r w:rsidRPr="00845D8F">
        <w:t xml:space="preserve">Undertake research, analysis and technical activities required to design, develop, commission, maintain, </w:t>
      </w:r>
      <w:proofErr w:type="gramStart"/>
      <w:r w:rsidRPr="00845D8F">
        <w:t>administer</w:t>
      </w:r>
      <w:proofErr w:type="gramEnd"/>
      <w:r w:rsidRPr="00845D8F">
        <w:t xml:space="preserve"> and support both in-house and externally provided IT network and communication services.</w:t>
      </w:r>
    </w:p>
    <w:p w14:paraId="005DD4B6" w14:textId="10DDFB31" w:rsidR="00E91AB6" w:rsidRPr="00405739" w:rsidRDefault="00E91AB6" w:rsidP="007024CD">
      <w:pPr>
        <w:pStyle w:val="Heading3"/>
        <w:spacing w:line="280" w:lineRule="atLeast"/>
      </w:pPr>
      <w:r w:rsidRPr="00405739">
        <w:t>Duties:</w:t>
      </w:r>
    </w:p>
    <w:p w14:paraId="52D5A49A" w14:textId="1BA6590D" w:rsidR="00BD43CF" w:rsidRPr="00845D8F" w:rsidRDefault="00BD43CF" w:rsidP="00C00AB9">
      <w:pPr>
        <w:pStyle w:val="ListNumbered"/>
        <w:spacing w:line="280" w:lineRule="atLeast"/>
        <w:jc w:val="both"/>
      </w:pPr>
      <w:r w:rsidRPr="00845D8F">
        <w:t xml:space="preserve">Deliver the day-to-day </w:t>
      </w:r>
      <w:r>
        <w:t xml:space="preserve">Health </w:t>
      </w:r>
      <w:r w:rsidRPr="00845D8F">
        <w:t xml:space="preserve">ICT operations </w:t>
      </w:r>
      <w:r w:rsidRPr="00755A9D">
        <w:t>management</w:t>
      </w:r>
      <w:r w:rsidRPr="00845D8F">
        <w:t xml:space="preserve"> of the Agency’s ICT network infrastructure using dedicated technical supervision skills within a framework of documented standards, </w:t>
      </w:r>
      <w:proofErr w:type="gramStart"/>
      <w:r w:rsidRPr="00845D8F">
        <w:t>procedures</w:t>
      </w:r>
      <w:proofErr w:type="gramEnd"/>
      <w:r w:rsidRPr="00845D8F">
        <w:t xml:space="preserve"> and work </w:t>
      </w:r>
      <w:r>
        <w:t>instructions.</w:t>
      </w:r>
    </w:p>
    <w:p w14:paraId="691876B1" w14:textId="26F8C8D2" w:rsidR="00BD43CF" w:rsidRPr="00845D8F" w:rsidRDefault="00BD43CF" w:rsidP="00C00AB9">
      <w:pPr>
        <w:pStyle w:val="ListNumbered"/>
        <w:spacing w:line="280" w:lineRule="atLeast"/>
        <w:jc w:val="both"/>
      </w:pPr>
      <w:r>
        <w:t>R</w:t>
      </w:r>
      <w:r w:rsidRPr="00845D8F">
        <w:t>esolve complex incidents and problems</w:t>
      </w:r>
      <w:r>
        <w:t>, p</w:t>
      </w:r>
      <w:r w:rsidRPr="00845D8F">
        <w:t xml:space="preserve">roduce technical solutions, expert reports and make recommendations where there are identifiable deficiencies in the delivery of quality, efficient and effective IT services to </w:t>
      </w:r>
      <w:r>
        <w:t>the DoH.</w:t>
      </w:r>
    </w:p>
    <w:p w14:paraId="6A8E60D4" w14:textId="77777777" w:rsidR="00BD43CF" w:rsidRPr="00845D8F" w:rsidRDefault="00BD43CF" w:rsidP="00C00AB9">
      <w:pPr>
        <w:pStyle w:val="ListNumbered"/>
        <w:spacing w:line="280" w:lineRule="atLeast"/>
        <w:jc w:val="both"/>
      </w:pPr>
      <w:r w:rsidRPr="00845D8F">
        <w:t>Provide specialised technical level support for the provisioning activities of design, planning and capacity management including configuration testi</w:t>
      </w:r>
      <w:r>
        <w:t>ng and associated documentation.</w:t>
      </w:r>
    </w:p>
    <w:p w14:paraId="7325A0DF" w14:textId="2DA1B2C3" w:rsidR="00BD43CF" w:rsidRPr="00845D8F" w:rsidRDefault="00BD43CF" w:rsidP="00C00AB9">
      <w:pPr>
        <w:pStyle w:val="ListNumbered"/>
        <w:spacing w:line="280" w:lineRule="atLeast"/>
        <w:jc w:val="both"/>
      </w:pPr>
      <w:r w:rsidRPr="00845D8F">
        <w:t>Undertake</w:t>
      </w:r>
      <w:r>
        <w:t xml:space="preserve"> Health</w:t>
      </w:r>
      <w:r w:rsidRPr="00845D8F">
        <w:t xml:space="preserve"> ICT network deployment tasks and projects within an overall ICT programme of work using structured project management methodologies</w:t>
      </w:r>
      <w:r>
        <w:t>.</w:t>
      </w:r>
    </w:p>
    <w:p w14:paraId="05996E85" w14:textId="77777777" w:rsidR="00BD43CF" w:rsidRPr="00845D8F" w:rsidRDefault="00BD43CF" w:rsidP="00C00AB9">
      <w:pPr>
        <w:pStyle w:val="ListNumbered"/>
        <w:spacing w:line="280" w:lineRule="atLeast"/>
        <w:jc w:val="both"/>
      </w:pPr>
      <w:r w:rsidRPr="00845D8F">
        <w:t>Contribute to the development and maintenance of support processes, procedures and policies including associated documentation.</w:t>
      </w:r>
    </w:p>
    <w:p w14:paraId="6A31A02F" w14:textId="77777777" w:rsidR="00BD43CF" w:rsidRPr="00845D8F" w:rsidRDefault="00BD43CF" w:rsidP="00C00AB9">
      <w:pPr>
        <w:pStyle w:val="ListNumbered"/>
        <w:spacing w:line="280" w:lineRule="atLeast"/>
        <w:jc w:val="both"/>
      </w:pPr>
      <w:r w:rsidRPr="00845D8F">
        <w:t xml:space="preserve">Undertake investigations and research related to network administration and support, security, </w:t>
      </w:r>
      <w:proofErr w:type="gramStart"/>
      <w:r w:rsidRPr="00845D8F">
        <w:t>integration</w:t>
      </w:r>
      <w:proofErr w:type="gramEnd"/>
      <w:r w:rsidRPr="00845D8F">
        <w:t xml:space="preserve"> and overall lifecycle management.</w:t>
      </w:r>
    </w:p>
    <w:p w14:paraId="0CDB09F0" w14:textId="616CD0F7" w:rsidR="00BD43CF" w:rsidRPr="00845D8F" w:rsidRDefault="00BD43CF" w:rsidP="00C00AB9">
      <w:pPr>
        <w:pStyle w:val="ListNumbered"/>
        <w:spacing w:line="280" w:lineRule="atLeast"/>
        <w:jc w:val="both"/>
      </w:pPr>
      <w:r w:rsidRPr="00845D8F">
        <w:t xml:space="preserve">Manage external service providers to ensure services being delivered to </w:t>
      </w:r>
      <w:r>
        <w:t>the DoH</w:t>
      </w:r>
      <w:r w:rsidRPr="00845D8F">
        <w:t xml:space="preserve"> comply with service definitions and levels.</w:t>
      </w:r>
    </w:p>
    <w:p w14:paraId="36CE417A" w14:textId="15639B5E" w:rsidR="00B06EDE" w:rsidRDefault="00BD43CF" w:rsidP="00C00AB9">
      <w:pPr>
        <w:pStyle w:val="ListNumbered"/>
        <w:spacing w:line="280" w:lineRule="atLeast"/>
        <w:jc w:val="both"/>
      </w:pPr>
      <w:r w:rsidRPr="00845D8F">
        <w:t xml:space="preserve">Provide leadership and guidance </w:t>
      </w:r>
      <w:r>
        <w:t>for</w:t>
      </w:r>
      <w:r w:rsidRPr="00845D8F">
        <w:t xml:space="preserve"> less experienced employe</w:t>
      </w:r>
      <w:r>
        <w:t>es in networking infrastructure.</w:t>
      </w:r>
    </w:p>
    <w:p w14:paraId="7F19EAAF" w14:textId="77777777" w:rsidR="00433F88" w:rsidRPr="000A6E60" w:rsidRDefault="00433F88" w:rsidP="00C00AB9">
      <w:pPr>
        <w:pStyle w:val="ListNumbered"/>
        <w:jc w:val="both"/>
      </w:pPr>
      <w:bookmarkStart w:id="0" w:name="Duties"/>
      <w:r w:rsidRPr="000A6E6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204D2AB2" w14:textId="77777777" w:rsidR="00433F88" w:rsidRPr="000A6E60" w:rsidRDefault="00433F88" w:rsidP="00C00AB9">
      <w:pPr>
        <w:pStyle w:val="ListNumbered"/>
        <w:jc w:val="both"/>
      </w:pPr>
      <w:r w:rsidRPr="000A6E60">
        <w:t>The incumbent can expect to be allocated duties, not specifically mentioned in this document, that are within the capacity, qualifications and experience normally expected from persons occupying positions at this classification level.</w:t>
      </w:r>
    </w:p>
    <w:bookmarkEnd w:id="0"/>
    <w:p w14:paraId="4476CABD" w14:textId="29D1CDE7" w:rsidR="00B06EDE" w:rsidRDefault="00AF0C6B" w:rsidP="007024CD">
      <w:pPr>
        <w:pStyle w:val="Heading3"/>
        <w:spacing w:line="280" w:lineRule="atLeast"/>
      </w:pPr>
      <w:r>
        <w:t>Key Accountabilities and Responsibilities:</w:t>
      </w:r>
    </w:p>
    <w:p w14:paraId="3165FE9D" w14:textId="22FBC604" w:rsidR="00BD43CF" w:rsidRDefault="00BD43CF" w:rsidP="00C00AB9">
      <w:pPr>
        <w:spacing w:line="280" w:lineRule="atLeast"/>
        <w:jc w:val="both"/>
      </w:pPr>
      <w:r w:rsidRPr="00845D8F">
        <w:t>The Senior IT Officer</w:t>
      </w:r>
      <w:r>
        <w:t xml:space="preserve"> - Communications</w:t>
      </w:r>
      <w:r w:rsidRPr="00845D8F">
        <w:t xml:space="preserve"> works with the broad direction of the </w:t>
      </w:r>
      <w:r w:rsidR="008C3887">
        <w:t xml:space="preserve">Manager </w:t>
      </w:r>
      <w:r>
        <w:t xml:space="preserve">- Network </w:t>
      </w:r>
      <w:r w:rsidRPr="00845D8F">
        <w:t>Communications and is expected to</w:t>
      </w:r>
      <w:r>
        <w:t xml:space="preserve">: </w:t>
      </w:r>
    </w:p>
    <w:p w14:paraId="65D23C03" w14:textId="35E85CFB" w:rsidR="00BD43CF" w:rsidRPr="00845D8F" w:rsidRDefault="00BD43CF" w:rsidP="00C00AB9">
      <w:pPr>
        <w:pStyle w:val="ListParagraph"/>
        <w:spacing w:line="280" w:lineRule="atLeast"/>
        <w:jc w:val="both"/>
      </w:pPr>
      <w:r>
        <w:t>F</w:t>
      </w:r>
      <w:r w:rsidRPr="00845D8F">
        <w:t xml:space="preserve">unction with autonomy to provide specialised knowledge and skills within Business as Usual (BAU) and project environments consistent with </w:t>
      </w:r>
      <w:r>
        <w:t xml:space="preserve">Health </w:t>
      </w:r>
      <w:r w:rsidRPr="00845D8F">
        <w:t xml:space="preserve">ICT </w:t>
      </w:r>
      <w:r>
        <w:t xml:space="preserve">Digital </w:t>
      </w:r>
      <w:r w:rsidRPr="00845D8F">
        <w:t>Infrastructure</w:t>
      </w:r>
      <w:r>
        <w:t xml:space="preserve"> - Communication</w:t>
      </w:r>
      <w:r w:rsidRPr="00845D8F">
        <w:t>s tactical and operational frameworks</w:t>
      </w:r>
      <w:r>
        <w:t>.</w:t>
      </w:r>
    </w:p>
    <w:p w14:paraId="4D5522D2" w14:textId="515A038A" w:rsidR="00BD43CF" w:rsidRDefault="00BD43CF" w:rsidP="00C00AB9">
      <w:pPr>
        <w:pStyle w:val="ListParagraph"/>
        <w:spacing w:line="280" w:lineRule="atLeast"/>
        <w:jc w:val="both"/>
      </w:pPr>
      <w:r w:rsidRPr="00845D8F">
        <w:lastRenderedPageBreak/>
        <w:t xml:space="preserve">Provide specialised expert consultancy and high-level recommendations to </w:t>
      </w:r>
      <w:r>
        <w:t>DoH</w:t>
      </w:r>
      <w:r w:rsidRPr="00845D8F">
        <w:t xml:space="preserve"> senior management on complex operational and program subject matter, delivered in clear and succinct language</w:t>
      </w:r>
      <w:r>
        <w:t>.</w:t>
      </w:r>
    </w:p>
    <w:p w14:paraId="5625A310" w14:textId="407E38F0" w:rsidR="00BD43CF" w:rsidRPr="00845D8F" w:rsidRDefault="00BD43CF" w:rsidP="00C00AB9">
      <w:pPr>
        <w:pStyle w:val="ListParagraph"/>
        <w:spacing w:line="280" w:lineRule="atLeast"/>
        <w:jc w:val="both"/>
      </w:pPr>
      <w:r w:rsidRPr="00845D8F">
        <w:t>Regularly review</w:t>
      </w:r>
      <w:r>
        <w:t xml:space="preserve"> the Health </w:t>
      </w:r>
      <w:r w:rsidRPr="00FE55F5">
        <w:t>ICT Infrastructure - Communications</w:t>
      </w:r>
      <w:r w:rsidRPr="00845D8F">
        <w:t xml:space="preserve"> </w:t>
      </w:r>
      <w:r>
        <w:t>unit’s</w:t>
      </w:r>
      <w:r w:rsidRPr="00845D8F">
        <w:t xml:space="preserve"> standards, processes, </w:t>
      </w:r>
      <w:proofErr w:type="gramStart"/>
      <w:r w:rsidRPr="00845D8F">
        <w:t>procedures</w:t>
      </w:r>
      <w:proofErr w:type="gramEnd"/>
      <w:r w:rsidRPr="00845D8F">
        <w:t xml:space="preserve"> and work’s instructions</w:t>
      </w:r>
      <w:r>
        <w:t>,</w:t>
      </w:r>
      <w:r w:rsidRPr="00845D8F">
        <w:t xml:space="preserve"> applying quality management principles and the </w:t>
      </w:r>
      <w:r>
        <w:t xml:space="preserve">ITIL framework, and </w:t>
      </w:r>
      <w:r w:rsidRPr="00845D8F">
        <w:t>recommend solutions and changes</w:t>
      </w:r>
      <w:r>
        <w:t>.</w:t>
      </w:r>
    </w:p>
    <w:p w14:paraId="7CED6F4E" w14:textId="5DF7BE67" w:rsidR="00BD43CF" w:rsidRPr="00845D8F" w:rsidRDefault="00BD43CF" w:rsidP="00C00AB9">
      <w:pPr>
        <w:pStyle w:val="ListParagraph"/>
        <w:spacing w:line="280" w:lineRule="atLeast"/>
        <w:jc w:val="both"/>
      </w:pPr>
      <w:r w:rsidRPr="00845D8F">
        <w:t xml:space="preserve">Participate in fostering a knowledge sharing, skill development and peer mentoring culture within in the </w:t>
      </w:r>
      <w:r>
        <w:t xml:space="preserve">Health </w:t>
      </w:r>
      <w:r w:rsidRPr="00FE55F5">
        <w:t>ICT Infrastructure - Communications</w:t>
      </w:r>
      <w:r w:rsidRPr="00845D8F">
        <w:t xml:space="preserve"> team through technical guidance and instruction.</w:t>
      </w:r>
    </w:p>
    <w:p w14:paraId="0739D20C" w14:textId="71D5C331" w:rsidR="00B06EDE" w:rsidRDefault="00BD43CF" w:rsidP="00C00AB9">
      <w:pPr>
        <w:pStyle w:val="ListParagraph"/>
        <w:spacing w:line="280" w:lineRule="atLeast"/>
        <w:jc w:val="both"/>
      </w:pPr>
      <w:r w:rsidRPr="00845D8F">
        <w:t xml:space="preserve">As a member of the </w:t>
      </w:r>
      <w:r>
        <w:t xml:space="preserve">Health </w:t>
      </w:r>
      <w:r w:rsidRPr="00845D8F">
        <w:t xml:space="preserve">ICT Services branch, the occupant of this role is expected to adhere to and promote </w:t>
      </w:r>
      <w:r>
        <w:t>DoH</w:t>
      </w:r>
      <w:r w:rsidRPr="00845D8F">
        <w:t xml:space="preserve"> and State Service values, policies and practices and provide support to other team members to encourage a collaborative and cohesive approach to contributing to Agency goals.</w:t>
      </w:r>
    </w:p>
    <w:p w14:paraId="2A628E1E" w14:textId="77777777" w:rsidR="005F587F" w:rsidRPr="000A6E60" w:rsidRDefault="005F587F" w:rsidP="00C00AB9">
      <w:pPr>
        <w:pStyle w:val="ListParagraph"/>
        <w:jc w:val="both"/>
        <w:rPr>
          <w:rFonts w:cs="Calibri"/>
        </w:rPr>
      </w:pPr>
      <w:bookmarkStart w:id="1" w:name="_Hlk139542819"/>
      <w:r w:rsidRPr="000A6E60">
        <w:t xml:space="preserve">Champion a child safe culture that upholds the </w:t>
      </w:r>
      <w:r w:rsidRPr="000A6E60">
        <w:rPr>
          <w:i/>
          <w:iCs/>
        </w:rPr>
        <w:t>National Principles for Child Safe Organisations</w:t>
      </w:r>
      <w:r w:rsidRPr="000A6E60">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21F2DF28" w14:textId="77777777" w:rsidR="005F587F" w:rsidRPr="000A6E60" w:rsidRDefault="005F587F" w:rsidP="00C00AB9">
      <w:pPr>
        <w:pStyle w:val="ListParagraph"/>
        <w:jc w:val="both"/>
      </w:pPr>
      <w:r w:rsidRPr="000A6E60">
        <w:t xml:space="preserve">Where applicable, exercise delegations in accordance with a range of Acts, Regulations, Awards, administrative </w:t>
      </w:r>
      <w:proofErr w:type="gramStart"/>
      <w:r w:rsidRPr="000A6E60">
        <w:t>authorities</w:t>
      </w:r>
      <w:proofErr w:type="gramEnd"/>
      <w:r w:rsidRPr="000A6E60">
        <w:t xml:space="preserve"> and functional arrangements as mandated by Statutory office holders including the Secretary and Head of State Service. The relevant Unit Manager can provide details to the occupant of delegations applicable to this position. </w:t>
      </w:r>
    </w:p>
    <w:p w14:paraId="7D67B53A" w14:textId="77777777" w:rsidR="005F587F" w:rsidRPr="000A6E60" w:rsidRDefault="005F587F" w:rsidP="00C00AB9">
      <w:pPr>
        <w:pStyle w:val="ListParagraph"/>
        <w:jc w:val="both"/>
      </w:pPr>
      <w:proofErr w:type="gramStart"/>
      <w:r w:rsidRPr="000A6E60">
        <w:t>Comply at all times</w:t>
      </w:r>
      <w:proofErr w:type="gramEnd"/>
      <w:r w:rsidRPr="000A6E60">
        <w:t xml:space="preserve"> with policy and protocol requirements, including those relating to mandatory education, training and assessment.</w:t>
      </w:r>
    </w:p>
    <w:bookmarkEnd w:id="1"/>
    <w:p w14:paraId="1CA83B61" w14:textId="3F849561" w:rsidR="00E91AB6" w:rsidRDefault="00AF0C6B" w:rsidP="007024CD">
      <w:pPr>
        <w:pStyle w:val="Heading3"/>
        <w:spacing w:line="280" w:lineRule="atLeast"/>
      </w:pPr>
      <w:r>
        <w:t>Pre-employment Conditions</w:t>
      </w:r>
      <w:r w:rsidR="00E91AB6">
        <w:t>:</w:t>
      </w:r>
    </w:p>
    <w:p w14:paraId="546871E2" w14:textId="76ACAA24" w:rsidR="00996960" w:rsidRPr="00996960" w:rsidRDefault="00B97D5F" w:rsidP="00C00AB9">
      <w:pPr>
        <w:spacing w:line="280" w:lineRule="atLeast"/>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018A32E9" w14:textId="77777777" w:rsidR="00E91AB6" w:rsidRDefault="00E91AB6" w:rsidP="00C00AB9">
      <w:pPr>
        <w:spacing w:line="280" w:lineRule="atLeast"/>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C00AB9">
      <w:pPr>
        <w:pStyle w:val="ListNumbered"/>
        <w:numPr>
          <w:ilvl w:val="0"/>
          <w:numId w:val="16"/>
        </w:numPr>
        <w:spacing w:line="280" w:lineRule="atLeast"/>
        <w:jc w:val="both"/>
      </w:pPr>
      <w:r>
        <w:t>Conviction checks in the following areas:</w:t>
      </w:r>
    </w:p>
    <w:p w14:paraId="147CDE9F" w14:textId="77777777" w:rsidR="00E91AB6" w:rsidRDefault="00E91AB6" w:rsidP="00C00AB9">
      <w:pPr>
        <w:pStyle w:val="ListNumbered"/>
        <w:numPr>
          <w:ilvl w:val="1"/>
          <w:numId w:val="13"/>
        </w:numPr>
        <w:spacing w:line="280" w:lineRule="atLeast"/>
        <w:jc w:val="both"/>
      </w:pPr>
      <w:r>
        <w:t>crimes of violence</w:t>
      </w:r>
    </w:p>
    <w:p w14:paraId="15754481" w14:textId="77777777" w:rsidR="00E91AB6" w:rsidRDefault="00E91AB6" w:rsidP="00C00AB9">
      <w:pPr>
        <w:pStyle w:val="ListNumbered"/>
        <w:numPr>
          <w:ilvl w:val="1"/>
          <w:numId w:val="13"/>
        </w:numPr>
        <w:spacing w:line="280" w:lineRule="atLeast"/>
        <w:jc w:val="both"/>
      </w:pPr>
      <w:r>
        <w:t>sex related offences</w:t>
      </w:r>
    </w:p>
    <w:p w14:paraId="4ED1D6AD" w14:textId="77777777" w:rsidR="00E91AB6" w:rsidRDefault="00E91AB6" w:rsidP="00C00AB9">
      <w:pPr>
        <w:pStyle w:val="ListNumbered"/>
        <w:numPr>
          <w:ilvl w:val="1"/>
          <w:numId w:val="13"/>
        </w:numPr>
        <w:spacing w:line="280" w:lineRule="atLeast"/>
        <w:jc w:val="both"/>
      </w:pPr>
      <w:r>
        <w:t>serious drug offences</w:t>
      </w:r>
    </w:p>
    <w:p w14:paraId="2F95386B" w14:textId="4EFFE981" w:rsidR="00405739" w:rsidRDefault="00E91AB6" w:rsidP="00C00AB9">
      <w:pPr>
        <w:pStyle w:val="ListNumbered"/>
        <w:numPr>
          <w:ilvl w:val="1"/>
          <w:numId w:val="13"/>
        </w:numPr>
        <w:spacing w:line="280" w:lineRule="atLeast"/>
        <w:jc w:val="both"/>
      </w:pPr>
      <w:r>
        <w:t xml:space="preserve">crimes involving </w:t>
      </w:r>
      <w:proofErr w:type="gramStart"/>
      <w:r>
        <w:t>dishonesty</w:t>
      </w:r>
      <w:proofErr w:type="gramEnd"/>
    </w:p>
    <w:p w14:paraId="526590A3" w14:textId="77777777" w:rsidR="00E91AB6" w:rsidRDefault="00E91AB6" w:rsidP="00C00AB9">
      <w:pPr>
        <w:pStyle w:val="ListNumbered"/>
        <w:spacing w:line="280" w:lineRule="atLeast"/>
        <w:jc w:val="both"/>
      </w:pPr>
      <w:r>
        <w:t>Identification check</w:t>
      </w:r>
    </w:p>
    <w:p w14:paraId="301DC513" w14:textId="641F33A3" w:rsidR="00E91AB6" w:rsidRDefault="00E91AB6" w:rsidP="00C00AB9">
      <w:pPr>
        <w:pStyle w:val="ListNumbered"/>
        <w:spacing w:line="280" w:lineRule="atLeast"/>
        <w:jc w:val="both"/>
      </w:pPr>
      <w:r>
        <w:t>Disciplinary action in previous employment check.</w:t>
      </w:r>
    </w:p>
    <w:p w14:paraId="011E3DAD" w14:textId="77777777" w:rsidR="00E91AB6" w:rsidRDefault="00E91AB6" w:rsidP="007024CD">
      <w:pPr>
        <w:pStyle w:val="Heading3"/>
        <w:spacing w:line="280" w:lineRule="atLeast"/>
      </w:pPr>
      <w:r>
        <w:t>Selection Criteria:</w:t>
      </w:r>
    </w:p>
    <w:p w14:paraId="4224B6FC" w14:textId="77777777" w:rsidR="00BD43CF" w:rsidRPr="00BD43CF" w:rsidRDefault="00BD43CF" w:rsidP="00C00AB9">
      <w:pPr>
        <w:pStyle w:val="ListNumbered"/>
        <w:numPr>
          <w:ilvl w:val="0"/>
          <w:numId w:val="15"/>
        </w:numPr>
        <w:tabs>
          <w:tab w:val="num" w:pos="567"/>
        </w:tabs>
        <w:spacing w:line="280" w:lineRule="atLeast"/>
        <w:jc w:val="both"/>
        <w:rPr>
          <w:rFonts w:cs="Tahoma"/>
        </w:rPr>
      </w:pPr>
      <w:r w:rsidRPr="00BD43CF">
        <w:rPr>
          <w:rFonts w:cs="Tahoma"/>
        </w:rPr>
        <w:t>High-level conceptual and analytical skills to effectively identify, define and develop practical ICT networking solutions to support the existing, emerging healthcare advances and corporate business environments including providing continuous improvement in the service delivery of complex activities.</w:t>
      </w:r>
    </w:p>
    <w:p w14:paraId="158CCC8C" w14:textId="77777777" w:rsidR="00BD43CF" w:rsidRPr="00BD43CF" w:rsidRDefault="00BD43CF" w:rsidP="00C00AB9">
      <w:pPr>
        <w:pStyle w:val="ListNumbered"/>
        <w:numPr>
          <w:ilvl w:val="0"/>
          <w:numId w:val="15"/>
        </w:numPr>
        <w:tabs>
          <w:tab w:val="num" w:pos="567"/>
        </w:tabs>
        <w:spacing w:line="280" w:lineRule="atLeast"/>
        <w:jc w:val="both"/>
        <w:rPr>
          <w:rFonts w:cs="Tahoma"/>
        </w:rPr>
      </w:pPr>
      <w:r w:rsidRPr="00BD43CF">
        <w:rPr>
          <w:rFonts w:cs="Tahoma"/>
        </w:rPr>
        <w:t xml:space="preserve">Demonstrated experience, high level knowledge and administration skills in networking, communications and supporting infrastructure within an enterprise, including defining scope, deliverables and assessing performance compliance for external service providers. </w:t>
      </w:r>
    </w:p>
    <w:p w14:paraId="558FD905" w14:textId="77777777" w:rsidR="00BD43CF" w:rsidRPr="00BD43CF" w:rsidRDefault="00BD43CF" w:rsidP="00C00AB9">
      <w:pPr>
        <w:pStyle w:val="ListNumbered"/>
        <w:numPr>
          <w:ilvl w:val="0"/>
          <w:numId w:val="15"/>
        </w:numPr>
        <w:tabs>
          <w:tab w:val="num" w:pos="567"/>
        </w:tabs>
        <w:spacing w:line="280" w:lineRule="atLeast"/>
        <w:jc w:val="both"/>
        <w:rPr>
          <w:rFonts w:cs="Tahoma"/>
        </w:rPr>
      </w:pPr>
      <w:r w:rsidRPr="00BD43CF">
        <w:rPr>
          <w:rFonts w:cs="Tahoma"/>
        </w:rPr>
        <w:lastRenderedPageBreak/>
        <w:t>Well-developed project management skills together with demonstrated experience in the planning, organisation, scheduling and delivering quality work within established and conflicting timeframes.</w:t>
      </w:r>
    </w:p>
    <w:p w14:paraId="0A857D92" w14:textId="77777777" w:rsidR="00BD43CF" w:rsidRPr="00BD43CF" w:rsidRDefault="00BD43CF" w:rsidP="00C00AB9">
      <w:pPr>
        <w:pStyle w:val="ListNumbered"/>
        <w:numPr>
          <w:ilvl w:val="0"/>
          <w:numId w:val="15"/>
        </w:numPr>
        <w:tabs>
          <w:tab w:val="num" w:pos="567"/>
        </w:tabs>
        <w:jc w:val="both"/>
        <w:rPr>
          <w:rFonts w:cs="Tahoma"/>
        </w:rPr>
      </w:pPr>
      <w:r w:rsidRPr="00BD43CF">
        <w:rPr>
          <w:rFonts w:cs="Tahoma"/>
        </w:rPr>
        <w:t xml:space="preserve">Demonstrated ability to work constructively as a member of a team, including experience in having worked effectively within a political environment subject to work pressure, competing priorities, </w:t>
      </w:r>
      <w:proofErr w:type="gramStart"/>
      <w:r w:rsidRPr="00BD43CF">
        <w:rPr>
          <w:rFonts w:cs="Tahoma"/>
        </w:rPr>
        <w:t>ambiguity</w:t>
      </w:r>
      <w:proofErr w:type="gramEnd"/>
      <w:r w:rsidRPr="00BD43CF">
        <w:rPr>
          <w:rFonts w:cs="Tahoma"/>
        </w:rPr>
        <w:t xml:space="preserve"> and change.</w:t>
      </w:r>
    </w:p>
    <w:p w14:paraId="3E2EFAF8" w14:textId="77777777" w:rsidR="00BD43CF" w:rsidRPr="00BD43CF" w:rsidRDefault="00BD43CF" w:rsidP="00C00AB9">
      <w:pPr>
        <w:pStyle w:val="ListNumbered"/>
        <w:numPr>
          <w:ilvl w:val="0"/>
          <w:numId w:val="15"/>
        </w:numPr>
        <w:tabs>
          <w:tab w:val="num" w:pos="567"/>
        </w:tabs>
        <w:jc w:val="both"/>
        <w:rPr>
          <w:rFonts w:cs="Tahoma"/>
        </w:rPr>
      </w:pPr>
      <w:r w:rsidRPr="00BD43CF">
        <w:rPr>
          <w:rFonts w:cs="Tahoma"/>
        </w:rPr>
        <w:t>High level communication skills including the proven ability to clearly articulate complex and difficult technical issues to non-technical staff and stakeholders and to prepare and present high quality formal documentation and recommendations within a senior management environment.</w:t>
      </w:r>
    </w:p>
    <w:p w14:paraId="1D1DB96D" w14:textId="1FF30708" w:rsidR="00E91AB6" w:rsidRPr="00BD43CF" w:rsidRDefault="00BD43CF" w:rsidP="00C00AB9">
      <w:pPr>
        <w:pStyle w:val="ListNumbered"/>
        <w:numPr>
          <w:ilvl w:val="0"/>
          <w:numId w:val="15"/>
        </w:numPr>
        <w:tabs>
          <w:tab w:val="num" w:pos="567"/>
        </w:tabs>
        <w:spacing w:after="240"/>
        <w:jc w:val="both"/>
        <w:rPr>
          <w:rFonts w:cs="Tahoma"/>
        </w:rPr>
      </w:pPr>
      <w:r w:rsidRPr="00BD43CF">
        <w:rPr>
          <w:rFonts w:cs="Gill Sans MT"/>
          <w:color w:val="000000"/>
        </w:rPr>
        <w:t>Demonstrated negotiation, and conflict resolution skills including the ability to manage and escalate appropriately to effectively achieve organisational outcomes.</w:t>
      </w:r>
    </w:p>
    <w:p w14:paraId="185F40C6" w14:textId="77777777" w:rsidR="00E91AB6" w:rsidRDefault="00E91AB6" w:rsidP="00130E72">
      <w:pPr>
        <w:pStyle w:val="Heading3"/>
      </w:pPr>
      <w:r>
        <w:t>Working Environment:</w:t>
      </w:r>
    </w:p>
    <w:p w14:paraId="63BFCC61" w14:textId="77777777" w:rsidR="00C00AB9" w:rsidRPr="00C00AB9" w:rsidRDefault="00C00AB9" w:rsidP="00C00AB9">
      <w:pPr>
        <w:jc w:val="both"/>
        <w:rPr>
          <w:rFonts w:ascii="Gill Sans MT" w:eastAsia="Calibri" w:hAnsi="Gill Sans MT"/>
          <w:szCs w:val="22"/>
        </w:rPr>
      </w:pPr>
      <w:r w:rsidRPr="00C00AB9">
        <w:rPr>
          <w:rFonts w:ascii="Gill Sans MT" w:eastAsia="Calibri" w:hAnsi="Gill Sans MT"/>
          <w:szCs w:val="22"/>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50109F72" w14:textId="77777777" w:rsidR="00C00AB9" w:rsidRPr="00C00AB9" w:rsidRDefault="00C00AB9" w:rsidP="00C00AB9">
      <w:pPr>
        <w:jc w:val="both"/>
        <w:rPr>
          <w:rFonts w:ascii="Gill Sans MT" w:eastAsia="Calibri" w:hAnsi="Gill Sans MT"/>
          <w:szCs w:val="22"/>
        </w:rPr>
      </w:pPr>
      <w:r w:rsidRPr="00C00AB9">
        <w:rPr>
          <w:rFonts w:ascii="Gill Sans MT" w:eastAsia="Calibri" w:hAnsi="Gill Sans MT"/>
          <w:szCs w:val="22"/>
        </w:rPr>
        <w:t xml:space="preserve">The Department of Health is committed to improving the way we work with vulnerable people, in particular implementing strategies and actions to promote child safety and wellbeing, empower, and prevent harm to children and young people. </w:t>
      </w:r>
    </w:p>
    <w:p w14:paraId="28C1BC12" w14:textId="77777777" w:rsidR="00C00AB9" w:rsidRPr="00C00AB9" w:rsidRDefault="00C00AB9" w:rsidP="00C00AB9">
      <w:pPr>
        <w:jc w:val="both"/>
        <w:rPr>
          <w:rFonts w:ascii="Gill Sans MT" w:eastAsia="Calibri" w:hAnsi="Gill Sans MT"/>
          <w:szCs w:val="22"/>
        </w:rPr>
      </w:pPr>
      <w:r w:rsidRPr="00C00AB9">
        <w:rPr>
          <w:rFonts w:ascii="Gill Sans MT" w:eastAsia="Calibri" w:hAnsi="Gill Sans MT"/>
          <w:szCs w:val="22"/>
        </w:rPr>
        <w:t xml:space="preserve">The Department upholds the </w:t>
      </w:r>
      <w:r w:rsidRPr="00C00AB9">
        <w:rPr>
          <w:rFonts w:ascii="Gill Sans MT" w:eastAsia="Calibri" w:hAnsi="Gill Sans MT"/>
          <w:i/>
          <w:iCs/>
          <w:szCs w:val="22"/>
        </w:rPr>
        <w:t>Australian Charter of Healthcare Rights</w:t>
      </w:r>
      <w:r w:rsidRPr="00C00AB9">
        <w:rPr>
          <w:rFonts w:ascii="Gill Sans MT" w:eastAsia="Calibri" w:hAnsi="Gill Sans MT"/>
          <w:szCs w:val="22"/>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E8012FB" w14:textId="7CEAFC8B" w:rsidR="000D5AF4" w:rsidRPr="004B0994" w:rsidRDefault="00C00AB9" w:rsidP="00C00AB9">
      <w:r w:rsidRPr="00C00AB9">
        <w:rPr>
          <w:rFonts w:ascii="Gill Sans MT" w:eastAsia="Calibri" w:hAnsi="Gill Sans MT"/>
          <w:szCs w:val="22"/>
        </w:rPr>
        <w:t xml:space="preserve">The Department seeks to provide an environment that supports safe work practices, </w:t>
      </w:r>
      <w:proofErr w:type="gramStart"/>
      <w:r w:rsidRPr="00C00AB9">
        <w:rPr>
          <w:rFonts w:ascii="Gill Sans MT" w:eastAsia="Calibri" w:hAnsi="Gill Sans MT"/>
          <w:szCs w:val="22"/>
        </w:rPr>
        <w:t>diversity</w:t>
      </w:r>
      <w:proofErr w:type="gramEnd"/>
      <w:r w:rsidRPr="00C00AB9">
        <w:rPr>
          <w:rFonts w:ascii="Gill Sans MT" w:eastAsia="Calibri" w:hAnsi="Gill Sans MT"/>
          <w:szCs w:val="22"/>
        </w:rP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00AB9">
        <w:rPr>
          <w:rFonts w:ascii="Gill Sans MT" w:eastAsia="Calibri" w:hAnsi="Gill Sans MT"/>
          <w:bCs/>
          <w:i/>
          <w:szCs w:val="22"/>
        </w:rPr>
        <w:t xml:space="preserve">State Service Principles </w:t>
      </w:r>
      <w:r w:rsidRPr="00C00AB9">
        <w:rPr>
          <w:rFonts w:ascii="Gill Sans MT" w:eastAsia="Calibri" w:hAnsi="Gill Sans MT"/>
          <w:bCs/>
          <w:iCs/>
          <w:szCs w:val="22"/>
        </w:rPr>
        <w:t>and</w:t>
      </w:r>
      <w:r w:rsidRPr="00C00AB9">
        <w:rPr>
          <w:rFonts w:ascii="Gill Sans MT" w:eastAsia="Calibri" w:hAnsi="Gill Sans MT"/>
          <w:bCs/>
          <w:i/>
          <w:szCs w:val="22"/>
        </w:rPr>
        <w:t xml:space="preserve"> Code of Conduct </w:t>
      </w:r>
      <w:r w:rsidRPr="00C00AB9">
        <w:rPr>
          <w:rFonts w:ascii="Gill Sans MT" w:eastAsia="Calibri" w:hAnsi="Gill Sans MT"/>
          <w:bCs/>
          <w:iCs/>
          <w:szCs w:val="22"/>
        </w:rPr>
        <w:t>which are found in the</w:t>
      </w:r>
      <w:r w:rsidRPr="00C00AB9">
        <w:rPr>
          <w:rFonts w:ascii="Gill Sans MT" w:eastAsia="Calibri" w:hAnsi="Gill Sans MT"/>
          <w:bCs/>
          <w:i/>
          <w:szCs w:val="22"/>
        </w:rPr>
        <w:t xml:space="preserve"> State Service Act 2000. </w:t>
      </w:r>
      <w:r w:rsidRPr="00C00AB9">
        <w:rPr>
          <w:rFonts w:ascii="Gill Sans MT" w:eastAsia="Calibri" w:hAnsi="Gill Sans MT"/>
          <w:szCs w:val="22"/>
        </w:rPr>
        <w:t xml:space="preserve">The Department supports the </w:t>
      </w:r>
      <w:hyperlink r:id="rId8" w:history="1">
        <w:r w:rsidR="00B22C26" w:rsidRPr="00B22C26">
          <w:rPr>
            <w:rStyle w:val="Hyperlink"/>
            <w:rFonts w:ascii="Gill Sans MT" w:eastAsia="Calibri" w:hAnsi="Gill Sans MT"/>
            <w:szCs w:val="22"/>
          </w:rPr>
          <w:t>Consumer and Community Engagement Principles | Tasmanian Department of Health</w:t>
        </w:r>
      </w:hyperlink>
      <w:r w:rsidR="00B22C26" w:rsidRPr="00B22C26">
        <w:rPr>
          <w:rFonts w:ascii="Gill Sans MT" w:eastAsia="Calibri" w:hAnsi="Gill Sans MT"/>
          <w:szCs w:val="22"/>
        </w:rPr>
        <w:t>.</w:t>
      </w: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3183A" w14:textId="77777777" w:rsidR="00CD1305" w:rsidRDefault="00CD1305" w:rsidP="00F420E2">
      <w:pPr>
        <w:spacing w:after="0" w:line="240" w:lineRule="auto"/>
      </w:pPr>
      <w:r>
        <w:separator/>
      </w:r>
    </w:p>
  </w:endnote>
  <w:endnote w:type="continuationSeparator" w:id="0">
    <w:p w14:paraId="51B3CE1D" w14:textId="77777777" w:rsidR="00CD1305" w:rsidRDefault="00CD1305"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STZhongsong">
    <w:charset w:val="86"/>
    <w:family w:val="auto"/>
    <w:pitch w:val="variable"/>
    <w:sig w:usb0="00000287" w:usb1="080F0000" w:usb2="00000010" w:usb3="00000000" w:csb0="0004009F" w:csb1="00000000"/>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DCB7F" w14:textId="77777777" w:rsidR="00CD1305" w:rsidRDefault="00CD1305" w:rsidP="00F420E2">
      <w:pPr>
        <w:spacing w:after="0" w:line="240" w:lineRule="auto"/>
      </w:pPr>
      <w:r>
        <w:separator/>
      </w:r>
    </w:p>
  </w:footnote>
  <w:footnote w:type="continuationSeparator" w:id="0">
    <w:p w14:paraId="1473CF26" w14:textId="77777777" w:rsidR="00CD1305" w:rsidRDefault="00CD1305"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F15"/>
    <w:multiLevelType w:val="singleLevel"/>
    <w:tmpl w:val="3EC0A33E"/>
    <w:lvl w:ilvl="0">
      <w:start w:val="1"/>
      <w:numFmt w:val="decimal"/>
      <w:lvlText w:val="%1."/>
      <w:lvlJc w:val="left"/>
      <w:pPr>
        <w:tabs>
          <w:tab w:val="num" w:pos="360"/>
        </w:tabs>
        <w:ind w:left="284" w:hanging="284"/>
      </w:pPr>
    </w:lvl>
  </w:abstractNum>
  <w:abstractNum w:abstractNumId="1" w15:restartNumberingAfterBreak="0">
    <w:nsid w:val="035C0002"/>
    <w:multiLevelType w:val="multilevel"/>
    <w:tmpl w:val="A48627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1B565A8"/>
    <w:multiLevelType w:val="hybridMultilevel"/>
    <w:tmpl w:val="5358C4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8"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6F71C4"/>
    <w:multiLevelType w:val="multilevel"/>
    <w:tmpl w:val="8E8C0FDC"/>
    <w:numStyleLink w:val="NL1"/>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4EF6002D"/>
    <w:multiLevelType w:val="hybridMultilevel"/>
    <w:tmpl w:val="A99EC034"/>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4"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DC7638F"/>
    <w:multiLevelType w:val="hybridMultilevel"/>
    <w:tmpl w:val="6248CA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EE423B4"/>
    <w:multiLevelType w:val="hybridMultilevel"/>
    <w:tmpl w:val="B986FD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9"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754350293">
    <w:abstractNumId w:val="22"/>
  </w:num>
  <w:num w:numId="2" w16cid:durableId="1800561745">
    <w:abstractNumId w:val="5"/>
  </w:num>
  <w:num w:numId="3" w16cid:durableId="436951785">
    <w:abstractNumId w:val="3"/>
  </w:num>
  <w:num w:numId="4" w16cid:durableId="853417972">
    <w:abstractNumId w:val="9"/>
  </w:num>
  <w:num w:numId="5" w16cid:durableId="1994068963">
    <w:abstractNumId w:val="15"/>
  </w:num>
  <w:num w:numId="6" w16cid:durableId="1703624718">
    <w:abstractNumId w:val="11"/>
  </w:num>
  <w:num w:numId="7" w16cid:durableId="424961824">
    <w:abstractNumId w:val="20"/>
  </w:num>
  <w:num w:numId="8" w16cid:durableId="428550368">
    <w:abstractNumId w:val="2"/>
  </w:num>
  <w:num w:numId="9" w16cid:durableId="446777762">
    <w:abstractNumId w:val="21"/>
  </w:num>
  <w:num w:numId="10" w16cid:durableId="972902847">
    <w:abstractNumId w:val="18"/>
  </w:num>
  <w:num w:numId="11" w16cid:durableId="1202284250">
    <w:abstractNumId w:val="7"/>
  </w:num>
  <w:num w:numId="12" w16cid:durableId="479080896">
    <w:abstractNumId w:val="8"/>
  </w:num>
  <w:num w:numId="13" w16cid:durableId="571813501">
    <w:abstractNumId w:val="10"/>
  </w:num>
  <w:num w:numId="14" w16cid:durableId="12323536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98664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61503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6658106">
    <w:abstractNumId w:val="13"/>
  </w:num>
  <w:num w:numId="18" w16cid:durableId="2027711381">
    <w:abstractNumId w:val="4"/>
  </w:num>
  <w:num w:numId="19" w16cid:durableId="1923368812">
    <w:abstractNumId w:val="14"/>
  </w:num>
  <w:num w:numId="20" w16cid:durableId="678965494">
    <w:abstractNumId w:val="19"/>
  </w:num>
  <w:num w:numId="21" w16cid:durableId="104664996">
    <w:abstractNumId w:val="12"/>
  </w:num>
  <w:num w:numId="22" w16cid:durableId="1465006345">
    <w:abstractNumId w:val="16"/>
  </w:num>
  <w:num w:numId="23" w16cid:durableId="1168642949">
    <w:abstractNumId w:val="6"/>
  </w:num>
  <w:num w:numId="24" w16cid:durableId="1621375820">
    <w:abstractNumId w:val="17"/>
  </w:num>
  <w:num w:numId="25" w16cid:durableId="64036552">
    <w:abstractNumId w:val="1"/>
  </w:num>
  <w:num w:numId="26" w16cid:durableId="1000428507">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2EB5"/>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3F88"/>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E4400"/>
    <w:rsid w:val="005F02A4"/>
    <w:rsid w:val="005F3D0B"/>
    <w:rsid w:val="005F587F"/>
    <w:rsid w:val="006043D9"/>
    <w:rsid w:val="0061682A"/>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024CD"/>
    <w:rsid w:val="00720B7D"/>
    <w:rsid w:val="00724132"/>
    <w:rsid w:val="0073378F"/>
    <w:rsid w:val="00734F23"/>
    <w:rsid w:val="007356C9"/>
    <w:rsid w:val="00750586"/>
    <w:rsid w:val="0075247C"/>
    <w:rsid w:val="00752800"/>
    <w:rsid w:val="007619F9"/>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3887"/>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2C26"/>
    <w:rsid w:val="00B231B2"/>
    <w:rsid w:val="00B47CD5"/>
    <w:rsid w:val="00B55A2A"/>
    <w:rsid w:val="00B81424"/>
    <w:rsid w:val="00B90EB3"/>
    <w:rsid w:val="00B914E4"/>
    <w:rsid w:val="00B97D5F"/>
    <w:rsid w:val="00BA6397"/>
    <w:rsid w:val="00BB12B9"/>
    <w:rsid w:val="00BC6DC6"/>
    <w:rsid w:val="00BD43CF"/>
    <w:rsid w:val="00BF2032"/>
    <w:rsid w:val="00C00AB9"/>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05"/>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C570B"/>
    <w:rsid w:val="00DD0A63"/>
    <w:rsid w:val="00DD5FB3"/>
    <w:rsid w:val="00DE0798"/>
    <w:rsid w:val="00DE2B74"/>
    <w:rsid w:val="00DE6E44"/>
    <w:rsid w:val="00DF1536"/>
    <w:rsid w:val="00DF424E"/>
    <w:rsid w:val="00E1548F"/>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6A0"/>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STZhongsong">
    <w:charset w:val="86"/>
    <w:family w:val="auto"/>
    <w:pitch w:val="variable"/>
    <w:sig w:usb0="00000287" w:usb1="080F0000" w:usb2="00000010" w:usb3="00000000" w:csb0="0004009F" w:csb1="00000000"/>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36A72"/>
    <w:rsid w:val="00497E2A"/>
    <w:rsid w:val="006E4BAF"/>
    <w:rsid w:val="007637B0"/>
    <w:rsid w:val="00831BA8"/>
    <w:rsid w:val="008F6267"/>
    <w:rsid w:val="00B56F0D"/>
    <w:rsid w:val="00F13FDA"/>
    <w:rsid w:val="00F613A4"/>
    <w:rsid w:val="00F74F6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1303</Words>
  <Characters>8179</Characters>
  <Application>Microsoft Office Word</Application>
  <DocSecurity>0</DocSecurity>
  <Lines>142</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Hurtado, Paola</cp:lastModifiedBy>
  <cp:revision>8</cp:revision>
  <cp:lastPrinted>2024-09-29T22:55:00Z</cp:lastPrinted>
  <dcterms:created xsi:type="dcterms:W3CDTF">2023-06-13T00:13:00Z</dcterms:created>
  <dcterms:modified xsi:type="dcterms:W3CDTF">2024-09-29T22:56:00Z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1b05cf46408ea2d90b168563e86202740e34f1e666582c7948879f73a2acf3f5</vt:lpwstr>
  </property>
</Properties>
</file>