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F2" w:rsidRPr="007877F2" w:rsidRDefault="007877F2" w:rsidP="007877F2">
      <w:pPr>
        <w:autoSpaceDE w:val="0"/>
        <w:autoSpaceDN w:val="0"/>
        <w:adjustRightInd w:val="0"/>
        <w:spacing w:before="240" w:after="240" w:line="240" w:lineRule="auto"/>
        <w:rPr>
          <w:rFonts w:ascii="Arial" w:hAnsi="Arial" w:cs="Arial"/>
          <w:b/>
          <w:bCs/>
          <w:sz w:val="44"/>
          <w:szCs w:val="44"/>
        </w:rPr>
      </w:pPr>
      <w:r w:rsidRPr="007877F2">
        <w:rPr>
          <w:rFonts w:ascii="Arial" w:hAnsi="Arial" w:cs="Arial"/>
          <w:b/>
          <w:bCs/>
          <w:sz w:val="44"/>
          <w:szCs w:val="44"/>
          <w:lang w:val="pt-PT"/>
        </w:rPr>
        <w:br/>
      </w:r>
      <w:r w:rsidRPr="007877F2">
        <w:rPr>
          <w:rFonts w:ascii="Arial" w:hAnsi="Arial" w:cs="Arial"/>
          <w:b/>
          <w:bCs/>
          <w:sz w:val="44"/>
          <w:szCs w:val="44"/>
          <w:lang w:val="pt-PT"/>
        </w:rPr>
        <w:br/>
      </w:r>
    </w:p>
    <w:p w:rsidR="007877F2" w:rsidRPr="007877F2" w:rsidRDefault="00132526" w:rsidP="007877F2">
      <w:pPr>
        <w:pStyle w:val="Title"/>
      </w:pPr>
      <w:r>
        <w:t>lECTURER</w:t>
      </w:r>
      <w:r w:rsidR="00560D30">
        <w:t xml:space="preserve"> (practice)</w:t>
      </w:r>
    </w:p>
    <w:tbl>
      <w:tblPr>
        <w:tblW w:w="9638" w:type="dxa"/>
        <w:tblInd w:w="71" w:type="dxa"/>
        <w:tblLayout w:type="fixed"/>
        <w:tblCellMar>
          <w:left w:w="71" w:type="dxa"/>
          <w:right w:w="71" w:type="dxa"/>
        </w:tblCellMar>
        <w:tblLook w:val="0000" w:firstRow="0" w:lastRow="0" w:firstColumn="0" w:lastColumn="0" w:noHBand="0" w:noVBand="0"/>
      </w:tblPr>
      <w:tblGrid>
        <w:gridCol w:w="3685"/>
        <w:gridCol w:w="5953"/>
      </w:tblGrid>
      <w:tr w:rsidR="007877F2" w:rsidRPr="007877F2" w:rsidTr="00D96343">
        <w:tc>
          <w:tcPr>
            <w:tcW w:w="3685" w:type="dxa"/>
            <w:vAlign w:val="center"/>
          </w:tcPr>
          <w:p w:rsidR="007877F2" w:rsidRPr="007877F2" w:rsidRDefault="007877F2" w:rsidP="00D96343">
            <w:pPr>
              <w:autoSpaceDE w:val="0"/>
              <w:autoSpaceDN w:val="0"/>
              <w:adjustRightInd w:val="0"/>
              <w:spacing w:before="160" w:line="240" w:lineRule="auto"/>
              <w:rPr>
                <w:rFonts w:cstheme="minorHAnsi"/>
                <w:szCs w:val="21"/>
              </w:rPr>
            </w:pPr>
            <w:r w:rsidRPr="007877F2">
              <w:rPr>
                <w:rFonts w:cstheme="minorHAnsi"/>
                <w:b/>
                <w:bCs/>
                <w:szCs w:val="21"/>
              </w:rPr>
              <w:t>DEPARTMENT/UNIT</w:t>
            </w:r>
          </w:p>
        </w:tc>
        <w:tc>
          <w:tcPr>
            <w:tcW w:w="5953" w:type="dxa"/>
            <w:vAlign w:val="center"/>
          </w:tcPr>
          <w:p w:rsidR="007877F2" w:rsidRPr="007877F2" w:rsidRDefault="00560D30" w:rsidP="00E16DCC">
            <w:pPr>
              <w:autoSpaceDE w:val="0"/>
              <w:autoSpaceDN w:val="0"/>
              <w:adjustRightInd w:val="0"/>
              <w:spacing w:before="160" w:line="240" w:lineRule="auto"/>
              <w:rPr>
                <w:rFonts w:cstheme="minorHAnsi"/>
                <w:szCs w:val="21"/>
              </w:rPr>
            </w:pPr>
            <w:r>
              <w:rPr>
                <w:rFonts w:cstheme="minorHAnsi"/>
                <w:szCs w:val="21"/>
              </w:rPr>
              <w:t>S</w:t>
            </w:r>
            <w:r w:rsidR="00E16DCC">
              <w:rPr>
                <w:rFonts w:cstheme="minorHAnsi"/>
                <w:szCs w:val="21"/>
              </w:rPr>
              <w:t xml:space="preserve">chool of Pharmacy </w:t>
            </w:r>
          </w:p>
        </w:tc>
      </w:tr>
      <w:tr w:rsidR="007877F2" w:rsidRPr="007877F2" w:rsidTr="00D96343">
        <w:tc>
          <w:tcPr>
            <w:tcW w:w="3685" w:type="dxa"/>
            <w:vAlign w:val="center"/>
          </w:tcPr>
          <w:p w:rsidR="007877F2" w:rsidRPr="007877F2" w:rsidRDefault="007877F2" w:rsidP="00D96343">
            <w:pPr>
              <w:autoSpaceDE w:val="0"/>
              <w:autoSpaceDN w:val="0"/>
              <w:adjustRightInd w:val="0"/>
              <w:spacing w:before="160" w:line="240" w:lineRule="auto"/>
              <w:rPr>
                <w:rFonts w:cstheme="minorHAnsi"/>
                <w:szCs w:val="21"/>
              </w:rPr>
            </w:pPr>
            <w:r w:rsidRPr="007877F2">
              <w:rPr>
                <w:rFonts w:cstheme="minorHAnsi"/>
                <w:b/>
                <w:bCs/>
                <w:szCs w:val="21"/>
              </w:rPr>
              <w:t>FACULTY/DIVISION</w:t>
            </w:r>
          </w:p>
        </w:tc>
        <w:tc>
          <w:tcPr>
            <w:tcW w:w="5953" w:type="dxa"/>
            <w:vAlign w:val="center"/>
          </w:tcPr>
          <w:p w:rsidR="007877F2" w:rsidRPr="007877F2" w:rsidRDefault="00560D30" w:rsidP="00E16DCC">
            <w:pPr>
              <w:autoSpaceDE w:val="0"/>
              <w:autoSpaceDN w:val="0"/>
              <w:adjustRightInd w:val="0"/>
              <w:spacing w:before="160" w:line="240" w:lineRule="auto"/>
              <w:rPr>
                <w:rFonts w:cstheme="minorHAnsi"/>
                <w:szCs w:val="21"/>
              </w:rPr>
            </w:pPr>
            <w:r>
              <w:rPr>
                <w:rFonts w:cstheme="minorHAnsi"/>
                <w:szCs w:val="21"/>
              </w:rPr>
              <w:t>C</w:t>
            </w:r>
            <w:r w:rsidR="00E16DCC">
              <w:rPr>
                <w:rFonts w:cstheme="minorHAnsi"/>
                <w:szCs w:val="21"/>
              </w:rPr>
              <w:t xml:space="preserve">linical Pharmacy </w:t>
            </w:r>
          </w:p>
        </w:tc>
      </w:tr>
      <w:tr w:rsidR="007877F2" w:rsidRPr="007877F2" w:rsidTr="00D96343">
        <w:tc>
          <w:tcPr>
            <w:tcW w:w="3685" w:type="dxa"/>
            <w:vAlign w:val="center"/>
          </w:tcPr>
          <w:p w:rsidR="007877F2" w:rsidRPr="007877F2" w:rsidRDefault="007877F2" w:rsidP="00D96343">
            <w:pPr>
              <w:autoSpaceDE w:val="0"/>
              <w:autoSpaceDN w:val="0"/>
              <w:adjustRightInd w:val="0"/>
              <w:spacing w:before="160" w:line="240" w:lineRule="auto"/>
              <w:rPr>
                <w:rFonts w:cstheme="minorHAnsi"/>
                <w:szCs w:val="21"/>
              </w:rPr>
            </w:pPr>
            <w:r w:rsidRPr="007877F2">
              <w:rPr>
                <w:rFonts w:cstheme="minorHAnsi"/>
                <w:b/>
                <w:bCs/>
                <w:szCs w:val="21"/>
              </w:rPr>
              <w:t>CLASSIFICATION</w:t>
            </w:r>
          </w:p>
        </w:tc>
        <w:tc>
          <w:tcPr>
            <w:tcW w:w="5953" w:type="dxa"/>
            <w:vAlign w:val="center"/>
          </w:tcPr>
          <w:p w:rsidR="007877F2" w:rsidRPr="007877F2" w:rsidRDefault="00E16DCC" w:rsidP="00E16DCC">
            <w:pPr>
              <w:autoSpaceDE w:val="0"/>
              <w:autoSpaceDN w:val="0"/>
              <w:adjustRightInd w:val="0"/>
              <w:spacing w:before="160" w:line="240" w:lineRule="auto"/>
              <w:rPr>
                <w:rFonts w:cstheme="minorHAnsi"/>
                <w:szCs w:val="21"/>
              </w:rPr>
            </w:pPr>
            <w:r>
              <w:rPr>
                <w:rFonts w:cstheme="minorHAnsi"/>
                <w:szCs w:val="21"/>
              </w:rPr>
              <w:t>Level</w:t>
            </w:r>
            <w:r w:rsidR="00560D30">
              <w:rPr>
                <w:rFonts w:cstheme="minorHAnsi"/>
                <w:szCs w:val="21"/>
              </w:rPr>
              <w:t xml:space="preserve"> B</w:t>
            </w:r>
          </w:p>
        </w:tc>
      </w:tr>
      <w:tr w:rsidR="007877F2" w:rsidRPr="007877F2" w:rsidTr="00D96343">
        <w:tc>
          <w:tcPr>
            <w:tcW w:w="3685" w:type="dxa"/>
            <w:vAlign w:val="center"/>
          </w:tcPr>
          <w:p w:rsidR="007877F2" w:rsidRPr="007877F2" w:rsidRDefault="007877F2" w:rsidP="00D96343">
            <w:pPr>
              <w:autoSpaceDE w:val="0"/>
              <w:autoSpaceDN w:val="0"/>
              <w:adjustRightInd w:val="0"/>
              <w:spacing w:before="160" w:line="240" w:lineRule="auto"/>
              <w:rPr>
                <w:rFonts w:cstheme="minorHAnsi"/>
                <w:szCs w:val="21"/>
              </w:rPr>
            </w:pPr>
            <w:r w:rsidRPr="007877F2">
              <w:rPr>
                <w:rFonts w:cstheme="minorHAnsi"/>
                <w:b/>
                <w:bCs/>
                <w:szCs w:val="21"/>
              </w:rPr>
              <w:t>WORK LOCATION</w:t>
            </w:r>
          </w:p>
        </w:tc>
        <w:tc>
          <w:tcPr>
            <w:tcW w:w="5953" w:type="dxa"/>
            <w:vAlign w:val="center"/>
          </w:tcPr>
          <w:p w:rsidR="007877F2" w:rsidRPr="007877F2" w:rsidRDefault="00E16DCC" w:rsidP="00D96343">
            <w:pPr>
              <w:autoSpaceDE w:val="0"/>
              <w:autoSpaceDN w:val="0"/>
              <w:adjustRightInd w:val="0"/>
              <w:spacing w:before="160" w:line="240" w:lineRule="auto"/>
              <w:rPr>
                <w:rFonts w:cstheme="minorHAnsi"/>
                <w:szCs w:val="21"/>
              </w:rPr>
            </w:pPr>
            <w:r>
              <w:rPr>
                <w:rFonts w:asciiTheme="minorBidi" w:hAnsiTheme="minorBidi"/>
                <w:sz w:val="20"/>
                <w:szCs w:val="20"/>
              </w:rPr>
              <w:t>Bandar Sunway, Malaysia</w:t>
            </w:r>
          </w:p>
        </w:tc>
      </w:tr>
    </w:tbl>
    <w:p w:rsidR="007877F2" w:rsidRPr="007877F2" w:rsidRDefault="007877F2" w:rsidP="007877F2">
      <w:pPr>
        <w:pStyle w:val="Heading2"/>
      </w:pPr>
      <w:r w:rsidRPr="007877F2">
        <w:t>Organisational context</w:t>
      </w:r>
    </w:p>
    <w:p w:rsidR="00132526" w:rsidRPr="001D4268" w:rsidRDefault="00132526" w:rsidP="00132526">
      <w:pPr>
        <w:autoSpaceDE w:val="0"/>
        <w:autoSpaceDN w:val="0"/>
        <w:adjustRightInd w:val="0"/>
        <w:spacing w:after="120" w:line="240" w:lineRule="auto"/>
        <w:rPr>
          <w:rFonts w:cstheme="minorHAnsi"/>
          <w:szCs w:val="21"/>
        </w:rPr>
      </w:pPr>
      <w:r w:rsidRPr="001D4268">
        <w:rPr>
          <w:rFonts w:cstheme="minorHAnsi"/>
          <w:szCs w:val="21"/>
        </w:rPr>
        <w:t>Monash University Malaysia is the third largest campus of Australia's largest university. We carry with us the distinction of being the Malaysian constituent of a premier research intensive Australian university ranked among the top 100 universities in the world, and a member of Australia’s prestigious Group of Eight.</w:t>
      </w:r>
    </w:p>
    <w:p w:rsidR="00132526" w:rsidRPr="001D4268" w:rsidRDefault="00132526" w:rsidP="00132526">
      <w:pPr>
        <w:autoSpaceDE w:val="0"/>
        <w:autoSpaceDN w:val="0"/>
        <w:adjustRightInd w:val="0"/>
        <w:spacing w:after="120" w:line="240" w:lineRule="auto"/>
        <w:rPr>
          <w:rFonts w:cstheme="minorHAnsi"/>
          <w:szCs w:val="21"/>
        </w:rPr>
      </w:pPr>
      <w:r w:rsidRPr="001D4268">
        <w:rPr>
          <w:rFonts w:cstheme="minorHAnsi"/>
          <w:szCs w:val="21"/>
        </w:rPr>
        <w:t xml:space="preserve">We have maintained a proud tradition of education and research excellence for 20 years and counting, and are now recognised as a leader in the international higher education sector in Malaysia. Our location in Sunway City, one of the region's industrial hotspots, well positions us for scholarly engagement </w:t>
      </w:r>
      <w:r>
        <w:rPr>
          <w:rFonts w:cstheme="minorHAnsi"/>
          <w:szCs w:val="21"/>
        </w:rPr>
        <w:t>with Southeast Asia and beyond.</w:t>
      </w:r>
    </w:p>
    <w:p w:rsidR="00132526" w:rsidRPr="001D4268" w:rsidRDefault="00132526" w:rsidP="00132526">
      <w:pPr>
        <w:autoSpaceDE w:val="0"/>
        <w:autoSpaceDN w:val="0"/>
        <w:adjustRightInd w:val="0"/>
        <w:spacing w:after="120" w:line="240" w:lineRule="auto"/>
        <w:rPr>
          <w:rFonts w:cstheme="minorHAnsi"/>
          <w:szCs w:val="21"/>
        </w:rPr>
      </w:pPr>
      <w:r w:rsidRPr="001D4268">
        <w:rPr>
          <w:rFonts w:cstheme="minorHAnsi"/>
          <w:szCs w:val="21"/>
        </w:rPr>
        <w:t>We believe that everyone has the potential to make a positive impact on the world. Throughout the years, we have welcomed more than 20,000 student</w:t>
      </w:r>
      <w:bookmarkStart w:id="0" w:name="_GoBack"/>
      <w:bookmarkEnd w:id="0"/>
      <w:r w:rsidRPr="001D4268">
        <w:rPr>
          <w:rFonts w:cstheme="minorHAnsi"/>
          <w:szCs w:val="21"/>
        </w:rPr>
        <w:t xml:space="preserve">s from over 70 countries who are keen to do so. We provide our students with a supportive learning environment so that they are able to flourish and are empowered to succeed. Every day, we come together to embrace new ideas and devise solutions to address social, political and economic </w:t>
      </w:r>
      <w:r>
        <w:rPr>
          <w:rFonts w:cstheme="minorHAnsi"/>
          <w:szCs w:val="21"/>
        </w:rPr>
        <w:t xml:space="preserve">challenges of our communities. </w:t>
      </w:r>
    </w:p>
    <w:p w:rsidR="00132526" w:rsidRPr="001D4268" w:rsidRDefault="00132526" w:rsidP="00132526">
      <w:pPr>
        <w:autoSpaceDE w:val="0"/>
        <w:autoSpaceDN w:val="0"/>
        <w:adjustRightInd w:val="0"/>
        <w:spacing w:after="120" w:line="240" w:lineRule="auto"/>
        <w:rPr>
          <w:rFonts w:cstheme="minorHAnsi"/>
          <w:szCs w:val="21"/>
        </w:rPr>
      </w:pPr>
      <w:r w:rsidRPr="001D4268">
        <w:rPr>
          <w:rFonts w:cstheme="minorHAnsi"/>
          <w:szCs w:val="21"/>
        </w:rPr>
        <w:t xml:space="preserve">This desire to make a difference and the relentless passion which drives us </w:t>
      </w:r>
      <w:r>
        <w:rPr>
          <w:rFonts w:cstheme="minorHAnsi"/>
          <w:szCs w:val="21"/>
        </w:rPr>
        <w:t>forward are what define Monash.</w:t>
      </w:r>
    </w:p>
    <w:p w:rsidR="006D0A4E" w:rsidRPr="00E16DCC" w:rsidRDefault="00132526" w:rsidP="00E16DCC">
      <w:pPr>
        <w:autoSpaceDE w:val="0"/>
        <w:autoSpaceDN w:val="0"/>
        <w:adjustRightInd w:val="0"/>
        <w:spacing w:after="120" w:line="240" w:lineRule="auto"/>
        <w:rPr>
          <w:rFonts w:cstheme="minorHAnsi"/>
          <w:szCs w:val="21"/>
        </w:rPr>
      </w:pPr>
      <w:r w:rsidRPr="001D4268">
        <w:rPr>
          <w:rFonts w:cstheme="minorHAnsi"/>
          <w:szCs w:val="21"/>
        </w:rPr>
        <w:t>For further information see: </w:t>
      </w:r>
      <w:hyperlink r:id="rId7" w:tgtFrame="_blank" w:history="1">
        <w:r w:rsidRPr="00E16DCC">
          <w:rPr>
            <w:rFonts w:cstheme="minorHAnsi"/>
            <w:color w:val="0070C0"/>
            <w:szCs w:val="21"/>
            <w:u w:val="single"/>
          </w:rPr>
          <w:t>www.monash.edu.my</w:t>
        </w:r>
      </w:hyperlink>
      <w:r w:rsidRPr="00E16DCC">
        <w:rPr>
          <w:rFonts w:cstheme="minorHAnsi"/>
          <w:szCs w:val="21"/>
        </w:rPr>
        <w:t>.</w:t>
      </w:r>
    </w:p>
    <w:p w:rsidR="00560D30" w:rsidRPr="00E16DCC" w:rsidRDefault="00560D30" w:rsidP="00560D30">
      <w:pPr>
        <w:autoSpaceDE w:val="0"/>
        <w:autoSpaceDN w:val="0"/>
        <w:adjustRightInd w:val="0"/>
        <w:spacing w:after="120" w:line="240" w:lineRule="auto"/>
        <w:rPr>
          <w:rFonts w:cstheme="minorHAnsi"/>
          <w:b/>
          <w:bCs/>
          <w:szCs w:val="21"/>
        </w:rPr>
      </w:pPr>
      <w:r w:rsidRPr="00E16DCC">
        <w:rPr>
          <w:rFonts w:cstheme="minorHAnsi"/>
          <w:b/>
          <w:bCs/>
          <w:szCs w:val="21"/>
        </w:rPr>
        <w:t>School of Pharmacy</w:t>
      </w:r>
    </w:p>
    <w:p w:rsidR="00560D30" w:rsidRPr="00560D30" w:rsidRDefault="00560D30" w:rsidP="00560D30">
      <w:pPr>
        <w:autoSpaceDE w:val="0"/>
        <w:autoSpaceDN w:val="0"/>
        <w:adjustRightInd w:val="0"/>
        <w:spacing w:after="120" w:line="240" w:lineRule="auto"/>
        <w:rPr>
          <w:rFonts w:cstheme="minorHAnsi"/>
          <w:szCs w:val="21"/>
        </w:rPr>
      </w:pPr>
      <w:r w:rsidRPr="00560D30">
        <w:rPr>
          <w:rFonts w:cstheme="minorHAnsi"/>
          <w:szCs w:val="21"/>
        </w:rPr>
        <w:t>The Bachelor of Pharmacy degree was first offered at the Sunway campus in Semester 1, 1999 when a total of 42 students were enrolled. The Program was accredited by Pharmacy Board of Malaysia in January 2014 and by the Australian Pharmacy Council in 2017. The Bachelor of Pharmacy is the same program taught by the Faculty of Pharmacy and Pharmaceutical Sciences at the Monash Parkville campus in Australia. Hence there is a close liaison between School of Pharmacy and the Faculty of Pharmacy and Pharmaceutical Sciences in the delivery of th</w:t>
      </w:r>
      <w:r>
        <w:rPr>
          <w:rFonts w:cstheme="minorHAnsi"/>
          <w:szCs w:val="21"/>
        </w:rPr>
        <w:t>e Bachelor of Pharmacy program.</w:t>
      </w:r>
    </w:p>
    <w:p w:rsidR="00560D30" w:rsidRDefault="00560D30" w:rsidP="00560D30">
      <w:pPr>
        <w:autoSpaceDE w:val="0"/>
        <w:autoSpaceDN w:val="0"/>
        <w:adjustRightInd w:val="0"/>
        <w:spacing w:after="120" w:line="240" w:lineRule="auto"/>
        <w:rPr>
          <w:rFonts w:cstheme="minorHAnsi"/>
          <w:szCs w:val="21"/>
        </w:rPr>
      </w:pPr>
      <w:r w:rsidRPr="00560D30">
        <w:rPr>
          <w:rFonts w:cstheme="minorHAnsi"/>
          <w:szCs w:val="21"/>
        </w:rPr>
        <w:t xml:space="preserve">The success of the future School of Pharmacy will depend on sustaining the growth of undergraduate enrolments and the continuing improvement of research productivity in the School, which will attract both research funding as well as postgraduate research students. More information can be found in our School website </w:t>
      </w:r>
      <w:hyperlink r:id="rId8" w:history="1">
        <w:r w:rsidRPr="00E16DCC">
          <w:rPr>
            <w:color w:val="0070C0"/>
            <w:u w:val="single"/>
          </w:rPr>
          <w:t>www.pharm.monash.edu.my</w:t>
        </w:r>
      </w:hyperlink>
      <w:r w:rsidR="00E16DCC" w:rsidRPr="00E16DCC">
        <w:rPr>
          <w:u w:val="single"/>
        </w:rPr>
        <w:t xml:space="preserve">. </w:t>
      </w:r>
    </w:p>
    <w:p w:rsidR="00132526" w:rsidRDefault="00560D30" w:rsidP="00560D30">
      <w:pPr>
        <w:autoSpaceDE w:val="0"/>
        <w:autoSpaceDN w:val="0"/>
        <w:adjustRightInd w:val="0"/>
        <w:spacing w:after="120" w:line="240" w:lineRule="auto"/>
        <w:rPr>
          <w:rFonts w:cstheme="minorHAnsi"/>
          <w:szCs w:val="21"/>
        </w:rPr>
      </w:pPr>
      <w:r>
        <w:rPr>
          <w:rFonts w:cstheme="minorHAnsi"/>
          <w:szCs w:val="21"/>
        </w:rPr>
        <w:t xml:space="preserve"> </w:t>
      </w:r>
    </w:p>
    <w:p w:rsidR="007877F2" w:rsidRPr="007877F2" w:rsidRDefault="007877F2" w:rsidP="007877F2">
      <w:pPr>
        <w:pStyle w:val="Heading2"/>
      </w:pPr>
      <w:r w:rsidRPr="007877F2">
        <w:t>Position purpose</w:t>
      </w:r>
    </w:p>
    <w:p w:rsidR="00132526" w:rsidRPr="00132526" w:rsidRDefault="00E16DCC" w:rsidP="00E16DCC">
      <w:pPr>
        <w:autoSpaceDE w:val="0"/>
        <w:autoSpaceDN w:val="0"/>
        <w:adjustRightInd w:val="0"/>
        <w:spacing w:after="120" w:line="240" w:lineRule="auto"/>
        <w:rPr>
          <w:rFonts w:cstheme="minorHAnsi"/>
          <w:szCs w:val="21"/>
        </w:rPr>
      </w:pPr>
      <w:r>
        <w:rPr>
          <w:rFonts w:cstheme="minorHAnsi"/>
          <w:szCs w:val="21"/>
        </w:rPr>
        <w:t>The Lecturer is</w:t>
      </w:r>
      <w:r w:rsidR="00560D30" w:rsidRPr="00560D30">
        <w:rPr>
          <w:rFonts w:cstheme="minorHAnsi"/>
          <w:szCs w:val="21"/>
        </w:rPr>
        <w:t xml:space="preserve"> expected to make contributions to the teaching effor</w:t>
      </w:r>
      <w:r>
        <w:rPr>
          <w:rFonts w:cstheme="minorHAnsi"/>
          <w:szCs w:val="21"/>
        </w:rPr>
        <w:t xml:space="preserve">t of Monash University Malaysia. The Lecturer will </w:t>
      </w:r>
      <w:r w:rsidR="00560D30" w:rsidRPr="00560D30">
        <w:rPr>
          <w:rFonts w:cstheme="minorHAnsi"/>
          <w:szCs w:val="21"/>
        </w:rPr>
        <w:t>carry out activit</w:t>
      </w:r>
      <w:r>
        <w:rPr>
          <w:rFonts w:cstheme="minorHAnsi"/>
          <w:szCs w:val="21"/>
        </w:rPr>
        <w:t>ies to maintain and develop their</w:t>
      </w:r>
      <w:r w:rsidR="00560D30" w:rsidRPr="00560D30">
        <w:rPr>
          <w:rFonts w:cstheme="minorHAnsi"/>
          <w:szCs w:val="21"/>
        </w:rPr>
        <w:t xml:space="preserve"> scholarly, research and/or professional activities relevant to the profession or discipline.</w:t>
      </w:r>
    </w:p>
    <w:p w:rsidR="007877F2" w:rsidRPr="007877F2" w:rsidRDefault="007877F2" w:rsidP="007877F2">
      <w:pPr>
        <w:autoSpaceDE w:val="0"/>
        <w:autoSpaceDN w:val="0"/>
        <w:adjustRightInd w:val="0"/>
        <w:spacing w:after="120" w:line="240" w:lineRule="auto"/>
        <w:rPr>
          <w:rFonts w:cstheme="minorHAnsi"/>
          <w:szCs w:val="21"/>
        </w:rPr>
      </w:pPr>
      <w:r w:rsidRPr="007877F2">
        <w:rPr>
          <w:rFonts w:cstheme="minorHAnsi"/>
          <w:b/>
          <w:szCs w:val="21"/>
        </w:rPr>
        <w:t>Reporting Line:</w:t>
      </w:r>
      <w:r w:rsidR="000601DA">
        <w:rPr>
          <w:rFonts w:cstheme="minorHAnsi"/>
          <w:szCs w:val="21"/>
        </w:rPr>
        <w:t xml:space="preserve"> The position reports to </w:t>
      </w:r>
      <w:r w:rsidR="00560D30">
        <w:rPr>
          <w:rFonts w:cstheme="minorHAnsi"/>
          <w:szCs w:val="21"/>
        </w:rPr>
        <w:t>Senior Lecturer</w:t>
      </w:r>
    </w:p>
    <w:p w:rsidR="007877F2" w:rsidRPr="007877F2" w:rsidRDefault="007877F2" w:rsidP="007877F2">
      <w:pPr>
        <w:jc w:val="both"/>
        <w:rPr>
          <w:rFonts w:cstheme="minorHAnsi"/>
          <w:szCs w:val="21"/>
        </w:rPr>
      </w:pPr>
      <w:r w:rsidRPr="007877F2">
        <w:rPr>
          <w:rFonts w:cstheme="minorHAnsi"/>
          <w:b/>
          <w:szCs w:val="21"/>
        </w:rPr>
        <w:t>Supervisory Responsibilities:</w:t>
      </w:r>
      <w:r w:rsidRPr="007877F2">
        <w:rPr>
          <w:rFonts w:cstheme="minorHAnsi"/>
          <w:szCs w:val="21"/>
        </w:rPr>
        <w:t xml:space="preserve"> </w:t>
      </w:r>
      <w:r w:rsidR="002D1081" w:rsidRPr="007877F2">
        <w:rPr>
          <w:rFonts w:cstheme="minorHAnsi"/>
          <w:bCs/>
          <w:szCs w:val="21"/>
        </w:rPr>
        <w:t>Not applicable</w:t>
      </w:r>
    </w:p>
    <w:p w:rsidR="007877F2" w:rsidRPr="007877F2" w:rsidRDefault="007877F2" w:rsidP="007877F2">
      <w:pPr>
        <w:jc w:val="both"/>
        <w:rPr>
          <w:rFonts w:cstheme="minorHAnsi"/>
          <w:b/>
          <w:szCs w:val="21"/>
        </w:rPr>
      </w:pPr>
      <w:r w:rsidRPr="007877F2">
        <w:rPr>
          <w:rFonts w:cstheme="minorHAnsi"/>
          <w:b/>
          <w:szCs w:val="21"/>
        </w:rPr>
        <w:t>Financial Delegation:</w:t>
      </w:r>
      <w:r w:rsidRPr="007877F2">
        <w:rPr>
          <w:rFonts w:cstheme="minorHAnsi"/>
          <w:bCs/>
          <w:szCs w:val="21"/>
        </w:rPr>
        <w:t xml:space="preserve"> Not applicable</w:t>
      </w:r>
      <w:r w:rsidRPr="007877F2">
        <w:rPr>
          <w:rFonts w:cstheme="minorHAnsi"/>
          <w:b/>
          <w:szCs w:val="21"/>
        </w:rPr>
        <w:t xml:space="preserve"> </w:t>
      </w:r>
    </w:p>
    <w:p w:rsidR="007877F2" w:rsidRPr="007877F2" w:rsidRDefault="007877F2" w:rsidP="007877F2">
      <w:pPr>
        <w:jc w:val="both"/>
        <w:rPr>
          <w:rFonts w:cstheme="minorHAnsi"/>
          <w:szCs w:val="21"/>
        </w:rPr>
      </w:pPr>
      <w:r w:rsidRPr="007877F2">
        <w:rPr>
          <w:rFonts w:cstheme="minorHAnsi"/>
          <w:b/>
          <w:szCs w:val="21"/>
        </w:rPr>
        <w:t xml:space="preserve">Budget Responsibilities: </w:t>
      </w:r>
      <w:r w:rsidRPr="007877F2">
        <w:rPr>
          <w:rFonts w:cstheme="minorHAnsi"/>
          <w:bCs/>
          <w:szCs w:val="21"/>
        </w:rPr>
        <w:t>Not applicable</w:t>
      </w:r>
    </w:p>
    <w:p w:rsidR="007877F2" w:rsidRPr="007877F2" w:rsidRDefault="007877F2" w:rsidP="007877F2">
      <w:pPr>
        <w:pStyle w:val="Heading2"/>
      </w:pPr>
      <w:r w:rsidRPr="007877F2">
        <w:t>Key responsibilities</w:t>
      </w:r>
    </w:p>
    <w:p w:rsidR="00A93E25" w:rsidRPr="00E16DCC" w:rsidRDefault="00132526"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A93E25">
        <w:rPr>
          <w:rFonts w:cstheme="minorHAnsi"/>
          <w:szCs w:val="21"/>
        </w:rPr>
        <w:t>The key result areas of Research, Teaching and Service are the basis for the primary duties and responsibilities of the role. A workload will be agreed annually with the Head of School in the Performance Development Plan process. Other duties may be required from time to time as directed by the Head of School.</w:t>
      </w:r>
    </w:p>
    <w:p w:rsidR="00AE5CB3" w:rsidRPr="00A93E25" w:rsidRDefault="00132526" w:rsidP="00AE5CB3">
      <w:pPr>
        <w:pStyle w:val="ListParagraph"/>
        <w:autoSpaceDE w:val="0"/>
        <w:autoSpaceDN w:val="0"/>
        <w:adjustRightInd w:val="0"/>
        <w:spacing w:after="120" w:line="240" w:lineRule="auto"/>
        <w:ind w:left="0"/>
        <w:contextualSpacing w:val="0"/>
        <w:rPr>
          <w:rFonts w:cstheme="minorHAnsi"/>
          <w:b/>
          <w:szCs w:val="21"/>
        </w:rPr>
      </w:pPr>
      <w:r w:rsidRPr="00A93E25">
        <w:rPr>
          <w:rFonts w:cstheme="minorHAnsi"/>
          <w:b/>
          <w:szCs w:val="21"/>
        </w:rPr>
        <w:t>Research</w:t>
      </w:r>
    </w:p>
    <w:p w:rsidR="00560D30" w:rsidRPr="00560D30" w:rsidRDefault="00E16DCC"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Pr>
          <w:rFonts w:cstheme="minorHAnsi"/>
          <w:szCs w:val="21"/>
        </w:rPr>
        <w:t>Conduct independent research</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Contribute to enhancing the University’s international reputation through research publications of a</w:t>
      </w:r>
      <w:r w:rsidR="00E16DCC">
        <w:rPr>
          <w:rFonts w:cstheme="minorHAnsi"/>
          <w:szCs w:val="21"/>
        </w:rPr>
        <w:t>ppropriate quantity and quality</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Contribute to obtaining external research grants and other income-generating programs</w:t>
      </w:r>
      <w:r w:rsidR="00E16DCC">
        <w:rPr>
          <w:rFonts w:cstheme="minorHAnsi"/>
          <w:szCs w:val="21"/>
        </w:rPr>
        <w:t xml:space="preserve"> and collaborative partnerships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 xml:space="preserve">Contribute to enhancing the quality and quantity of multiple-disciplinary research at the University in an area related or complementary </w:t>
      </w:r>
      <w:r w:rsidR="00E16DCC">
        <w:rPr>
          <w:rFonts w:cstheme="minorHAnsi"/>
          <w:szCs w:val="21"/>
        </w:rPr>
        <w:t>to existing research priorities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Supervise research projects and</w:t>
      </w:r>
      <w:r w:rsidR="00E16DCC">
        <w:rPr>
          <w:rFonts w:cstheme="minorHAnsi"/>
          <w:szCs w:val="21"/>
        </w:rPr>
        <w:t xml:space="preserve"> postgraduate research students</w:t>
      </w:r>
    </w:p>
    <w:p w:rsidR="00560D30" w:rsidRPr="00E16DCC"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Contribute to maintaining a collegial working atmosphere and stimulating research environment within the school</w:t>
      </w:r>
    </w:p>
    <w:p w:rsidR="00AE5CB3" w:rsidRPr="00A93E25" w:rsidRDefault="00132526" w:rsidP="00AE5CB3">
      <w:pPr>
        <w:pStyle w:val="ListParagraph"/>
        <w:autoSpaceDE w:val="0"/>
        <w:autoSpaceDN w:val="0"/>
        <w:adjustRightInd w:val="0"/>
        <w:spacing w:after="120" w:line="240" w:lineRule="auto"/>
        <w:ind w:left="0"/>
        <w:contextualSpacing w:val="0"/>
        <w:rPr>
          <w:rFonts w:cstheme="minorHAnsi"/>
          <w:b/>
          <w:szCs w:val="21"/>
        </w:rPr>
      </w:pPr>
      <w:r w:rsidRPr="00A93E25">
        <w:rPr>
          <w:rFonts w:cstheme="minorHAnsi"/>
          <w:b/>
          <w:szCs w:val="21"/>
        </w:rPr>
        <w:t>Teaching</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Prepare, review and deliver lectures, tutorials, practical classes, demonstrations, workshops, student field excursions, clinical sessions and/</w:t>
      </w:r>
      <w:r w:rsidR="00E16DCC">
        <w:rPr>
          <w:rFonts w:cstheme="minorHAnsi"/>
          <w:szCs w:val="21"/>
        </w:rPr>
        <w:t>or studio sessions and seminars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Act as unit coordinator in developing curriculum, course materials and learning activities for the undergraduate and postgraduate course/unit in which the academic teaches with advic</w:t>
      </w:r>
      <w:r w:rsidR="00E16DCC">
        <w:rPr>
          <w:rFonts w:cstheme="minorHAnsi"/>
          <w:szCs w:val="21"/>
        </w:rPr>
        <w:t>e and support from senior staff</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Undertake marking and assessment connected with unit</w:t>
      </w:r>
      <w:r w:rsidR="00E16DCC">
        <w:rPr>
          <w:rFonts w:cstheme="minorHAnsi"/>
          <w:szCs w:val="21"/>
        </w:rPr>
        <w:t>s in which the academic teaches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Provide feedback to students on their learnin</w:t>
      </w:r>
      <w:r w:rsidR="00E16DCC">
        <w:rPr>
          <w:rFonts w:cstheme="minorHAnsi"/>
          <w:szCs w:val="21"/>
        </w:rPr>
        <w:t>g through student consultations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Supervise the program of study of honours students enga</w:t>
      </w:r>
      <w:r w:rsidR="00E16DCC">
        <w:rPr>
          <w:rFonts w:cstheme="minorHAnsi"/>
          <w:szCs w:val="21"/>
        </w:rPr>
        <w:t>ged in course work</w:t>
      </w:r>
    </w:p>
    <w:p w:rsidR="00A93E25" w:rsidRPr="00E16DCC"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Undertake administrative responsibilities primarily connected with units in which the academic teaches including course review, admiss</w:t>
      </w:r>
      <w:r w:rsidR="00E16DCC">
        <w:rPr>
          <w:rFonts w:cstheme="minorHAnsi"/>
          <w:szCs w:val="21"/>
        </w:rPr>
        <w:t>ion and accreditation processes</w:t>
      </w:r>
    </w:p>
    <w:p w:rsidR="00AE5CB3" w:rsidRPr="00A93E25" w:rsidRDefault="00132526" w:rsidP="00AE5CB3">
      <w:pPr>
        <w:pStyle w:val="ListParagraph"/>
        <w:autoSpaceDE w:val="0"/>
        <w:autoSpaceDN w:val="0"/>
        <w:adjustRightInd w:val="0"/>
        <w:spacing w:after="120" w:line="240" w:lineRule="auto"/>
        <w:ind w:left="0"/>
        <w:contextualSpacing w:val="0"/>
        <w:rPr>
          <w:rFonts w:cstheme="minorHAnsi"/>
          <w:b/>
          <w:szCs w:val="21"/>
        </w:rPr>
      </w:pPr>
      <w:r w:rsidRPr="00A93E25">
        <w:rPr>
          <w:rFonts w:cstheme="minorHAnsi"/>
          <w:b/>
          <w:szCs w:val="21"/>
        </w:rPr>
        <w:t>Service</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Share in academic service responsibilities, including contributing to outcomes of the discipline and/or school meetings an</w:t>
      </w:r>
      <w:r w:rsidR="00E16DCC">
        <w:rPr>
          <w:rFonts w:cstheme="minorHAnsi"/>
          <w:szCs w:val="21"/>
        </w:rPr>
        <w:t>d/or internal campus committees</w:t>
      </w:r>
    </w:p>
    <w:p w:rsidR="00560D30"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Foster engagement with the profession, industry, profession</w:t>
      </w:r>
      <w:r w:rsidR="00E16DCC">
        <w:rPr>
          <w:rFonts w:cstheme="minorHAnsi"/>
          <w:szCs w:val="21"/>
        </w:rPr>
        <w:t>al bodies and general community</w:t>
      </w:r>
    </w:p>
    <w:p w:rsidR="006D0A4E" w:rsidRPr="00560D30" w:rsidRDefault="00560D30" w:rsidP="00E16DCC">
      <w:pPr>
        <w:pStyle w:val="ListParagraph"/>
        <w:numPr>
          <w:ilvl w:val="0"/>
          <w:numId w:val="10"/>
        </w:numPr>
        <w:tabs>
          <w:tab w:val="left" w:pos="397"/>
        </w:tabs>
        <w:autoSpaceDE w:val="0"/>
        <w:autoSpaceDN w:val="0"/>
        <w:adjustRightInd w:val="0"/>
        <w:snapToGrid w:val="0"/>
        <w:spacing w:after="120" w:line="240" w:lineRule="auto"/>
        <w:ind w:left="360"/>
        <w:contextualSpacing w:val="0"/>
        <w:rPr>
          <w:rFonts w:cstheme="minorHAnsi"/>
          <w:szCs w:val="21"/>
        </w:rPr>
      </w:pPr>
      <w:r w:rsidRPr="00560D30">
        <w:rPr>
          <w:rFonts w:cstheme="minorHAnsi"/>
          <w:szCs w:val="21"/>
        </w:rPr>
        <w:t xml:space="preserve">Contribute to the development of collaborative linkages with Malaysian and </w:t>
      </w:r>
      <w:r w:rsidR="00E16DCC">
        <w:rPr>
          <w:rFonts w:cstheme="minorHAnsi"/>
          <w:szCs w:val="21"/>
        </w:rPr>
        <w:t>regional agencies, institutions and industry</w:t>
      </w:r>
    </w:p>
    <w:p w:rsidR="007877F2" w:rsidRPr="007877F2" w:rsidRDefault="007877F2" w:rsidP="007877F2">
      <w:pPr>
        <w:pStyle w:val="Heading2"/>
      </w:pPr>
      <w:r w:rsidRPr="007877F2">
        <w:lastRenderedPageBreak/>
        <w:t>Key selection criteria</w:t>
      </w:r>
    </w:p>
    <w:p w:rsidR="00132526" w:rsidRPr="00E16DCC" w:rsidRDefault="00132526" w:rsidP="00E16DCC">
      <w:pPr>
        <w:keepNext/>
        <w:autoSpaceDE w:val="0"/>
        <w:autoSpaceDN w:val="0"/>
        <w:adjustRightInd w:val="0"/>
        <w:spacing w:after="120" w:line="240" w:lineRule="auto"/>
        <w:rPr>
          <w:rFonts w:cstheme="minorHAnsi"/>
          <w:b/>
          <w:bCs/>
          <w:szCs w:val="21"/>
        </w:rPr>
      </w:pPr>
      <w:r w:rsidRPr="00E16DCC">
        <w:rPr>
          <w:rFonts w:cstheme="minorHAnsi"/>
          <w:b/>
          <w:bCs/>
          <w:szCs w:val="21"/>
        </w:rPr>
        <w:t>E</w:t>
      </w:r>
      <w:r w:rsidR="002D1081" w:rsidRPr="00E16DCC">
        <w:rPr>
          <w:rFonts w:cstheme="minorHAnsi"/>
          <w:b/>
          <w:bCs/>
          <w:szCs w:val="21"/>
        </w:rPr>
        <w:t>ducation/Qualifications</w:t>
      </w:r>
    </w:p>
    <w:p w:rsidR="00560D30" w:rsidRDefault="00560D30" w:rsidP="00E16DCC">
      <w:pPr>
        <w:pStyle w:val="ListParagraph"/>
        <w:numPr>
          <w:ilvl w:val="0"/>
          <w:numId w:val="17"/>
        </w:numPr>
        <w:autoSpaceDE w:val="0"/>
        <w:autoSpaceDN w:val="0"/>
        <w:adjustRightInd w:val="0"/>
        <w:spacing w:after="120" w:line="240" w:lineRule="auto"/>
        <w:ind w:left="357" w:hanging="357"/>
        <w:contextualSpacing w:val="0"/>
      </w:pPr>
      <w:r>
        <w:t>The appointee will have:</w:t>
      </w:r>
    </w:p>
    <w:p w:rsidR="00577374" w:rsidRDefault="00560D30" w:rsidP="00577374">
      <w:pPr>
        <w:numPr>
          <w:ilvl w:val="0"/>
          <w:numId w:val="20"/>
        </w:numPr>
        <w:spacing w:after="0" w:line="240" w:lineRule="auto"/>
        <w:ind w:left="720"/>
        <w:rPr>
          <w:rFonts w:eastAsia="Times New Roman" w:cstheme="minorHAnsi"/>
          <w:color w:val="000000"/>
          <w:szCs w:val="21"/>
        </w:rPr>
      </w:pPr>
      <w:r w:rsidRPr="00E16DCC">
        <w:rPr>
          <w:rFonts w:cstheme="minorHAnsi"/>
          <w:szCs w:val="21"/>
          <w:lang w:val="en-US"/>
        </w:rPr>
        <w:t xml:space="preserve">A doctoral qualification </w:t>
      </w:r>
      <w:r w:rsidR="00577374">
        <w:rPr>
          <w:rFonts w:cstheme="minorHAnsi"/>
          <w:szCs w:val="21"/>
          <w:lang w:val="en-US"/>
        </w:rPr>
        <w:t>in the relevant discipline area</w:t>
      </w:r>
      <w:r w:rsidR="00E16DCC">
        <w:rPr>
          <w:rFonts w:cstheme="minorHAnsi"/>
          <w:szCs w:val="21"/>
          <w:lang w:val="en-US"/>
        </w:rPr>
        <w:t xml:space="preserve"> or</w:t>
      </w:r>
      <w:r w:rsidR="00577374">
        <w:rPr>
          <w:rFonts w:cstheme="minorHAnsi"/>
          <w:szCs w:val="21"/>
          <w:lang w:val="en-US"/>
        </w:rPr>
        <w:t xml:space="preserve"> </w:t>
      </w:r>
      <w:r w:rsidR="00577374" w:rsidRPr="002201F6">
        <w:rPr>
          <w:rFonts w:eastAsia="Times New Roman" w:cstheme="minorHAnsi"/>
          <w:color w:val="000000"/>
          <w:szCs w:val="21"/>
        </w:rPr>
        <w:t>or equivalent accreditation and standing</w:t>
      </w:r>
      <w:r w:rsidR="00577374">
        <w:rPr>
          <w:rFonts w:eastAsia="Times New Roman" w:cstheme="minorHAnsi"/>
          <w:color w:val="000000"/>
          <w:szCs w:val="21"/>
        </w:rPr>
        <w:t>; or</w:t>
      </w:r>
    </w:p>
    <w:p w:rsidR="00477D8F" w:rsidRPr="00577374" w:rsidRDefault="00577374" w:rsidP="00577374">
      <w:pPr>
        <w:numPr>
          <w:ilvl w:val="0"/>
          <w:numId w:val="20"/>
        </w:numPr>
        <w:spacing w:after="120" w:line="240" w:lineRule="auto"/>
        <w:ind w:left="714" w:hanging="357"/>
        <w:rPr>
          <w:rFonts w:eastAsia="Times New Roman" w:cstheme="minorHAnsi"/>
          <w:color w:val="000000"/>
          <w:szCs w:val="21"/>
        </w:rPr>
      </w:pPr>
      <w:r>
        <w:rPr>
          <w:rFonts w:cstheme="minorHAnsi"/>
          <w:szCs w:val="21"/>
        </w:rPr>
        <w:t xml:space="preserve">a </w:t>
      </w:r>
      <w:r w:rsidR="00477D8F" w:rsidRPr="00577374">
        <w:rPr>
          <w:rFonts w:cstheme="minorHAnsi"/>
          <w:szCs w:val="21"/>
          <w:lang w:val="en-US"/>
        </w:rPr>
        <w:t>registered pharmacist with</w:t>
      </w:r>
      <w:r w:rsidR="00E16DCC" w:rsidRPr="00577374">
        <w:rPr>
          <w:rFonts w:cstheme="minorHAnsi"/>
          <w:szCs w:val="21"/>
          <w:lang w:val="en-US"/>
        </w:rPr>
        <w:t xml:space="preserve"> the Pharmacy Board of Malaysia</w:t>
      </w:r>
    </w:p>
    <w:p w:rsidR="002D1081" w:rsidRPr="00E16DCC" w:rsidRDefault="002D1081" w:rsidP="00E16DCC">
      <w:pPr>
        <w:keepNext/>
        <w:autoSpaceDE w:val="0"/>
        <w:autoSpaceDN w:val="0"/>
        <w:adjustRightInd w:val="0"/>
        <w:spacing w:after="120" w:line="240" w:lineRule="auto"/>
        <w:rPr>
          <w:rFonts w:cstheme="minorHAnsi"/>
          <w:b/>
          <w:bCs/>
          <w:szCs w:val="21"/>
        </w:rPr>
      </w:pPr>
      <w:r w:rsidRPr="00E16DCC">
        <w:rPr>
          <w:rFonts w:cstheme="minorHAnsi"/>
          <w:b/>
          <w:bCs/>
          <w:szCs w:val="21"/>
        </w:rPr>
        <w:t>Knowledge and Skills</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A research agenda and a developing record of scholarly research and publications in the relevant discipline, preferably a clinical specialized area including but not limited to oncology, nephrology, psychiatry, acute care and emergency medicine.</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Demonstrated evidence of successful teaching in a r</w:t>
      </w:r>
      <w:r w:rsidR="00577374">
        <w:rPr>
          <w:rFonts w:cstheme="minorHAnsi"/>
          <w:szCs w:val="21"/>
        </w:rPr>
        <w:t>elevant field at tertiary level</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Demonstrated evidence of good oral a</w:t>
      </w:r>
      <w:r w:rsidR="00577374">
        <w:rPr>
          <w:rFonts w:cstheme="minorHAnsi"/>
          <w:szCs w:val="21"/>
        </w:rPr>
        <w:t>nd written communication skills</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Good interpersonal skills and demonstrated ability to work with students and staff from a diverse rang</w:t>
      </w:r>
      <w:r w:rsidR="00577374">
        <w:rPr>
          <w:rFonts w:cstheme="minorHAnsi"/>
          <w:szCs w:val="21"/>
        </w:rPr>
        <w:t>e of backgrounds</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 xml:space="preserve">Evidence of successfully attracting </w:t>
      </w:r>
      <w:r w:rsidR="00577374">
        <w:rPr>
          <w:rFonts w:cstheme="minorHAnsi"/>
          <w:szCs w:val="21"/>
        </w:rPr>
        <w:t>funding for research activities</w:t>
      </w:r>
    </w:p>
    <w:p w:rsidR="00560D30" w:rsidRPr="00577374" w:rsidRDefault="00560D30" w:rsidP="00577374">
      <w:pPr>
        <w:pStyle w:val="ListParagraph"/>
        <w:numPr>
          <w:ilvl w:val="0"/>
          <w:numId w:val="17"/>
        </w:numPr>
        <w:tabs>
          <w:tab w:val="left" w:pos="397"/>
        </w:tabs>
        <w:autoSpaceDE w:val="0"/>
        <w:autoSpaceDN w:val="0"/>
        <w:adjustRightInd w:val="0"/>
        <w:snapToGrid w:val="0"/>
        <w:spacing w:after="120" w:line="240" w:lineRule="auto"/>
        <w:contextualSpacing w:val="0"/>
        <w:rPr>
          <w:rFonts w:cstheme="minorHAnsi"/>
          <w:szCs w:val="21"/>
        </w:rPr>
      </w:pPr>
      <w:r w:rsidRPr="00577374">
        <w:rPr>
          <w:rFonts w:cstheme="minorHAnsi"/>
          <w:szCs w:val="21"/>
        </w:rPr>
        <w:t>Demonstrated evidence of the use of technology and innovation t</w:t>
      </w:r>
      <w:r w:rsidR="00577374">
        <w:rPr>
          <w:rFonts w:cstheme="minorHAnsi"/>
          <w:szCs w:val="21"/>
        </w:rPr>
        <w:t>o enhance teaching and research</w:t>
      </w:r>
    </w:p>
    <w:p w:rsidR="007877F2" w:rsidRPr="007877F2" w:rsidRDefault="007877F2" w:rsidP="007877F2">
      <w:pPr>
        <w:pStyle w:val="Heading2"/>
      </w:pPr>
      <w:r w:rsidRPr="007877F2">
        <w:t>Other job related information</w:t>
      </w:r>
    </w:p>
    <w:p w:rsidR="007877F2" w:rsidRPr="007877F2" w:rsidRDefault="007877F2" w:rsidP="007877F2">
      <w:pPr>
        <w:pStyle w:val="BodyText"/>
        <w:numPr>
          <w:ilvl w:val="0"/>
          <w:numId w:val="1"/>
        </w:numPr>
        <w:tabs>
          <w:tab w:val="left" w:pos="284"/>
        </w:tabs>
        <w:ind w:left="0" w:firstLine="0"/>
        <w:rPr>
          <w:rFonts w:cstheme="minorHAnsi"/>
          <w:color w:val="auto"/>
          <w:sz w:val="21"/>
          <w:szCs w:val="21"/>
        </w:rPr>
      </w:pPr>
      <w:r w:rsidRPr="007877F2">
        <w:rPr>
          <w:rFonts w:cstheme="minorHAnsi"/>
          <w:color w:val="auto"/>
          <w:sz w:val="21"/>
          <w:szCs w:val="21"/>
        </w:rPr>
        <w:t xml:space="preserve">Travel to other campuses of the University may be required </w:t>
      </w:r>
    </w:p>
    <w:p w:rsidR="007877F2" w:rsidRPr="007877F2" w:rsidRDefault="007877F2" w:rsidP="007877F2">
      <w:pPr>
        <w:pStyle w:val="BodyText"/>
        <w:numPr>
          <w:ilvl w:val="0"/>
          <w:numId w:val="1"/>
        </w:numPr>
        <w:tabs>
          <w:tab w:val="left" w:pos="284"/>
        </w:tabs>
        <w:ind w:left="0" w:firstLine="0"/>
        <w:rPr>
          <w:rFonts w:cstheme="minorHAnsi"/>
          <w:color w:val="auto"/>
          <w:sz w:val="21"/>
          <w:szCs w:val="21"/>
        </w:rPr>
      </w:pPr>
      <w:r w:rsidRPr="007877F2">
        <w:rPr>
          <w:rFonts w:cstheme="minorHAnsi"/>
          <w:color w:val="auto"/>
          <w:sz w:val="21"/>
          <w:szCs w:val="21"/>
        </w:rPr>
        <w:t>There</w:t>
      </w:r>
      <w:r w:rsidRPr="007877F2">
        <w:rPr>
          <w:rFonts w:cstheme="minorHAnsi"/>
          <w:color w:val="auto"/>
          <w:sz w:val="21"/>
          <w:szCs w:val="21"/>
          <w:lang w:val="en-AU"/>
        </w:rPr>
        <w:t xml:space="preserve"> may </w:t>
      </w:r>
      <w:r w:rsidRPr="007877F2">
        <w:rPr>
          <w:rFonts w:cstheme="minorHAnsi"/>
          <w:color w:val="auto"/>
          <w:sz w:val="21"/>
          <w:szCs w:val="21"/>
        </w:rPr>
        <w:t>be a requirement to work additional hours from time to time</w:t>
      </w:r>
    </w:p>
    <w:p w:rsidR="007877F2" w:rsidRPr="007877F2" w:rsidRDefault="007877F2" w:rsidP="007877F2">
      <w:pPr>
        <w:pStyle w:val="BodyText"/>
        <w:numPr>
          <w:ilvl w:val="0"/>
          <w:numId w:val="1"/>
        </w:numPr>
        <w:tabs>
          <w:tab w:val="left" w:pos="284"/>
        </w:tabs>
        <w:ind w:left="0" w:firstLine="0"/>
        <w:rPr>
          <w:rFonts w:cstheme="minorHAnsi"/>
          <w:color w:val="auto"/>
          <w:sz w:val="21"/>
          <w:szCs w:val="21"/>
        </w:rPr>
      </w:pPr>
      <w:r w:rsidRPr="007877F2">
        <w:rPr>
          <w:rFonts w:cstheme="minorHAnsi"/>
          <w:color w:val="auto"/>
          <w:sz w:val="21"/>
          <w:szCs w:val="21"/>
        </w:rPr>
        <w:t>There</w:t>
      </w:r>
      <w:r w:rsidRPr="007877F2">
        <w:rPr>
          <w:rFonts w:cstheme="minorHAnsi"/>
          <w:color w:val="auto"/>
          <w:sz w:val="21"/>
          <w:szCs w:val="21"/>
          <w:lang w:val="en-AU"/>
        </w:rPr>
        <w:t xml:space="preserve"> may </w:t>
      </w:r>
      <w:r w:rsidRPr="007877F2">
        <w:rPr>
          <w:rFonts w:cstheme="minorHAnsi"/>
          <w:color w:val="auto"/>
          <w:sz w:val="21"/>
          <w:szCs w:val="21"/>
        </w:rPr>
        <w:t xml:space="preserve">be </w:t>
      </w:r>
      <w:r w:rsidRPr="007877F2">
        <w:rPr>
          <w:rFonts w:cstheme="minorHAnsi"/>
          <w:color w:val="auto"/>
          <w:sz w:val="21"/>
          <w:szCs w:val="21"/>
          <w:lang w:val="en-AU"/>
        </w:rPr>
        <w:t>peak periods of work during which taking of leave may be restricted</w:t>
      </w:r>
    </w:p>
    <w:p w:rsidR="007877F2" w:rsidRPr="007877F2" w:rsidRDefault="007877F2" w:rsidP="007877F2">
      <w:pPr>
        <w:pStyle w:val="Heading2"/>
      </w:pPr>
      <w:r w:rsidRPr="007877F2">
        <w:t>Legal compliance</w:t>
      </w:r>
    </w:p>
    <w:p w:rsidR="007877F2" w:rsidRPr="00577374" w:rsidRDefault="00577374" w:rsidP="00577374">
      <w:pPr>
        <w:autoSpaceDE w:val="0"/>
        <w:autoSpaceDN w:val="0"/>
        <w:adjustRightInd w:val="0"/>
        <w:spacing w:after="120" w:line="240" w:lineRule="auto"/>
        <w:rPr>
          <w:rFonts w:cstheme="minorHAnsi"/>
          <w:szCs w:val="21"/>
        </w:rPr>
      </w:pPr>
      <w:r w:rsidRPr="007877F2">
        <w:rPr>
          <w:rFonts w:cstheme="minorHAnsi"/>
          <w:szCs w:val="21"/>
        </w:rPr>
        <w:t xml:space="preserve">Ensure you are aware of and adhere to legislation and University policy relevant to the duties undertaken, including: </w:t>
      </w:r>
      <w:r>
        <w:rPr>
          <w:rFonts w:cstheme="minorHAnsi"/>
          <w:szCs w:val="21"/>
        </w:rPr>
        <w:t xml:space="preserve">Ethics, </w:t>
      </w:r>
      <w:r w:rsidRPr="007877F2">
        <w:rPr>
          <w:rFonts w:cstheme="minorHAnsi"/>
          <w:szCs w:val="21"/>
        </w:rPr>
        <w:t>Equal Opportunity</w:t>
      </w:r>
      <w:r>
        <w:rPr>
          <w:rFonts w:cstheme="minorHAnsi"/>
          <w:szCs w:val="21"/>
        </w:rPr>
        <w:t>,</w:t>
      </w:r>
      <w:r w:rsidRPr="007877F2">
        <w:rPr>
          <w:rFonts w:cstheme="minorHAnsi"/>
          <w:szCs w:val="21"/>
        </w:rPr>
        <w:t xml:space="preserve"> Occupational Health and Safety</w:t>
      </w:r>
      <w:r>
        <w:rPr>
          <w:rFonts w:cstheme="minorHAnsi"/>
          <w:szCs w:val="21"/>
        </w:rPr>
        <w:t>,</w:t>
      </w:r>
      <w:r w:rsidRPr="007877F2">
        <w:rPr>
          <w:rFonts w:cstheme="minorHAnsi"/>
          <w:szCs w:val="21"/>
        </w:rPr>
        <w:t xml:space="preserve"> Conflict of Interest (including Conflict of Interest in Research)</w:t>
      </w:r>
      <w:r>
        <w:rPr>
          <w:rFonts w:cstheme="minorHAnsi"/>
          <w:szCs w:val="21"/>
        </w:rPr>
        <w:t>,</w:t>
      </w:r>
      <w:r w:rsidRPr="007877F2">
        <w:rPr>
          <w:rFonts w:cstheme="minorHAnsi"/>
          <w:szCs w:val="21"/>
        </w:rPr>
        <w:t xml:space="preserve"> Paid Outside Work</w:t>
      </w:r>
      <w:r>
        <w:rPr>
          <w:rFonts w:cstheme="minorHAnsi"/>
          <w:szCs w:val="21"/>
        </w:rPr>
        <w:t>,</w:t>
      </w:r>
      <w:r w:rsidRPr="007877F2">
        <w:rPr>
          <w:rFonts w:cstheme="minorHAnsi"/>
          <w:szCs w:val="21"/>
        </w:rPr>
        <w:t xml:space="preserve"> </w:t>
      </w:r>
      <w:r>
        <w:rPr>
          <w:rFonts w:cstheme="minorHAnsi"/>
          <w:szCs w:val="21"/>
        </w:rPr>
        <w:t>Personal Data Protection,</w:t>
      </w:r>
      <w:r w:rsidRPr="007877F2">
        <w:rPr>
          <w:rFonts w:cstheme="minorHAnsi"/>
          <w:szCs w:val="21"/>
        </w:rPr>
        <w:t xml:space="preserve"> </w:t>
      </w:r>
      <w:r>
        <w:rPr>
          <w:rFonts w:cstheme="minorHAnsi"/>
          <w:szCs w:val="21"/>
        </w:rPr>
        <w:t xml:space="preserve">Conduct of </w:t>
      </w:r>
      <w:r w:rsidRPr="007877F2">
        <w:rPr>
          <w:rFonts w:cstheme="minorHAnsi"/>
          <w:szCs w:val="21"/>
        </w:rPr>
        <w:t>Research</w:t>
      </w:r>
      <w:r>
        <w:rPr>
          <w:rFonts w:cstheme="minorHAnsi"/>
          <w:szCs w:val="21"/>
        </w:rPr>
        <w:t>,</w:t>
      </w:r>
      <w:r w:rsidRPr="007877F2">
        <w:rPr>
          <w:rFonts w:cstheme="minorHAnsi"/>
          <w:szCs w:val="21"/>
        </w:rPr>
        <w:t xml:space="preserve"> and Staff/Student Relationships.</w:t>
      </w:r>
      <w:r w:rsidR="007877F2" w:rsidRPr="007877F2">
        <w:rPr>
          <w:rFonts w:ascii="Arial" w:hAnsi="Arial" w:cs="Arial"/>
          <w:sz w:val="20"/>
          <w:szCs w:val="20"/>
        </w:rPr>
        <w:t> </w:t>
      </w:r>
    </w:p>
    <w:p w:rsidR="003E159F" w:rsidRPr="007877F2" w:rsidRDefault="009F6F41"/>
    <w:sectPr w:rsidR="003E159F" w:rsidRPr="007877F2" w:rsidSect="00F8343D">
      <w:footerReference w:type="default" r:id="rId9"/>
      <w:headerReference w:type="first" r:id="rId10"/>
      <w:footerReference w:type="first" r:id="rId11"/>
      <w:pgSz w:w="11909" w:h="16833"/>
      <w:pgMar w:top="1560" w:right="1134" w:bottom="1276"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00" w:rsidRDefault="00A40D00" w:rsidP="007877F2">
      <w:pPr>
        <w:spacing w:after="0" w:line="240" w:lineRule="auto"/>
      </w:pPr>
      <w:r>
        <w:separator/>
      </w:r>
    </w:p>
  </w:endnote>
  <w:endnote w:type="continuationSeparator" w:id="0">
    <w:p w:rsidR="00A40D00" w:rsidRDefault="00A40D00" w:rsidP="007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1F" w:rsidRDefault="007877F2">
    <w:pPr>
      <w:framePr w:wrap="auto" w:vAnchor="page" w:hAnchor="page" w:x="11306" w:y="16151"/>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3D" w:rsidRDefault="007877F2">
    <w:pPr>
      <w:pStyle w:val="Footer"/>
    </w:pPr>
    <w:r w:rsidRPr="007537EA">
      <w:rPr>
        <w:rFonts w:ascii="Arial" w:hAnsi="Arial" w:cs="Arial"/>
        <w:noProof/>
        <w:sz w:val="16"/>
        <w:szCs w:val="16"/>
      </w:rPr>
      <mc:AlternateContent>
        <mc:Choice Requires="wps">
          <w:drawing>
            <wp:anchor distT="45720" distB="45720" distL="114300" distR="114300" simplePos="0" relativeHeight="251660288" behindDoc="0" locked="0" layoutInCell="1" allowOverlap="1" wp14:anchorId="34CAE13A" wp14:editId="662F3E64">
              <wp:simplePos x="0" y="0"/>
              <wp:positionH relativeFrom="margin">
                <wp:align>right</wp:align>
              </wp:positionH>
              <wp:positionV relativeFrom="paragraph">
                <wp:posOffset>55245</wp:posOffset>
              </wp:positionV>
              <wp:extent cx="2370455" cy="2222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22250"/>
                      </a:xfrm>
                      <a:prstGeom prst="rect">
                        <a:avLst/>
                      </a:prstGeom>
                      <a:noFill/>
                      <a:ln w="9525">
                        <a:noFill/>
                        <a:miter lim="800000"/>
                        <a:headEnd/>
                        <a:tailEnd/>
                      </a:ln>
                    </wps:spPr>
                    <wps:txbx>
                      <w:txbxContent>
                        <w:p w:rsidR="00F8343D" w:rsidRPr="007877F2" w:rsidRDefault="007877F2" w:rsidP="00E16DCC">
                          <w:pPr>
                            <w:ind w:right="80"/>
                            <w:jc w:val="right"/>
                            <w:rPr>
                              <w:b/>
                              <w:bCs/>
                              <w:i/>
                              <w:iCs/>
                              <w:color w:val="AEAAAA" w:themeColor="background2" w:themeShade="BF"/>
                              <w:sz w:val="16"/>
                              <w:szCs w:val="16"/>
                            </w:rPr>
                          </w:pPr>
                          <w:r w:rsidRPr="007877F2">
                            <w:rPr>
                              <w:rFonts w:ascii="Arial" w:hAnsi="Arial" w:cs="Arial"/>
                              <w:i/>
                              <w:iCs/>
                              <w:color w:val="AEAAAA" w:themeColor="background2" w:themeShade="BF"/>
                              <w:sz w:val="16"/>
                              <w:szCs w:val="16"/>
                            </w:rPr>
                            <w:t xml:space="preserve">Modified date: </w:t>
                          </w:r>
                          <w:r w:rsidR="00E16DCC">
                            <w:rPr>
                              <w:rFonts w:ascii="Arial" w:hAnsi="Arial" w:cs="Arial"/>
                              <w:b/>
                              <w:bCs/>
                              <w:i/>
                              <w:iCs/>
                              <w:color w:val="AEAAAA" w:themeColor="background2" w:themeShade="BF"/>
                              <w:sz w:val="16"/>
                              <w:szCs w:val="16"/>
                            </w:rPr>
                            <w:t>December</w:t>
                          </w:r>
                          <w:r w:rsidRPr="007877F2">
                            <w:rPr>
                              <w:rFonts w:ascii="Arial" w:hAnsi="Arial" w:cs="Arial"/>
                              <w:b/>
                              <w:bCs/>
                              <w:i/>
                              <w:iCs/>
                              <w:color w:val="AEAAAA" w:themeColor="background2" w:themeShade="BF"/>
                              <w:sz w:val="16"/>
                              <w:szCs w:val="16"/>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AE13A" id="_x0000_t202" coordsize="21600,21600" o:spt="202" path="m,l,21600r21600,l21600,xe">
              <v:stroke joinstyle="miter"/>
              <v:path gradientshapeok="t" o:connecttype="rect"/>
            </v:shapetype>
            <v:shape id="Text Box 2" o:spid="_x0000_s1026" type="#_x0000_t202" style="position:absolute;margin-left:135.45pt;margin-top:4.35pt;width:186.65pt;height: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d2CwIAAPQDAAAOAAAAZHJzL2Uyb0RvYy54bWysU9tuGyEQfa/Uf0C817veeutkZRylSVNV&#10;Si9S0g/ALOtFBYYC9q779R1Yx7Gat6g8IIaZOcw5M6yuRqPJXvqgwDI6n5WUSCugVXbL6M/Hu3cX&#10;lITIbcs1WMnoQQZ6tX77ZjW4RlbQg26lJwhiQzM4RvsYXVMUQfTS8DADJy06O/CGRzT9tmg9HxDd&#10;6KIqyw/FAL51HoQMAW9vJyddZ/yukyJ+77ogI9GMYm0x7z7vm7QX6xVvtp67XoljGfwVVRiuLD56&#10;grrlkZOdVy+gjBIeAnRxJsAU0HVKyMwB2czLf9g89NzJzAXFCe4kU/h/sOLb/ocnqmW0mi8psdxg&#10;kx7lGMlHGEmV9BlcaDDswWFgHPEa+5y5BncP4lcgFm56brfy2nsYeslbrG+eMouz1AknJJDN8BVa&#10;fIbvImSgsfMmiYdyEETHPh1OvUmlCLys3i/LRV1TItBX4apz8wrePGU7H+JnCYakA6Mee5/R+f4+&#10;xFQNb55C0mMW7pTWuf/akoHRy7qqc8KZx6iI46mVYfSiTGsamETyk21zcuRKT2d8QNsj60R0ohzH&#10;zYiBSYoNtAfk72EaQ/w2eOjB/6FkwBFkNPzecS8p0V8sang5XyzSzGZjUS8rNPy5Z3Pu4VYgFKOR&#10;kul4E/OcT1yvUetOZRmeKznWiqOV1Tl+gzS753aOev6s678AAAD//wMAUEsDBBQABgAIAAAAIQDy&#10;y6Ut2gAAAAUBAAAPAAAAZHJzL2Rvd25yZXYueG1sTI/NTsMwEITvSLyDtUjcqA0ppIRsKgTiCmr5&#10;kbht420SEa+j2G3C22NOcBzNaOabcj27Xh15DJ0XhMuFAcVSe9tJg/D2+nSxAhUiiaXeCyN8c4B1&#10;dXpSUmH9JBs+bmOjUomEghDaGIdC61C37Cgs/MCSvL0fHcUkx0bbkaZU7np9ZcyNdtRJWmhp4IeW&#10;66/twSG8P+8/P5bmpXl018PkZ6PF3WrE87P5/g5U5Dn+heEXP6FDlZh2/iA2qB4hHYkIqxxUMrM8&#10;y0DtEJZZDroq9X/66gcAAP//AwBQSwECLQAUAAYACAAAACEAtoM4kv4AAADhAQAAEwAAAAAAAAAA&#10;AAAAAAAAAAAAW0NvbnRlbnRfVHlwZXNdLnhtbFBLAQItABQABgAIAAAAIQA4/SH/1gAAAJQBAAAL&#10;AAAAAAAAAAAAAAAAAC8BAABfcmVscy8ucmVsc1BLAQItABQABgAIAAAAIQCgPAd2CwIAAPQDAAAO&#10;AAAAAAAAAAAAAAAAAC4CAABkcnMvZTJvRG9jLnhtbFBLAQItABQABgAIAAAAIQDyy6Ut2gAAAAUB&#10;AAAPAAAAAAAAAAAAAAAAAGUEAABkcnMvZG93bnJldi54bWxQSwUGAAAAAAQABADzAAAAbAUAAAAA&#10;" filled="f" stroked="f">
              <v:textbox>
                <w:txbxContent>
                  <w:p w:rsidR="00F8343D" w:rsidRPr="007877F2" w:rsidRDefault="007877F2" w:rsidP="00E16DCC">
                    <w:pPr>
                      <w:ind w:right="80"/>
                      <w:jc w:val="right"/>
                      <w:rPr>
                        <w:b/>
                        <w:bCs/>
                        <w:i/>
                        <w:iCs/>
                        <w:color w:val="AEAAAA" w:themeColor="background2" w:themeShade="BF"/>
                        <w:sz w:val="16"/>
                        <w:szCs w:val="16"/>
                      </w:rPr>
                    </w:pPr>
                    <w:r w:rsidRPr="007877F2">
                      <w:rPr>
                        <w:rFonts w:ascii="Arial" w:hAnsi="Arial" w:cs="Arial"/>
                        <w:i/>
                        <w:iCs/>
                        <w:color w:val="AEAAAA" w:themeColor="background2" w:themeShade="BF"/>
                        <w:sz w:val="16"/>
                        <w:szCs w:val="16"/>
                      </w:rPr>
                      <w:t xml:space="preserve">Modified date: </w:t>
                    </w:r>
                    <w:r w:rsidR="00E16DCC">
                      <w:rPr>
                        <w:rFonts w:ascii="Arial" w:hAnsi="Arial" w:cs="Arial"/>
                        <w:b/>
                        <w:bCs/>
                        <w:i/>
                        <w:iCs/>
                        <w:color w:val="AEAAAA" w:themeColor="background2" w:themeShade="BF"/>
                        <w:sz w:val="16"/>
                        <w:szCs w:val="16"/>
                      </w:rPr>
                      <w:t>December</w:t>
                    </w:r>
                    <w:r w:rsidRPr="007877F2">
                      <w:rPr>
                        <w:rFonts w:ascii="Arial" w:hAnsi="Arial" w:cs="Arial"/>
                        <w:b/>
                        <w:bCs/>
                        <w:i/>
                        <w:iCs/>
                        <w:color w:val="AEAAAA" w:themeColor="background2" w:themeShade="BF"/>
                        <w:sz w:val="16"/>
                        <w:szCs w:val="16"/>
                      </w:rPr>
                      <w:t xml:space="preserve"> 2018</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00" w:rsidRDefault="00A40D00" w:rsidP="007877F2">
      <w:pPr>
        <w:spacing w:after="0" w:line="240" w:lineRule="auto"/>
      </w:pPr>
      <w:r>
        <w:separator/>
      </w:r>
    </w:p>
  </w:footnote>
  <w:footnote w:type="continuationSeparator" w:id="0">
    <w:p w:rsidR="00A40D00" w:rsidRDefault="00A40D00" w:rsidP="0078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43D" w:rsidRDefault="007877F2">
    <w:pPr>
      <w:pStyle w:val="Header"/>
    </w:pPr>
    <w:r w:rsidRPr="00192E1D">
      <w:rPr>
        <w:rFonts w:ascii="Arial Narrow" w:hAnsi="Arial Narrow"/>
        <w:noProof/>
      </w:rPr>
      <w:drawing>
        <wp:anchor distT="0" distB="0" distL="114300" distR="114300" simplePos="0" relativeHeight="251659264" behindDoc="0" locked="0" layoutInCell="1" allowOverlap="1" wp14:anchorId="2A384F79" wp14:editId="4D4D97F1">
          <wp:simplePos x="0" y="0"/>
          <wp:positionH relativeFrom="page">
            <wp:posOffset>-19050</wp:posOffset>
          </wp:positionH>
          <wp:positionV relativeFrom="paragraph">
            <wp:posOffset>-476250</wp:posOffset>
          </wp:positionV>
          <wp:extent cx="7643775" cy="2112942"/>
          <wp:effectExtent l="0" t="0" r="0" b="1905"/>
          <wp:wrapNone/>
          <wp:docPr id="15" name="Picture 15" descr="C:\Users\jmckenzi\AppData\Local\Microsoft\Windows\Temporary Internet Files\Content.IE5\B894F2HU\HR-Recruitment-Rebranding-position-description-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kenzi\AppData\Local\Microsoft\Windows\Temporary Internet Files\Content.IE5\B894F2HU\HR-Recruitment-Rebranding-position-description-word-templa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3775" cy="21129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FFB"/>
    <w:multiLevelType w:val="hybridMultilevel"/>
    <w:tmpl w:val="547444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6D61AA"/>
    <w:multiLevelType w:val="hybridMultilevel"/>
    <w:tmpl w:val="FB5EC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73185A"/>
    <w:multiLevelType w:val="hybridMultilevel"/>
    <w:tmpl w:val="EB941BD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80D3A2D"/>
    <w:multiLevelType w:val="hybridMultilevel"/>
    <w:tmpl w:val="3960A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8F1FE1"/>
    <w:multiLevelType w:val="hybridMultilevel"/>
    <w:tmpl w:val="4EC2DECE"/>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34072788"/>
    <w:multiLevelType w:val="hybridMultilevel"/>
    <w:tmpl w:val="06ECF000"/>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0DB51FB"/>
    <w:multiLevelType w:val="hybridMultilevel"/>
    <w:tmpl w:val="96D63C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B27C02"/>
    <w:multiLevelType w:val="hybridMultilevel"/>
    <w:tmpl w:val="1486DE06"/>
    <w:lvl w:ilvl="0" w:tplc="093A5240">
      <w:start w:val="2"/>
      <w:numFmt w:val="decimal"/>
      <w:lvlText w:val="%1."/>
      <w:lvlJc w:val="left"/>
      <w:pPr>
        <w:ind w:left="36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81D4E"/>
    <w:multiLevelType w:val="hybridMultilevel"/>
    <w:tmpl w:val="84E23650"/>
    <w:lvl w:ilvl="0" w:tplc="14DA69A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67F444A"/>
    <w:multiLevelType w:val="hybridMultilevel"/>
    <w:tmpl w:val="30B265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C75772"/>
    <w:multiLevelType w:val="hybridMultilevel"/>
    <w:tmpl w:val="CE8A1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546586"/>
    <w:multiLevelType w:val="hybridMultilevel"/>
    <w:tmpl w:val="4D644414"/>
    <w:lvl w:ilvl="0" w:tplc="19645BEE">
      <w:start w:val="1"/>
      <w:numFmt w:val="bullet"/>
      <w:pStyle w:val="Bulletsgrey"/>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05153"/>
    <w:multiLevelType w:val="hybridMultilevel"/>
    <w:tmpl w:val="437C5784"/>
    <w:lvl w:ilvl="0" w:tplc="C5027B64">
      <w:start w:val="1"/>
      <w:numFmt w:val="decimal"/>
      <w:lvlText w:val="%1."/>
      <w:lvlJc w:val="left"/>
      <w:pPr>
        <w:ind w:left="360" w:hanging="360"/>
      </w:pPr>
      <w:rPr>
        <w:rFonts w:hint="default"/>
        <w:b/>
        <w:bCs/>
      </w:r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5D2770C5"/>
    <w:multiLevelType w:val="multilevel"/>
    <w:tmpl w:val="F0C65F6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63F45B60"/>
    <w:multiLevelType w:val="multilevel"/>
    <w:tmpl w:val="5FB62F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6D9C482F"/>
    <w:multiLevelType w:val="hybridMultilevel"/>
    <w:tmpl w:val="CFE05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BE6117"/>
    <w:multiLevelType w:val="hybridMultilevel"/>
    <w:tmpl w:val="CE26FF3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742E6790"/>
    <w:multiLevelType w:val="hybridMultilevel"/>
    <w:tmpl w:val="CA6ADEF6"/>
    <w:lvl w:ilvl="0" w:tplc="3F4A651E">
      <w:start w:val="1"/>
      <w:numFmt w:val="decimal"/>
      <w:lvlText w:val="%1."/>
      <w:lvlJc w:val="left"/>
      <w:pPr>
        <w:ind w:left="360" w:hanging="360"/>
      </w:pPr>
      <w:rPr>
        <w:b/>
        <w:bCs/>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B3D2C78"/>
    <w:multiLevelType w:val="multilevel"/>
    <w:tmpl w:val="8BF6E9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7DCF5483"/>
    <w:multiLevelType w:val="hybridMultilevel"/>
    <w:tmpl w:val="D7C6597C"/>
    <w:lvl w:ilvl="0" w:tplc="632872C2">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7"/>
  </w:num>
  <w:num w:numId="3">
    <w:abstractNumId w:val="19"/>
  </w:num>
  <w:num w:numId="4">
    <w:abstractNumId w:val="7"/>
  </w:num>
  <w:num w:numId="5">
    <w:abstractNumId w:val="4"/>
  </w:num>
  <w:num w:numId="6">
    <w:abstractNumId w:val="2"/>
  </w:num>
  <w:num w:numId="7">
    <w:abstractNumId w:val="18"/>
  </w:num>
  <w:num w:numId="8">
    <w:abstractNumId w:val="14"/>
  </w:num>
  <w:num w:numId="9">
    <w:abstractNumId w:val="13"/>
  </w:num>
  <w:num w:numId="10">
    <w:abstractNumId w:val="8"/>
  </w:num>
  <w:num w:numId="11">
    <w:abstractNumId w:val="10"/>
  </w:num>
  <w:num w:numId="12">
    <w:abstractNumId w:val="15"/>
  </w:num>
  <w:num w:numId="13">
    <w:abstractNumId w:val="3"/>
  </w:num>
  <w:num w:numId="14">
    <w:abstractNumId w:val="11"/>
  </w:num>
  <w:num w:numId="15">
    <w:abstractNumId w:val="6"/>
  </w:num>
  <w:num w:numId="16">
    <w:abstractNumId w:val="16"/>
  </w:num>
  <w:num w:numId="17">
    <w:abstractNumId w:val="12"/>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F2"/>
    <w:rsid w:val="000601DA"/>
    <w:rsid w:val="00132526"/>
    <w:rsid w:val="001B1C12"/>
    <w:rsid w:val="002D1081"/>
    <w:rsid w:val="00450B58"/>
    <w:rsid w:val="00475277"/>
    <w:rsid w:val="00477D8F"/>
    <w:rsid w:val="004C5691"/>
    <w:rsid w:val="00560D30"/>
    <w:rsid w:val="00577374"/>
    <w:rsid w:val="006D0A4E"/>
    <w:rsid w:val="007877F2"/>
    <w:rsid w:val="00922291"/>
    <w:rsid w:val="009C6288"/>
    <w:rsid w:val="00A00BBB"/>
    <w:rsid w:val="00A21AF8"/>
    <w:rsid w:val="00A40D00"/>
    <w:rsid w:val="00A93E25"/>
    <w:rsid w:val="00AE5CB3"/>
    <w:rsid w:val="00B034F9"/>
    <w:rsid w:val="00BD6E20"/>
    <w:rsid w:val="00C90FFF"/>
    <w:rsid w:val="00D27617"/>
    <w:rsid w:val="00D43FF9"/>
    <w:rsid w:val="00E16DCC"/>
    <w:rsid w:val="00EA73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C9DC347-3AFD-46E0-9AD0-8611651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F2"/>
    <w:rPr>
      <w:sz w:val="21"/>
    </w:rPr>
  </w:style>
  <w:style w:type="paragraph" w:styleId="Heading1">
    <w:name w:val="heading 1"/>
    <w:basedOn w:val="Normal"/>
    <w:next w:val="Normal"/>
    <w:link w:val="Heading1Char"/>
    <w:uiPriority w:val="9"/>
    <w:qFormat/>
    <w:rsid w:val="00132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77F2"/>
    <w:pPr>
      <w:keepNext/>
      <w:keepLines/>
      <w:pBdr>
        <w:bottom w:val="single" w:sz="8" w:space="1" w:color="auto"/>
      </w:pBdr>
      <w:spacing w:before="100" w:after="80" w:line="600" w:lineRule="atLeast"/>
      <w:outlineLvl w:val="1"/>
    </w:pPr>
    <w:rPr>
      <w:rFonts w:ascii="Calibri" w:eastAsiaTheme="majorEastAsia" w:hAnsi="Calibri"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7F2"/>
    <w:rPr>
      <w:rFonts w:ascii="Calibri" w:eastAsiaTheme="majorEastAsia" w:hAnsi="Calibri" w:cstheme="majorBidi"/>
      <w:b/>
      <w:caps/>
      <w:sz w:val="28"/>
      <w:szCs w:val="26"/>
    </w:rPr>
  </w:style>
  <w:style w:type="paragraph" w:styleId="ListParagraph">
    <w:name w:val="List Paragraph"/>
    <w:basedOn w:val="Normal"/>
    <w:link w:val="ListParagraphChar"/>
    <w:uiPriority w:val="34"/>
    <w:qFormat/>
    <w:rsid w:val="007877F2"/>
    <w:pPr>
      <w:ind w:left="720"/>
      <w:contextualSpacing/>
    </w:pPr>
  </w:style>
  <w:style w:type="character" w:styleId="Hyperlink">
    <w:name w:val="Hyperlink"/>
    <w:basedOn w:val="DefaultParagraphFont"/>
    <w:uiPriority w:val="99"/>
    <w:unhideWhenUsed/>
    <w:rsid w:val="007877F2"/>
    <w:rPr>
      <w:color w:val="0563C1" w:themeColor="hyperlink"/>
      <w:u w:val="single"/>
    </w:rPr>
  </w:style>
  <w:style w:type="paragraph" w:customStyle="1" w:styleId="BodyText">
    <w:name w:val="BodyText"/>
    <w:basedOn w:val="BodyText0"/>
    <w:next w:val="BodyText0"/>
    <w:qFormat/>
    <w:rsid w:val="007877F2"/>
    <w:pPr>
      <w:spacing w:after="0" w:line="240" w:lineRule="auto"/>
    </w:pPr>
    <w:rPr>
      <w:rFonts w:eastAsia="Cambria" w:cs="Times New Roman"/>
      <w:color w:val="000000"/>
      <w:sz w:val="20"/>
      <w:szCs w:val="24"/>
      <w:lang w:val="x-none" w:eastAsia="x-none"/>
    </w:rPr>
  </w:style>
  <w:style w:type="character" w:customStyle="1" w:styleId="ListParagraphChar">
    <w:name w:val="List Paragraph Char"/>
    <w:basedOn w:val="DefaultParagraphFont"/>
    <w:link w:val="ListParagraph"/>
    <w:uiPriority w:val="34"/>
    <w:rsid w:val="007877F2"/>
    <w:rPr>
      <w:sz w:val="21"/>
    </w:rPr>
  </w:style>
  <w:style w:type="paragraph" w:styleId="Header">
    <w:name w:val="header"/>
    <w:basedOn w:val="Normal"/>
    <w:link w:val="HeaderChar"/>
    <w:uiPriority w:val="99"/>
    <w:unhideWhenUsed/>
    <w:rsid w:val="0078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7F2"/>
    <w:rPr>
      <w:sz w:val="21"/>
    </w:rPr>
  </w:style>
  <w:style w:type="paragraph" w:styleId="Footer">
    <w:name w:val="footer"/>
    <w:basedOn w:val="Normal"/>
    <w:link w:val="FooterChar"/>
    <w:uiPriority w:val="99"/>
    <w:unhideWhenUsed/>
    <w:rsid w:val="0078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7F2"/>
    <w:rPr>
      <w:sz w:val="21"/>
    </w:rPr>
  </w:style>
  <w:style w:type="paragraph" w:styleId="Title">
    <w:name w:val="Title"/>
    <w:basedOn w:val="Normal"/>
    <w:next w:val="Normal"/>
    <w:link w:val="TitleChar"/>
    <w:uiPriority w:val="10"/>
    <w:qFormat/>
    <w:rsid w:val="007877F2"/>
    <w:pPr>
      <w:spacing w:before="160" w:after="260" w:line="240" w:lineRule="auto"/>
      <w:contextualSpacing/>
    </w:pPr>
    <w:rPr>
      <w:rFonts w:ascii="Calibri" w:hAnsi="Calibri"/>
      <w:b/>
      <w:bCs/>
      <w:caps/>
      <w:spacing w:val="-10"/>
      <w:kern w:val="28"/>
      <w:sz w:val="53"/>
      <w:szCs w:val="56"/>
    </w:rPr>
  </w:style>
  <w:style w:type="character" w:customStyle="1" w:styleId="TitleChar">
    <w:name w:val="Title Char"/>
    <w:basedOn w:val="DefaultParagraphFont"/>
    <w:link w:val="Title"/>
    <w:uiPriority w:val="10"/>
    <w:rsid w:val="007877F2"/>
    <w:rPr>
      <w:rFonts w:ascii="Calibri" w:hAnsi="Calibri"/>
      <w:b/>
      <w:bCs/>
      <w:caps/>
      <w:spacing w:val="-10"/>
      <w:kern w:val="28"/>
      <w:sz w:val="53"/>
      <w:szCs w:val="56"/>
    </w:rPr>
  </w:style>
  <w:style w:type="paragraph" w:styleId="BodyText0">
    <w:name w:val="Body Text"/>
    <w:basedOn w:val="Normal"/>
    <w:link w:val="BodyTextChar"/>
    <w:uiPriority w:val="99"/>
    <w:semiHidden/>
    <w:unhideWhenUsed/>
    <w:rsid w:val="007877F2"/>
    <w:pPr>
      <w:spacing w:after="120"/>
    </w:pPr>
  </w:style>
  <w:style w:type="character" w:customStyle="1" w:styleId="BodyTextChar">
    <w:name w:val="Body Text Char"/>
    <w:basedOn w:val="DefaultParagraphFont"/>
    <w:link w:val="BodyText0"/>
    <w:uiPriority w:val="99"/>
    <w:semiHidden/>
    <w:rsid w:val="007877F2"/>
    <w:rPr>
      <w:sz w:val="21"/>
    </w:rPr>
  </w:style>
  <w:style w:type="character" w:customStyle="1" w:styleId="Heading1Char">
    <w:name w:val="Heading 1 Char"/>
    <w:basedOn w:val="DefaultParagraphFont"/>
    <w:link w:val="Heading1"/>
    <w:uiPriority w:val="9"/>
    <w:rsid w:val="0013252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D0A4E"/>
    <w:pPr>
      <w:spacing w:after="0" w:line="240" w:lineRule="auto"/>
    </w:pPr>
    <w:rPr>
      <w:sz w:val="21"/>
    </w:rPr>
  </w:style>
  <w:style w:type="paragraph" w:customStyle="1" w:styleId="Bulletsgrey">
    <w:name w:val="Bullets grey"/>
    <w:basedOn w:val="Normal"/>
    <w:qFormat/>
    <w:rsid w:val="006D0A4E"/>
    <w:pPr>
      <w:numPr>
        <w:numId w:val="14"/>
      </w:numPr>
      <w:spacing w:after="120" w:line="240" w:lineRule="auto"/>
    </w:pPr>
    <w:rPr>
      <w:rFonts w:ascii="Arial" w:eastAsia="Cambria" w:hAnsi="Arial" w:cs="Arial"/>
      <w:color w:val="808080"/>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monash.edu.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ash.edu.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Clarke</dc:creator>
  <cp:keywords/>
  <dc:description/>
  <cp:lastModifiedBy>Kayla Bucello</cp:lastModifiedBy>
  <cp:revision>2</cp:revision>
  <dcterms:created xsi:type="dcterms:W3CDTF">2018-12-06T00:51:00Z</dcterms:created>
  <dcterms:modified xsi:type="dcterms:W3CDTF">2018-12-06T00:51:00Z</dcterms:modified>
</cp:coreProperties>
</file>