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755C4">
      <w:pPr>
        <w:pStyle w:val="TasGovDepartmentName"/>
      </w:pPr>
      <w:r w:rsidRPr="007B65A4">
        <w:t>DEPARTMENT OF HEALTH</w:t>
      </w:r>
    </w:p>
    <w:p w14:paraId="11F14877" w14:textId="65977B89" w:rsidR="004B1E48" w:rsidRPr="00562FA9" w:rsidRDefault="00E91AB6" w:rsidP="007755C4">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7755C4">
            <w:pPr>
              <w:rPr>
                <w:b/>
                <w:bCs/>
              </w:rPr>
            </w:pPr>
            <w:r w:rsidRPr="00405739">
              <w:rPr>
                <w:b/>
                <w:bCs/>
              </w:rPr>
              <w:t xml:space="preserve">Position Title: </w:t>
            </w:r>
          </w:p>
        </w:tc>
        <w:tc>
          <w:tcPr>
            <w:tcW w:w="7438" w:type="dxa"/>
          </w:tcPr>
          <w:p w14:paraId="6EFA568F" w14:textId="2992ADAD" w:rsidR="003C0450" w:rsidRPr="007708FA" w:rsidRDefault="00AB1F6A" w:rsidP="007755C4">
            <w:pPr>
              <w:rPr>
                <w:rFonts w:ascii="Gill Sans MT" w:hAnsi="Gill Sans MT" w:cs="Gill Sans"/>
              </w:rPr>
            </w:pPr>
            <w:r w:rsidRPr="002B43CF">
              <w:rPr>
                <w:rStyle w:val="InformationBlockChar"/>
                <w:rFonts w:eastAsiaTheme="majorEastAsia"/>
                <w:b w:val="0"/>
              </w:rPr>
              <w:t xml:space="preserve">Senior Orthoptist </w:t>
            </w:r>
          </w:p>
        </w:tc>
      </w:tr>
      <w:tr w:rsidR="003C0450" w:rsidRPr="007708FA" w14:paraId="2E887702" w14:textId="77777777" w:rsidTr="008B7413">
        <w:tc>
          <w:tcPr>
            <w:tcW w:w="2802" w:type="dxa"/>
          </w:tcPr>
          <w:p w14:paraId="30C627FC" w14:textId="77777777" w:rsidR="003C0450" w:rsidRPr="00405739" w:rsidRDefault="003C0450" w:rsidP="007755C4">
            <w:pPr>
              <w:rPr>
                <w:b/>
                <w:bCs/>
              </w:rPr>
            </w:pPr>
            <w:r w:rsidRPr="00405739">
              <w:rPr>
                <w:b/>
                <w:bCs/>
              </w:rPr>
              <w:t>Position Number:</w:t>
            </w:r>
          </w:p>
        </w:tc>
        <w:tc>
          <w:tcPr>
            <w:tcW w:w="7438" w:type="dxa"/>
          </w:tcPr>
          <w:p w14:paraId="3CF8C41E" w14:textId="49536209" w:rsidR="003C0450" w:rsidRPr="007708FA" w:rsidRDefault="00AB1F6A" w:rsidP="007755C4">
            <w:pPr>
              <w:rPr>
                <w:rFonts w:ascii="Gill Sans MT" w:hAnsi="Gill Sans MT" w:cs="Gill Sans"/>
              </w:rPr>
            </w:pPr>
            <w:r w:rsidRPr="002B43CF">
              <w:rPr>
                <w:rFonts w:cs="Arial"/>
                <w:bCs/>
                <w:iCs/>
                <w:kern w:val="36"/>
                <w:lang w:eastAsia="en-AU"/>
              </w:rPr>
              <w:t>508903</w:t>
            </w:r>
          </w:p>
        </w:tc>
      </w:tr>
      <w:tr w:rsidR="003C0450" w:rsidRPr="007708FA" w14:paraId="0C1FC87E" w14:textId="77777777" w:rsidTr="008B7413">
        <w:trPr>
          <w:trHeight w:val="406"/>
        </w:trPr>
        <w:tc>
          <w:tcPr>
            <w:tcW w:w="2802" w:type="dxa"/>
          </w:tcPr>
          <w:p w14:paraId="444A65D6" w14:textId="77777777" w:rsidR="003C0450" w:rsidRPr="00405739" w:rsidRDefault="003C0450" w:rsidP="007755C4">
            <w:pPr>
              <w:rPr>
                <w:b/>
                <w:bCs/>
              </w:rPr>
            </w:pPr>
            <w:r w:rsidRPr="00405739">
              <w:rPr>
                <w:b/>
                <w:bCs/>
              </w:rPr>
              <w:t xml:space="preserve">Classification: </w:t>
            </w:r>
          </w:p>
        </w:tc>
        <w:tc>
          <w:tcPr>
            <w:tcW w:w="7438" w:type="dxa"/>
          </w:tcPr>
          <w:p w14:paraId="7531A1F9" w14:textId="2A26FC56" w:rsidR="003C0450" w:rsidRPr="007708FA" w:rsidRDefault="006E616D" w:rsidP="007755C4">
            <w:pPr>
              <w:rPr>
                <w:rFonts w:ascii="Gill Sans MT" w:hAnsi="Gill Sans MT" w:cs="Gill Sans"/>
              </w:rPr>
            </w:pPr>
            <w:r>
              <w:rPr>
                <w:rFonts w:cs="Arial"/>
                <w:kern w:val="36"/>
                <w:lang w:eastAsia="en-AU"/>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7755C4">
            <w:pPr>
              <w:rPr>
                <w:b/>
                <w:bCs/>
              </w:rPr>
            </w:pPr>
            <w:r w:rsidRPr="00405739">
              <w:rPr>
                <w:b/>
                <w:bCs/>
              </w:rPr>
              <w:t xml:space="preserve">Award/Agreement: </w:t>
            </w:r>
          </w:p>
        </w:tc>
        <w:tc>
          <w:tcPr>
            <w:tcW w:w="7438" w:type="dxa"/>
          </w:tcPr>
          <w:p w14:paraId="5AC500D9" w14:textId="284AF162" w:rsidR="003C0450" w:rsidRPr="007708FA" w:rsidRDefault="008E77FA" w:rsidP="007755C4">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6E616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7755C4">
            <w:pPr>
              <w:rPr>
                <w:b/>
                <w:bCs/>
              </w:rPr>
            </w:pPr>
            <w:r w:rsidRPr="00405739">
              <w:rPr>
                <w:b/>
                <w:bCs/>
              </w:rPr>
              <w:t>Group/Section</w:t>
            </w:r>
            <w:r w:rsidR="003C0450" w:rsidRPr="00405739">
              <w:rPr>
                <w:b/>
                <w:bCs/>
              </w:rPr>
              <w:t>:</w:t>
            </w:r>
          </w:p>
        </w:tc>
        <w:tc>
          <w:tcPr>
            <w:tcW w:w="7438" w:type="dxa"/>
          </w:tcPr>
          <w:p w14:paraId="2D651CA8" w14:textId="3616C85E" w:rsidR="003C0450" w:rsidRPr="006E616D" w:rsidRDefault="006E616D" w:rsidP="007755C4">
            <w:pPr>
              <w:rPr>
                <w:rFonts w:ascii="Gill Sans MT" w:hAnsi="Gill Sans MT" w:cs="Gill Sans"/>
                <w:b/>
              </w:rPr>
            </w:pPr>
            <w:r w:rsidRPr="006E616D">
              <w:rPr>
                <w:rStyle w:val="InformationBlockChar"/>
                <w:rFonts w:eastAsiaTheme="minorHAnsi"/>
                <w:b w:val="0"/>
              </w:rPr>
              <w:t>Hospitals South</w:t>
            </w:r>
            <w:r w:rsidR="007755C4">
              <w:rPr>
                <w:rStyle w:val="InformationBlockChar"/>
                <w:rFonts w:eastAsiaTheme="minorHAnsi"/>
                <w:b w:val="0"/>
              </w:rPr>
              <w:t xml:space="preserve"> - Surgical and Perioperative Services</w:t>
            </w:r>
          </w:p>
        </w:tc>
      </w:tr>
      <w:tr w:rsidR="003C0450" w:rsidRPr="007708FA" w14:paraId="3B8D1731" w14:textId="77777777" w:rsidTr="008B7413">
        <w:tc>
          <w:tcPr>
            <w:tcW w:w="2802" w:type="dxa"/>
          </w:tcPr>
          <w:p w14:paraId="4975F7C1" w14:textId="77777777" w:rsidR="003C0450" w:rsidRPr="00727CD6" w:rsidRDefault="003C0450" w:rsidP="007755C4">
            <w:pPr>
              <w:rPr>
                <w:b/>
                <w:bCs/>
              </w:rPr>
            </w:pPr>
            <w:r w:rsidRPr="00727CD6">
              <w:rPr>
                <w:b/>
                <w:bCs/>
              </w:rPr>
              <w:t xml:space="preserve">Position Type: </w:t>
            </w:r>
          </w:p>
        </w:tc>
        <w:tc>
          <w:tcPr>
            <w:tcW w:w="7438" w:type="dxa"/>
          </w:tcPr>
          <w:p w14:paraId="4DAE8765" w14:textId="15A5C9D5" w:rsidR="003C0450" w:rsidRPr="00727CD6" w:rsidRDefault="008E77FA" w:rsidP="007755C4">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8405A3">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7755C4">
            <w:pPr>
              <w:rPr>
                <w:b/>
                <w:bCs/>
              </w:rPr>
            </w:pPr>
            <w:r w:rsidRPr="00727CD6">
              <w:rPr>
                <w:b/>
                <w:bCs/>
              </w:rPr>
              <w:t xml:space="preserve">Location: </w:t>
            </w:r>
          </w:p>
        </w:tc>
        <w:tc>
          <w:tcPr>
            <w:tcW w:w="7438" w:type="dxa"/>
          </w:tcPr>
          <w:p w14:paraId="041351CF" w14:textId="31515340" w:rsidR="003C0450" w:rsidRPr="00727CD6" w:rsidRDefault="008E77FA" w:rsidP="007755C4">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E616D">
                  <w:t>South</w:t>
                </w:r>
              </w:sdtContent>
            </w:sdt>
          </w:p>
        </w:tc>
      </w:tr>
      <w:tr w:rsidR="003C0450" w:rsidRPr="007708FA" w14:paraId="585024CF" w14:textId="77777777" w:rsidTr="008B7413">
        <w:tc>
          <w:tcPr>
            <w:tcW w:w="2802" w:type="dxa"/>
          </w:tcPr>
          <w:p w14:paraId="5ACF00D9" w14:textId="77777777" w:rsidR="003C0450" w:rsidRPr="00727CD6" w:rsidRDefault="003C0450" w:rsidP="007755C4">
            <w:pPr>
              <w:rPr>
                <w:b/>
                <w:bCs/>
              </w:rPr>
            </w:pPr>
            <w:r w:rsidRPr="00727CD6">
              <w:rPr>
                <w:b/>
                <w:bCs/>
              </w:rPr>
              <w:t xml:space="preserve">Reports to: </w:t>
            </w:r>
          </w:p>
        </w:tc>
        <w:tc>
          <w:tcPr>
            <w:tcW w:w="7438" w:type="dxa"/>
          </w:tcPr>
          <w:p w14:paraId="52606D5B" w14:textId="34CA4CFF" w:rsidR="003C0450" w:rsidRPr="00727CD6" w:rsidRDefault="00AB1F6A" w:rsidP="007755C4">
            <w:pPr>
              <w:rPr>
                <w:rFonts w:ascii="Gill Sans MT" w:hAnsi="Gill Sans MT" w:cs="Gill Sans"/>
              </w:rPr>
            </w:pPr>
            <w:r w:rsidRPr="002B43CF">
              <w:rPr>
                <w:rStyle w:val="InformationBlockChar"/>
                <w:rFonts w:eastAsiaTheme="majorEastAsia"/>
                <w:b w:val="0"/>
              </w:rPr>
              <w:t>Head of</w:t>
            </w:r>
            <w:r w:rsidRPr="002B43CF">
              <w:rPr>
                <w:rStyle w:val="InformationBlockChar"/>
                <w:rFonts w:eastAsiaTheme="majorEastAsia"/>
              </w:rPr>
              <w:t xml:space="preserve"> </w:t>
            </w:r>
            <w:r w:rsidRPr="002B43CF">
              <w:rPr>
                <w:rStyle w:val="InformationBlockChar"/>
                <w:rFonts w:eastAsiaTheme="majorEastAsia"/>
                <w:b w:val="0"/>
              </w:rPr>
              <w:t>Ophthalmology Department</w:t>
            </w:r>
            <w:r>
              <w:t xml:space="preserve"> </w:t>
            </w:r>
          </w:p>
        </w:tc>
      </w:tr>
      <w:tr w:rsidR="004B1E48" w:rsidRPr="007708FA" w14:paraId="05BDB172" w14:textId="77777777" w:rsidTr="008B7413">
        <w:tc>
          <w:tcPr>
            <w:tcW w:w="2802" w:type="dxa"/>
          </w:tcPr>
          <w:p w14:paraId="15A0F07E" w14:textId="77777777" w:rsidR="004B1E48" w:rsidRPr="00727CD6" w:rsidRDefault="004B1E48" w:rsidP="007755C4">
            <w:pPr>
              <w:rPr>
                <w:b/>
                <w:bCs/>
              </w:rPr>
            </w:pPr>
            <w:r w:rsidRPr="00727CD6">
              <w:rPr>
                <w:b/>
                <w:bCs/>
              </w:rPr>
              <w:t>Effective Date</w:t>
            </w:r>
            <w:r w:rsidR="00540344" w:rsidRPr="00727CD6">
              <w:rPr>
                <w:b/>
                <w:bCs/>
              </w:rPr>
              <w:t>:</w:t>
            </w:r>
          </w:p>
        </w:tc>
        <w:tc>
          <w:tcPr>
            <w:tcW w:w="7438" w:type="dxa"/>
          </w:tcPr>
          <w:p w14:paraId="5A36DCB3" w14:textId="5AC805AB" w:rsidR="004B1E48" w:rsidRPr="00727CD6" w:rsidRDefault="00AB1F6A" w:rsidP="007755C4">
            <w:pPr>
              <w:rPr>
                <w:rFonts w:ascii="Gill Sans MT" w:hAnsi="Gill Sans MT" w:cs="Gill Sans"/>
              </w:rPr>
            </w:pPr>
            <w:r>
              <w:rPr>
                <w:rFonts w:cs="Arial"/>
                <w:kern w:val="36"/>
                <w:lang w:eastAsia="en-AU"/>
              </w:rPr>
              <w:t>March 2019</w:t>
            </w:r>
          </w:p>
        </w:tc>
      </w:tr>
      <w:tr w:rsidR="00540344" w:rsidRPr="007708FA" w14:paraId="330F6A72" w14:textId="77777777" w:rsidTr="008B7413">
        <w:tc>
          <w:tcPr>
            <w:tcW w:w="2802" w:type="dxa"/>
          </w:tcPr>
          <w:p w14:paraId="594D23E6" w14:textId="77777777" w:rsidR="00540344" w:rsidRPr="00727CD6" w:rsidRDefault="00540344" w:rsidP="007755C4">
            <w:pPr>
              <w:rPr>
                <w:b/>
                <w:bCs/>
              </w:rPr>
            </w:pPr>
            <w:r w:rsidRPr="00727CD6">
              <w:rPr>
                <w:b/>
                <w:bCs/>
              </w:rPr>
              <w:t>Check Type:</w:t>
            </w:r>
          </w:p>
        </w:tc>
        <w:tc>
          <w:tcPr>
            <w:tcW w:w="7438" w:type="dxa"/>
          </w:tcPr>
          <w:p w14:paraId="7F672550" w14:textId="7F2918D2" w:rsidR="00540344" w:rsidRPr="00727CD6" w:rsidRDefault="008E77FA" w:rsidP="007755C4">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E616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7755C4">
            <w:pPr>
              <w:rPr>
                <w:b/>
                <w:bCs/>
              </w:rPr>
            </w:pPr>
            <w:r w:rsidRPr="00727CD6">
              <w:rPr>
                <w:b/>
                <w:bCs/>
              </w:rPr>
              <w:t>Check Frequency:</w:t>
            </w:r>
          </w:p>
        </w:tc>
        <w:tc>
          <w:tcPr>
            <w:tcW w:w="7438" w:type="dxa"/>
          </w:tcPr>
          <w:p w14:paraId="720F3BD7" w14:textId="28165A7D" w:rsidR="00540344" w:rsidRPr="00727CD6" w:rsidRDefault="008E77FA" w:rsidP="007755C4">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E616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7755C4">
            <w:pPr>
              <w:rPr>
                <w:b/>
                <w:bCs/>
              </w:rPr>
            </w:pPr>
            <w:r w:rsidRPr="00483880">
              <w:rPr>
                <w:b/>
                <w:bCs/>
              </w:rPr>
              <w:t xml:space="preserve">Essential Requirements: </w:t>
            </w:r>
          </w:p>
        </w:tc>
        <w:tc>
          <w:tcPr>
            <w:tcW w:w="7438" w:type="dxa"/>
          </w:tcPr>
          <w:p w14:paraId="527B53C4" w14:textId="55106C06" w:rsidR="007755C4" w:rsidRDefault="007755C4" w:rsidP="005D5AA2">
            <w:pPr>
              <w:jc w:val="both"/>
              <w:rPr>
                <w:color w:val="000000" w:themeColor="text1"/>
              </w:rPr>
            </w:pPr>
            <w:r w:rsidRPr="00E10AB7">
              <w:rPr>
                <w:color w:val="000000" w:themeColor="text1"/>
              </w:rPr>
              <w:t>Tertiary qualification/program of study approved by the Australian Orthoptic Board</w:t>
            </w:r>
          </w:p>
          <w:p w14:paraId="720D09CE" w14:textId="24FF10F7" w:rsidR="007755C4" w:rsidRDefault="007755C4" w:rsidP="005D5AA2">
            <w:pPr>
              <w:jc w:val="both"/>
              <w:rPr>
                <w:color w:val="000000" w:themeColor="text1"/>
              </w:rPr>
            </w:pPr>
            <w:r w:rsidRPr="00E10AB7">
              <w:rPr>
                <w:color w:val="000000" w:themeColor="text1"/>
              </w:rPr>
              <w:t>Registered with the Australian Orthoptic Board</w:t>
            </w:r>
          </w:p>
          <w:p w14:paraId="683AA480" w14:textId="1C8FB012" w:rsidR="006C4B8D" w:rsidRDefault="006C4B8D" w:rsidP="005D5AA2">
            <w:pPr>
              <w:jc w:val="both"/>
              <w:rPr>
                <w:rFonts w:ascii="Gill Sans MT" w:hAnsi="Gill Sans MT" w:cs="Calibri"/>
                <w:color w:val="000000"/>
              </w:rPr>
            </w:pPr>
            <w:r>
              <w:rPr>
                <w:color w:val="000000" w:themeColor="text1"/>
              </w:rPr>
              <w:t>Current Working with Children Registration</w:t>
            </w:r>
          </w:p>
          <w:p w14:paraId="4D350A6C" w14:textId="28655504" w:rsidR="00562FA9" w:rsidRPr="00483880" w:rsidRDefault="00400E85" w:rsidP="005D5AA2">
            <w:pPr>
              <w:spacing w:before="120" w:after="240"/>
              <w:jc w:val="both"/>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73979F1" w14:textId="27936C7E" w:rsidR="008B7413" w:rsidRDefault="00A4011B" w:rsidP="007755C4">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DB5D2D2" w14:textId="2365B335" w:rsidR="007755C4" w:rsidRDefault="007755C4" w:rsidP="007755C4"/>
    <w:p w14:paraId="0F98C7D5" w14:textId="7336E61B" w:rsidR="007755C4" w:rsidRDefault="007755C4" w:rsidP="007755C4"/>
    <w:p w14:paraId="1C268EB3" w14:textId="77777777" w:rsidR="007755C4" w:rsidRPr="007755C4" w:rsidRDefault="007755C4" w:rsidP="007755C4"/>
    <w:p w14:paraId="2307F8D4" w14:textId="1178FCF1" w:rsidR="003C0450" w:rsidRDefault="003C0450" w:rsidP="007755C4">
      <w:pPr>
        <w:pStyle w:val="Heading3"/>
      </w:pPr>
      <w:r w:rsidRPr="00405739">
        <w:lastRenderedPageBreak/>
        <w:t xml:space="preserve">Primary Purpose: </w:t>
      </w:r>
    </w:p>
    <w:p w14:paraId="33D74CB3" w14:textId="77777777" w:rsidR="00AB1F6A" w:rsidRPr="007755C4" w:rsidRDefault="00AB1F6A" w:rsidP="005D5AA2">
      <w:pPr>
        <w:spacing w:before="120" w:after="120"/>
        <w:jc w:val="both"/>
        <w:rPr>
          <w:rFonts w:ascii="Gill Sans MT" w:hAnsi="Gill Sans MT" w:cs="Tahoma"/>
          <w:szCs w:val="22"/>
        </w:rPr>
      </w:pPr>
      <w:r w:rsidRPr="007755C4">
        <w:rPr>
          <w:rFonts w:ascii="Gill Sans MT" w:hAnsi="Gill Sans MT" w:cs="Tahoma"/>
          <w:szCs w:val="22"/>
        </w:rPr>
        <w:t>As an effective member of the Ophthalmic team, the Senior Orthoptist:</w:t>
      </w:r>
    </w:p>
    <w:p w14:paraId="65A62E91" w14:textId="51DBACD4" w:rsidR="00AB1F6A" w:rsidRPr="007755C4" w:rsidRDefault="00AB1F6A" w:rsidP="005D5AA2">
      <w:pPr>
        <w:pStyle w:val="Text"/>
        <w:numPr>
          <w:ilvl w:val="0"/>
          <w:numId w:val="25"/>
        </w:numPr>
        <w:spacing w:before="120" w:after="120" w:line="300" w:lineRule="atLeast"/>
        <w:ind w:left="567" w:hanging="567"/>
        <w:jc w:val="both"/>
        <w:rPr>
          <w:rFonts w:ascii="Gill Sans MT" w:hAnsi="Gill Sans MT" w:cs="Tahoma"/>
          <w:sz w:val="22"/>
          <w:szCs w:val="22"/>
        </w:rPr>
      </w:pPr>
      <w:r w:rsidRPr="007755C4">
        <w:rPr>
          <w:rFonts w:ascii="Gill Sans MT" w:hAnsi="Gill Sans MT" w:cs="Tahoma"/>
          <w:sz w:val="22"/>
          <w:szCs w:val="22"/>
        </w:rPr>
        <w:t>Provides senior-level Orthoptic clinical assessment and treatment.</w:t>
      </w:r>
    </w:p>
    <w:p w14:paraId="33554BB7" w14:textId="0BF54FAB" w:rsidR="00AB1F6A" w:rsidRPr="007755C4" w:rsidRDefault="00AB1F6A" w:rsidP="005D5AA2">
      <w:pPr>
        <w:pStyle w:val="Text"/>
        <w:numPr>
          <w:ilvl w:val="0"/>
          <w:numId w:val="25"/>
        </w:numPr>
        <w:spacing w:before="120" w:after="120" w:line="300" w:lineRule="atLeast"/>
        <w:ind w:left="567" w:hanging="567"/>
        <w:jc w:val="both"/>
        <w:rPr>
          <w:rFonts w:ascii="Gill Sans MT" w:hAnsi="Gill Sans MT" w:cs="Tahoma"/>
          <w:sz w:val="22"/>
          <w:szCs w:val="22"/>
        </w:rPr>
      </w:pPr>
      <w:r w:rsidRPr="007755C4">
        <w:rPr>
          <w:rFonts w:ascii="Gill Sans MT" w:hAnsi="Gill Sans MT" w:cs="Tahoma"/>
          <w:sz w:val="22"/>
          <w:szCs w:val="22"/>
        </w:rPr>
        <w:t xml:space="preserve">Works collaboratively with the Ophthalmology Department to ensure the effective delivery of orthoptic services. </w:t>
      </w:r>
    </w:p>
    <w:p w14:paraId="6A46798E" w14:textId="5FDE836F" w:rsidR="00AB1F6A" w:rsidRPr="007755C4" w:rsidRDefault="00AB1F6A" w:rsidP="005D5AA2">
      <w:pPr>
        <w:pStyle w:val="Text"/>
        <w:numPr>
          <w:ilvl w:val="0"/>
          <w:numId w:val="25"/>
        </w:numPr>
        <w:spacing w:before="120" w:after="120" w:line="300" w:lineRule="atLeast"/>
        <w:ind w:left="567" w:hanging="567"/>
        <w:jc w:val="both"/>
        <w:rPr>
          <w:rFonts w:ascii="Gill Sans MT" w:hAnsi="Gill Sans MT" w:cs="Tahoma"/>
          <w:sz w:val="22"/>
          <w:szCs w:val="22"/>
        </w:rPr>
      </w:pPr>
      <w:r w:rsidRPr="007755C4">
        <w:rPr>
          <w:rFonts w:ascii="Gill Sans MT" w:hAnsi="Gill Sans MT" w:cs="Tahoma"/>
          <w:sz w:val="22"/>
          <w:szCs w:val="22"/>
        </w:rPr>
        <w:t>Undertakes a wide range of general Ophthalmic diagnostic procedures and assists in service development.</w:t>
      </w:r>
    </w:p>
    <w:p w14:paraId="04D7A53E" w14:textId="709A24A2" w:rsidR="00E91AB6" w:rsidRPr="00405739" w:rsidRDefault="00E91AB6" w:rsidP="007755C4">
      <w:pPr>
        <w:pStyle w:val="Heading3"/>
      </w:pPr>
      <w:r w:rsidRPr="00405739">
        <w:t>Duties:</w:t>
      </w:r>
    </w:p>
    <w:p w14:paraId="16256A4E" w14:textId="77777777" w:rsidR="00AB1F6A" w:rsidRPr="002B43CF" w:rsidRDefault="00AB1F6A" w:rsidP="005D5AA2">
      <w:pPr>
        <w:pStyle w:val="ListNumbered"/>
        <w:spacing w:after="120"/>
        <w:jc w:val="both"/>
      </w:pPr>
      <w:r w:rsidRPr="002B43CF">
        <w:t>Provide a high level of Orthoptic clinical expertise working as a member of the Ophthalmic team in accordance with established Orthoptic standards and policies.</w:t>
      </w:r>
    </w:p>
    <w:p w14:paraId="346BF912" w14:textId="77777777" w:rsidR="00AB1F6A" w:rsidRPr="002B43CF" w:rsidRDefault="00AB1F6A" w:rsidP="005D5AA2">
      <w:pPr>
        <w:pStyle w:val="ListNumbered"/>
        <w:spacing w:after="120"/>
        <w:jc w:val="both"/>
      </w:pPr>
      <w:r w:rsidRPr="002B43CF">
        <w:t>Assess and implement treatment and management programs for patients referred within the Ophthalmic Department or other units within the health care system.</w:t>
      </w:r>
    </w:p>
    <w:p w14:paraId="2D3F0401" w14:textId="77777777" w:rsidR="00AB1F6A" w:rsidRPr="002B43CF" w:rsidRDefault="00AB1F6A" w:rsidP="005D5AA2">
      <w:pPr>
        <w:pStyle w:val="ListNumbered"/>
        <w:spacing w:after="120"/>
        <w:jc w:val="both"/>
      </w:pPr>
      <w:r w:rsidRPr="002B43CF">
        <w:t xml:space="preserve">Provide vision screening and assessment with support from our paediatric low vision services team. </w:t>
      </w:r>
    </w:p>
    <w:p w14:paraId="65895362" w14:textId="77777777" w:rsidR="00AB1F6A" w:rsidRPr="002B43CF" w:rsidRDefault="00AB1F6A" w:rsidP="005D5AA2">
      <w:pPr>
        <w:pStyle w:val="ListNumbered"/>
        <w:spacing w:after="120"/>
        <w:jc w:val="both"/>
      </w:pPr>
      <w:r w:rsidRPr="002B43CF">
        <w:t>Triage all paediatric and orthoptic related referrals and provide initial Orthoptic assessment to streamline paediatric referrals into the general Ophthalmology clinic.</w:t>
      </w:r>
    </w:p>
    <w:p w14:paraId="6050B935" w14:textId="77777777" w:rsidR="00AB1F6A" w:rsidRPr="002B43CF" w:rsidRDefault="00AB1F6A" w:rsidP="005D5AA2">
      <w:pPr>
        <w:pStyle w:val="ListNumbered"/>
        <w:spacing w:after="120"/>
        <w:jc w:val="both"/>
      </w:pPr>
      <w:r w:rsidRPr="002B43CF">
        <w:t>Maintain a register of at-risk paediatric patients attending Eye Clinic. Follow up paediatric fail to attends in a timely manner and refer onto Social Work and Child Safety as necessary.</w:t>
      </w:r>
    </w:p>
    <w:p w14:paraId="13DE0198" w14:textId="77777777" w:rsidR="00AB1F6A" w:rsidRPr="002B43CF" w:rsidRDefault="00AB1F6A" w:rsidP="005D5AA2">
      <w:pPr>
        <w:pStyle w:val="ListNumbered"/>
        <w:spacing w:after="120"/>
        <w:jc w:val="both"/>
      </w:pPr>
      <w:r w:rsidRPr="002B43CF">
        <w:t xml:space="preserve">Provide clinical and professional guidance and support to Allied Health Assistants and technician staff within the eye clinic. Allow observation in clinic from undergraduate orthoptic students, medical students, optometry students and child health nurses as required. </w:t>
      </w:r>
    </w:p>
    <w:p w14:paraId="46EFE7CE" w14:textId="77777777" w:rsidR="00AB1F6A" w:rsidRPr="002B43CF" w:rsidRDefault="00AB1F6A" w:rsidP="005D5AA2">
      <w:pPr>
        <w:pStyle w:val="ListNumbered"/>
        <w:spacing w:after="120"/>
        <w:jc w:val="both"/>
      </w:pPr>
      <w:r w:rsidRPr="002B43CF">
        <w:t>Maintain adequate treatment records and ensure relevant agencies are notified regarding ongoing management of Orthoptic patients.</w:t>
      </w:r>
    </w:p>
    <w:p w14:paraId="7C9C9D87" w14:textId="77777777" w:rsidR="00AB1F6A" w:rsidRDefault="00AB1F6A" w:rsidP="005D5AA2">
      <w:pPr>
        <w:pStyle w:val="ListNumbered"/>
        <w:spacing w:after="120"/>
        <w:jc w:val="both"/>
      </w:pPr>
      <w:r w:rsidRPr="002B43CF">
        <w:t>Be responsible for Orthoptic resources and Eye Clinic diagnostic equipment and be responsible</w:t>
      </w:r>
      <w:r w:rsidRPr="00943515">
        <w:t xml:space="preserve"> for upgrade and maintenance of stores and equipment. </w:t>
      </w:r>
    </w:p>
    <w:p w14:paraId="1F544020" w14:textId="77777777" w:rsidR="00AB1F6A" w:rsidRPr="00E87ACB" w:rsidRDefault="00AB1F6A" w:rsidP="005D5AA2">
      <w:pPr>
        <w:pStyle w:val="ListNumbered"/>
        <w:spacing w:after="120"/>
        <w:jc w:val="both"/>
        <w:rPr>
          <w:rFonts w:cs="Tahoma"/>
        </w:rPr>
      </w:pPr>
      <w:r w:rsidRPr="00E87ACB">
        <w:t xml:space="preserve">Develop and review policies and procedures for </w:t>
      </w:r>
      <w:r>
        <w:t>Orthoptic</w:t>
      </w:r>
      <w:r w:rsidRPr="00E87ACB">
        <w:t xml:space="preserve"> activities and represent the </w:t>
      </w:r>
      <w:r>
        <w:t>Ophthalmic team</w:t>
      </w:r>
      <w:r w:rsidRPr="00E87ACB">
        <w:t xml:space="preserve"> </w:t>
      </w:r>
      <w:r>
        <w:t>at relevant meetings</w:t>
      </w:r>
      <w:r w:rsidRPr="00E87ACB">
        <w:t xml:space="preserve"> to ensure that service</w:t>
      </w:r>
      <w:r>
        <w:t>s</w:t>
      </w:r>
      <w:r w:rsidRPr="00E87ACB">
        <w:t xml:space="preserve"> </w:t>
      </w:r>
      <w:r>
        <w:t>are</w:t>
      </w:r>
      <w:r w:rsidRPr="00E87ACB">
        <w:t xml:space="preserve"> delivered in accordance with </w:t>
      </w:r>
      <w:r>
        <w:t>client’s and hospital’s need.</w:t>
      </w:r>
    </w:p>
    <w:p w14:paraId="53315898" w14:textId="77777777" w:rsidR="003445B1" w:rsidRPr="004F75F1" w:rsidRDefault="003445B1" w:rsidP="003445B1">
      <w:pPr>
        <w:pStyle w:val="ListNumbered"/>
        <w:jc w:val="both"/>
        <w:rPr>
          <w:rFonts w:ascii="Gill Sans MT" w:hAnsi="Gill Sans MT"/>
        </w:rPr>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720A067" w14:textId="77777777" w:rsidR="003445B1" w:rsidRPr="004F75F1" w:rsidRDefault="003445B1" w:rsidP="003445B1">
      <w:pPr>
        <w:pStyle w:val="ListNumbered"/>
        <w:jc w:val="both"/>
        <w:rPr>
          <w:rFonts w:ascii="Gill Sans MT" w:hAnsi="Gill Sans MT"/>
        </w:rPr>
      </w:pPr>
      <w:r w:rsidRPr="004F75F1">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7755C4">
      <w:pPr>
        <w:pStyle w:val="Heading3"/>
      </w:pPr>
      <w:r>
        <w:t>Key Accountabilities and Responsibilities:</w:t>
      </w:r>
    </w:p>
    <w:p w14:paraId="523EA18A" w14:textId="77777777" w:rsidR="00AB1F6A" w:rsidRPr="00943515" w:rsidRDefault="00AB1F6A" w:rsidP="005D5AA2">
      <w:pPr>
        <w:spacing w:before="120" w:after="120"/>
        <w:jc w:val="both"/>
        <w:rPr>
          <w:rFonts w:ascii="Gill Sans MT" w:hAnsi="Gill Sans MT" w:cs="Tahoma"/>
        </w:rPr>
      </w:pPr>
      <w:r w:rsidRPr="00943515">
        <w:rPr>
          <w:rFonts w:ascii="Gill Sans MT" w:hAnsi="Gill Sans MT" w:cs="TTE585AA70t00"/>
        </w:rPr>
        <w:t xml:space="preserve">The </w:t>
      </w:r>
      <w:r>
        <w:rPr>
          <w:rFonts w:ascii="Gill Sans MT" w:hAnsi="Gill Sans MT" w:cs="TTE585AA70t00"/>
        </w:rPr>
        <w:t xml:space="preserve">Senior </w:t>
      </w:r>
      <w:r w:rsidRPr="00943515">
        <w:rPr>
          <w:rFonts w:ascii="Gill Sans MT" w:hAnsi="Gill Sans MT" w:cs="TTE585AA70t00"/>
        </w:rPr>
        <w:t>Orthopti</w:t>
      </w:r>
      <w:r>
        <w:rPr>
          <w:rFonts w:ascii="Gill Sans MT" w:hAnsi="Gill Sans MT" w:cs="TTE585AA70t00"/>
        </w:rPr>
        <w:t>st</w:t>
      </w:r>
      <w:r w:rsidRPr="00943515">
        <w:rPr>
          <w:rFonts w:ascii="Gill Sans MT" w:hAnsi="Gill Sans MT" w:cs="TTE585AA70t00"/>
        </w:rPr>
        <w:t xml:space="preserve"> </w:t>
      </w:r>
      <w:r>
        <w:rPr>
          <w:rFonts w:ascii="Gill Sans MT" w:hAnsi="Gill Sans MT" w:cs="TTE585AA70t00"/>
        </w:rPr>
        <w:t xml:space="preserve">directly reports to the </w:t>
      </w:r>
      <w:r w:rsidRPr="00943515">
        <w:rPr>
          <w:rFonts w:ascii="Gill Sans MT" w:hAnsi="Gill Sans MT" w:cs="Tahoma"/>
        </w:rPr>
        <w:t>Head of the Department of Ophthalmology</w:t>
      </w:r>
      <w:r>
        <w:rPr>
          <w:rFonts w:ascii="Gill Sans MT" w:hAnsi="Gill Sans MT" w:cs="Tahoma"/>
        </w:rPr>
        <w:t xml:space="preserve"> and is responsible for:</w:t>
      </w:r>
      <w:r w:rsidRPr="00943515">
        <w:rPr>
          <w:rFonts w:ascii="Gill Sans MT" w:hAnsi="Gill Sans MT" w:cs="Tahoma"/>
        </w:rPr>
        <w:t xml:space="preserve"> </w:t>
      </w:r>
    </w:p>
    <w:p w14:paraId="47C814EE" w14:textId="77777777" w:rsidR="00AB1F6A" w:rsidRPr="00943515" w:rsidRDefault="00AB1F6A" w:rsidP="005D5AA2">
      <w:pPr>
        <w:numPr>
          <w:ilvl w:val="0"/>
          <w:numId w:val="27"/>
        </w:numPr>
        <w:autoSpaceDE w:val="0"/>
        <w:autoSpaceDN w:val="0"/>
        <w:spacing w:before="120" w:after="120"/>
        <w:ind w:left="567" w:hanging="567"/>
        <w:jc w:val="both"/>
        <w:rPr>
          <w:rFonts w:ascii="Gill Sans MT" w:hAnsi="Gill Sans MT"/>
        </w:rPr>
      </w:pPr>
      <w:r w:rsidRPr="00943515">
        <w:rPr>
          <w:rFonts w:ascii="Gill Sans MT" w:hAnsi="Gill Sans MT"/>
        </w:rPr>
        <w:t>Contribut</w:t>
      </w:r>
      <w:r>
        <w:rPr>
          <w:rFonts w:ascii="Gill Sans MT" w:hAnsi="Gill Sans MT"/>
        </w:rPr>
        <w:t>ing</w:t>
      </w:r>
      <w:r w:rsidRPr="00943515">
        <w:rPr>
          <w:rFonts w:ascii="Gill Sans MT" w:hAnsi="Gill Sans MT"/>
        </w:rPr>
        <w:t xml:space="preserve"> to the overall leadership and management of the Orthoptic Services.</w:t>
      </w:r>
    </w:p>
    <w:p w14:paraId="61D7DA95" w14:textId="77777777" w:rsidR="00AB1F6A" w:rsidRPr="00943515" w:rsidRDefault="00AB1F6A" w:rsidP="005D5AA2">
      <w:pPr>
        <w:numPr>
          <w:ilvl w:val="0"/>
          <w:numId w:val="27"/>
        </w:numPr>
        <w:autoSpaceDE w:val="0"/>
        <w:autoSpaceDN w:val="0"/>
        <w:adjustRightInd w:val="0"/>
        <w:spacing w:before="120" w:after="120"/>
        <w:ind w:left="567" w:hanging="567"/>
        <w:jc w:val="both"/>
        <w:rPr>
          <w:rFonts w:ascii="Gill Sans MT" w:hAnsi="Gill Sans MT" w:cs="TTE585AA70t00"/>
        </w:rPr>
      </w:pPr>
      <w:r w:rsidRPr="00943515">
        <w:rPr>
          <w:rFonts w:ascii="Gill Sans MT" w:hAnsi="Gill Sans MT" w:cs="TTE585AA70t00"/>
        </w:rPr>
        <w:t>Exercis</w:t>
      </w:r>
      <w:r>
        <w:rPr>
          <w:rFonts w:ascii="Gill Sans MT" w:hAnsi="Gill Sans MT" w:cs="TTE585AA70t00"/>
        </w:rPr>
        <w:t>ing</w:t>
      </w:r>
      <w:r w:rsidRPr="00943515">
        <w:rPr>
          <w:rFonts w:ascii="Gill Sans MT" w:hAnsi="Gill Sans MT" w:cs="TTE585AA70t00"/>
        </w:rPr>
        <w:t xml:space="preserve"> high degree of independent professional judgement in the provision of clinical services. </w:t>
      </w:r>
    </w:p>
    <w:p w14:paraId="30E96417" w14:textId="77777777" w:rsidR="00AB1F6A" w:rsidRPr="00943515" w:rsidRDefault="00AB1F6A" w:rsidP="005D5AA2">
      <w:pPr>
        <w:numPr>
          <w:ilvl w:val="0"/>
          <w:numId w:val="27"/>
        </w:numPr>
        <w:autoSpaceDE w:val="0"/>
        <w:autoSpaceDN w:val="0"/>
        <w:adjustRightInd w:val="0"/>
        <w:spacing w:before="120" w:after="120"/>
        <w:ind w:left="567" w:hanging="567"/>
        <w:jc w:val="both"/>
        <w:rPr>
          <w:rFonts w:ascii="Gill Sans MT" w:hAnsi="Gill Sans MT" w:cs="TTE585AA70t00"/>
        </w:rPr>
      </w:pPr>
      <w:r w:rsidRPr="00943515">
        <w:rPr>
          <w:rFonts w:ascii="Gill Sans MT" w:hAnsi="Gill Sans MT" w:cs="TTE585AA70t00"/>
        </w:rPr>
        <w:t>Maintain</w:t>
      </w:r>
      <w:r>
        <w:rPr>
          <w:rFonts w:ascii="Gill Sans MT" w:hAnsi="Gill Sans MT" w:cs="TTE585AA70t00"/>
        </w:rPr>
        <w:t>ing</w:t>
      </w:r>
      <w:r w:rsidRPr="00943515">
        <w:rPr>
          <w:rFonts w:ascii="Gill Sans MT" w:hAnsi="Gill Sans MT" w:cs="TTE585AA70t00"/>
        </w:rPr>
        <w:t xml:space="preserve"> contemporary knowledge and use this to develop protocols and guidelines.</w:t>
      </w:r>
    </w:p>
    <w:p w14:paraId="04B197A8" w14:textId="77777777" w:rsidR="00AB1F6A" w:rsidRPr="00943515" w:rsidRDefault="00AB1F6A" w:rsidP="005D5AA2">
      <w:pPr>
        <w:numPr>
          <w:ilvl w:val="0"/>
          <w:numId w:val="27"/>
        </w:numPr>
        <w:autoSpaceDE w:val="0"/>
        <w:autoSpaceDN w:val="0"/>
        <w:adjustRightInd w:val="0"/>
        <w:spacing w:before="120" w:after="120"/>
        <w:ind w:left="567" w:hanging="567"/>
        <w:jc w:val="both"/>
        <w:rPr>
          <w:rFonts w:ascii="Gill Sans MT" w:hAnsi="Gill Sans MT" w:cs="TTE585AA70t00"/>
        </w:rPr>
      </w:pPr>
      <w:r w:rsidRPr="00943515">
        <w:rPr>
          <w:rFonts w:ascii="Gill Sans MT" w:hAnsi="Gill Sans MT" w:cs="TTE585AA70t00"/>
        </w:rPr>
        <w:t>Provid</w:t>
      </w:r>
      <w:r>
        <w:rPr>
          <w:rFonts w:ascii="Gill Sans MT" w:hAnsi="Gill Sans MT" w:cs="TTE585AA70t00"/>
        </w:rPr>
        <w:t>ing</w:t>
      </w:r>
      <w:r w:rsidRPr="00943515">
        <w:rPr>
          <w:rFonts w:ascii="Gill Sans MT" w:hAnsi="Gill Sans MT" w:cs="TTE585AA70t00"/>
        </w:rPr>
        <w:t xml:space="preserve"> clear direction to staff, so that all staff understand their responsibilities and duties.</w:t>
      </w:r>
    </w:p>
    <w:p w14:paraId="2C13BE95" w14:textId="77777777" w:rsidR="00AB1F6A" w:rsidRPr="00943515" w:rsidRDefault="00AB1F6A" w:rsidP="005D5AA2">
      <w:pPr>
        <w:numPr>
          <w:ilvl w:val="0"/>
          <w:numId w:val="27"/>
        </w:numPr>
        <w:autoSpaceDE w:val="0"/>
        <w:autoSpaceDN w:val="0"/>
        <w:adjustRightInd w:val="0"/>
        <w:spacing w:before="120" w:after="120"/>
        <w:ind w:left="567" w:hanging="567"/>
        <w:jc w:val="both"/>
        <w:rPr>
          <w:rFonts w:ascii="Gill Sans MT" w:hAnsi="Gill Sans MT" w:cs="TTE585AA70t00"/>
        </w:rPr>
      </w:pPr>
      <w:r w:rsidRPr="00943515">
        <w:rPr>
          <w:rFonts w:ascii="Gill Sans MT" w:hAnsi="Gill Sans MT" w:cs="TTE585AA70t00"/>
        </w:rPr>
        <w:lastRenderedPageBreak/>
        <w:t>Establish</w:t>
      </w:r>
      <w:r>
        <w:rPr>
          <w:rFonts w:ascii="Gill Sans MT" w:hAnsi="Gill Sans MT" w:cs="TTE585AA70t00"/>
        </w:rPr>
        <w:t>ing</w:t>
      </w:r>
      <w:r w:rsidRPr="00943515">
        <w:rPr>
          <w:rFonts w:ascii="Gill Sans MT" w:hAnsi="Gill Sans MT" w:cs="TTE585AA70t00"/>
        </w:rPr>
        <w:t xml:space="preserve"> and maintain</w:t>
      </w:r>
      <w:r>
        <w:rPr>
          <w:rFonts w:ascii="Gill Sans MT" w:hAnsi="Gill Sans MT" w:cs="TTE585AA70t00"/>
        </w:rPr>
        <w:t>ing</w:t>
      </w:r>
      <w:r w:rsidRPr="00943515">
        <w:rPr>
          <w:rFonts w:ascii="Gill Sans MT" w:hAnsi="Gill Sans MT" w:cs="TTE585AA70t00"/>
        </w:rPr>
        <w:t xml:space="preserve"> collaborative working relationships within relevant services across </w:t>
      </w:r>
      <w:r>
        <w:rPr>
          <w:rFonts w:ascii="Gill Sans MT" w:hAnsi="Gill Sans MT" w:cs="TTE585AA70t00"/>
        </w:rPr>
        <w:t>the s</w:t>
      </w:r>
      <w:r w:rsidRPr="00943515">
        <w:rPr>
          <w:rFonts w:ascii="Gill Sans MT" w:hAnsi="Gill Sans MT" w:cs="TTE585AA70t00"/>
        </w:rPr>
        <w:t>outhern</w:t>
      </w:r>
      <w:r>
        <w:rPr>
          <w:rFonts w:ascii="Gill Sans MT" w:hAnsi="Gill Sans MT" w:cs="TTE585AA70t00"/>
        </w:rPr>
        <w:t xml:space="preserve"> r</w:t>
      </w:r>
      <w:r w:rsidRPr="00943515">
        <w:rPr>
          <w:rFonts w:ascii="Gill Sans MT" w:hAnsi="Gill Sans MT" w:cs="TTE585AA70t00"/>
        </w:rPr>
        <w:t>e</w:t>
      </w:r>
      <w:r>
        <w:rPr>
          <w:rFonts w:ascii="Gill Sans MT" w:hAnsi="Gill Sans MT" w:cs="TTE585AA70t00"/>
        </w:rPr>
        <w:t>g</w:t>
      </w:r>
      <w:r w:rsidRPr="00943515">
        <w:rPr>
          <w:rFonts w:ascii="Gill Sans MT" w:hAnsi="Gill Sans MT" w:cs="TTE585AA70t00"/>
        </w:rPr>
        <w:t>ion</w:t>
      </w:r>
      <w:r>
        <w:rPr>
          <w:rFonts w:ascii="Gill Sans MT" w:hAnsi="Gill Sans MT" w:cs="TTE585AA70t00"/>
        </w:rPr>
        <w:t xml:space="preserve"> of Tasmania</w:t>
      </w:r>
      <w:r w:rsidRPr="00943515">
        <w:rPr>
          <w:rFonts w:ascii="Gill Sans MT" w:hAnsi="Gill Sans MT" w:cs="TTE585AA70t00"/>
        </w:rPr>
        <w:t>.</w:t>
      </w:r>
    </w:p>
    <w:p w14:paraId="0C831699" w14:textId="77777777" w:rsidR="00AB1F6A" w:rsidRPr="00943515" w:rsidRDefault="00AB1F6A" w:rsidP="005D5AA2">
      <w:pPr>
        <w:numPr>
          <w:ilvl w:val="0"/>
          <w:numId w:val="27"/>
        </w:numPr>
        <w:spacing w:before="120" w:after="120"/>
        <w:ind w:left="567" w:hanging="567"/>
        <w:jc w:val="both"/>
        <w:rPr>
          <w:rFonts w:ascii="Gill Sans MT" w:hAnsi="Gill Sans MT" w:cs="Tahoma"/>
        </w:rPr>
      </w:pPr>
      <w:r w:rsidRPr="00943515">
        <w:rPr>
          <w:rFonts w:ascii="Gill Sans MT" w:hAnsi="Gill Sans MT" w:cs="Tahoma"/>
        </w:rPr>
        <w:t>Regularly attend</w:t>
      </w:r>
      <w:r>
        <w:rPr>
          <w:rFonts w:ascii="Gill Sans MT" w:hAnsi="Gill Sans MT" w:cs="Tahoma"/>
        </w:rPr>
        <w:t>ing</w:t>
      </w:r>
      <w:r w:rsidRPr="00943515">
        <w:rPr>
          <w:rFonts w:ascii="Gill Sans MT" w:hAnsi="Gill Sans MT" w:cs="Tahoma"/>
        </w:rPr>
        <w:t xml:space="preserve"> State and National conferences relevant to the specialty of the clinical team.</w:t>
      </w:r>
    </w:p>
    <w:p w14:paraId="1C06B577" w14:textId="678FE66F" w:rsidR="00AB1F6A" w:rsidRDefault="00AB1F6A" w:rsidP="005D5AA2">
      <w:pPr>
        <w:numPr>
          <w:ilvl w:val="0"/>
          <w:numId w:val="27"/>
        </w:numPr>
        <w:autoSpaceDE w:val="0"/>
        <w:autoSpaceDN w:val="0"/>
        <w:adjustRightInd w:val="0"/>
        <w:spacing w:before="120" w:after="120"/>
        <w:ind w:left="567" w:hanging="567"/>
        <w:jc w:val="both"/>
        <w:rPr>
          <w:rFonts w:ascii="Gill Sans MT" w:hAnsi="Gill Sans MT" w:cs="TTE585AA70t00"/>
        </w:rPr>
      </w:pPr>
      <w:r w:rsidRPr="00943515">
        <w:rPr>
          <w:rFonts w:ascii="Gill Sans MT" w:hAnsi="Gill Sans MT" w:cs="TTE585AA70t00"/>
        </w:rPr>
        <w:t>Demonstrat</w:t>
      </w:r>
      <w:r>
        <w:rPr>
          <w:rFonts w:ascii="Gill Sans MT" w:hAnsi="Gill Sans MT" w:cs="TTE585AA70t00"/>
        </w:rPr>
        <w:t>ing</w:t>
      </w:r>
      <w:r w:rsidRPr="00943515">
        <w:rPr>
          <w:rFonts w:ascii="Gill Sans MT" w:hAnsi="Gill Sans MT" w:cs="TTE585AA70t00"/>
        </w:rPr>
        <w:t xml:space="preserve"> commitment to clinical quality and safety through</w:t>
      </w:r>
      <w:r w:rsidR="007755C4">
        <w:rPr>
          <w:rFonts w:ascii="Gill Sans MT" w:hAnsi="Gill Sans MT" w:cs="TTE585AA70t00"/>
        </w:rPr>
        <w:t>:</w:t>
      </w:r>
    </w:p>
    <w:p w14:paraId="486C4D74" w14:textId="68CE05D6" w:rsidR="00AB1F6A" w:rsidRPr="007755C4" w:rsidRDefault="00AB1F6A" w:rsidP="005D5AA2">
      <w:pPr>
        <w:pStyle w:val="ListParagraph"/>
        <w:numPr>
          <w:ilvl w:val="0"/>
          <w:numId w:val="29"/>
        </w:numPr>
        <w:autoSpaceDE w:val="0"/>
        <w:autoSpaceDN w:val="0"/>
        <w:adjustRightInd w:val="0"/>
        <w:spacing w:before="120" w:after="120"/>
        <w:ind w:left="1134" w:hanging="567"/>
        <w:jc w:val="both"/>
        <w:rPr>
          <w:rFonts w:ascii="Gill Sans MT" w:hAnsi="Gill Sans MT" w:cs="TTE585AA70t00"/>
        </w:rPr>
      </w:pPr>
      <w:r w:rsidRPr="007755C4">
        <w:rPr>
          <w:rFonts w:ascii="Gill Sans MT" w:hAnsi="Gill Sans MT" w:cs="TTE585AA70t00"/>
        </w:rPr>
        <w:t>continual learning and development</w:t>
      </w:r>
    </w:p>
    <w:p w14:paraId="7DE42FF5" w14:textId="01D5AA1B" w:rsidR="00AB1F6A" w:rsidRPr="007755C4" w:rsidRDefault="00AB1F6A" w:rsidP="005D5AA2">
      <w:pPr>
        <w:pStyle w:val="ListParagraph"/>
        <w:numPr>
          <w:ilvl w:val="0"/>
          <w:numId w:val="29"/>
        </w:numPr>
        <w:autoSpaceDE w:val="0"/>
        <w:autoSpaceDN w:val="0"/>
        <w:adjustRightInd w:val="0"/>
        <w:spacing w:before="120" w:after="120"/>
        <w:ind w:left="1134" w:hanging="567"/>
        <w:jc w:val="both"/>
        <w:rPr>
          <w:rFonts w:ascii="Gill Sans MT" w:hAnsi="Gill Sans MT" w:cs="TTE585AA70t00"/>
        </w:rPr>
      </w:pPr>
      <w:r w:rsidRPr="007755C4">
        <w:rPr>
          <w:rFonts w:ascii="Gill Sans MT" w:hAnsi="Gill Sans MT" w:cs="TTE585AA70t00"/>
        </w:rPr>
        <w:t>application of evidence-based practice and research.</w:t>
      </w:r>
    </w:p>
    <w:p w14:paraId="3610BB85" w14:textId="77777777" w:rsidR="00AB1F6A" w:rsidRDefault="00AB1F6A" w:rsidP="005D5AA2">
      <w:pPr>
        <w:pStyle w:val="BulletedListLevel1"/>
        <w:spacing w:before="120"/>
      </w:pPr>
      <w:proofErr w:type="gramStart"/>
      <w:r w:rsidRPr="00F85AAC">
        <w:t>Comply</w:t>
      </w:r>
      <w:r>
        <w:t>ing</w:t>
      </w:r>
      <w:r w:rsidRPr="00F85AAC">
        <w:t xml:space="preserve">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1406AFC5" w14:textId="77777777" w:rsidR="005D5AA2" w:rsidRPr="00845782" w:rsidRDefault="005D5AA2" w:rsidP="005D5AA2">
      <w:pPr>
        <w:pStyle w:val="BulletedListLevel1"/>
      </w:pPr>
      <w:bookmarkStart w:id="0" w:name="_Hlk140827263"/>
      <w:bookmarkStart w:id="1" w:name="_Hlk140839099"/>
      <w:bookmarkStart w:id="2" w:name="_Hlk140825964"/>
      <w:r w:rsidRPr="00845782">
        <w:t xml:space="preserve">Champion a child safe culture that upholds the </w:t>
      </w:r>
      <w:r w:rsidRPr="00845782">
        <w:rPr>
          <w:i/>
          <w:iCs/>
        </w:rPr>
        <w:t>National Principles for Child Safe Organisations</w:t>
      </w:r>
      <w:r w:rsidRPr="00845782">
        <w:t xml:space="preserve">. The </w:t>
      </w:r>
      <w:bookmarkStart w:id="3" w:name="_Hlk140833396"/>
      <w:r w:rsidRPr="00845782">
        <w:t>Department is committed to the safety, wellbeing, and empowerment of all children and young people, and expect all employees to actively participate in and contribute to our rights-based approach to care, including meeting all mandatory reporting obligations.</w:t>
      </w:r>
    </w:p>
    <w:p w14:paraId="5F91E2BE" w14:textId="77777777" w:rsidR="005D5AA2" w:rsidRPr="00845782" w:rsidRDefault="005D5AA2" w:rsidP="005D5AA2">
      <w:pPr>
        <w:pStyle w:val="BulletedListLevel1"/>
      </w:pPr>
      <w:r w:rsidRPr="00845782">
        <w:t xml:space="preserve">Where applicable, exercise delegations in accordance with a range of Acts, Regulations, Awards, administrative </w:t>
      </w:r>
      <w:proofErr w:type="gramStart"/>
      <w:r w:rsidRPr="00845782">
        <w:t>authorities</w:t>
      </w:r>
      <w:proofErr w:type="gramEnd"/>
      <w:r w:rsidRPr="00845782">
        <w:t xml:space="preserve"> and functional arrangements as mandated by Statutory office holders including the Secretary and Head of State Service. The relevant Unit Manager can provide details to the occupant of delegations applicable to this position. </w:t>
      </w:r>
    </w:p>
    <w:p w14:paraId="7AB48C7B" w14:textId="77777777" w:rsidR="005D5AA2" w:rsidRPr="00845782" w:rsidRDefault="005D5AA2" w:rsidP="005D5AA2">
      <w:pPr>
        <w:pStyle w:val="BulletedListLevel1"/>
      </w:pPr>
      <w:proofErr w:type="gramStart"/>
      <w:r w:rsidRPr="00845782">
        <w:t>Comply at all times</w:t>
      </w:r>
      <w:proofErr w:type="gramEnd"/>
      <w:r w:rsidRPr="00845782">
        <w:t xml:space="preserve"> with policy and protocol requirements, including those relating to mandatory education, training and assessment</w:t>
      </w:r>
      <w:bookmarkEnd w:id="0"/>
      <w:r w:rsidRPr="00845782">
        <w:t>.</w:t>
      </w:r>
      <w:bookmarkEnd w:id="1"/>
    </w:p>
    <w:bookmarkEnd w:id="2"/>
    <w:bookmarkEnd w:id="3"/>
    <w:p w14:paraId="3FB457FF" w14:textId="77777777" w:rsidR="00E91AB6" w:rsidRDefault="00AF0C6B" w:rsidP="007755C4">
      <w:pPr>
        <w:pStyle w:val="Heading3"/>
      </w:pPr>
      <w:r>
        <w:t>Pre-employment Conditions</w:t>
      </w:r>
      <w:r w:rsidR="00E91AB6">
        <w:t>:</w:t>
      </w:r>
    </w:p>
    <w:p w14:paraId="239FD054" w14:textId="77777777" w:rsidR="00996960" w:rsidRPr="00996960" w:rsidRDefault="00B97D5F" w:rsidP="005D5AA2">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5D5AA2">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5D5AA2">
      <w:pPr>
        <w:pStyle w:val="ListNumbered"/>
        <w:numPr>
          <w:ilvl w:val="0"/>
          <w:numId w:val="16"/>
        </w:numPr>
        <w:spacing w:after="120"/>
        <w:jc w:val="both"/>
      </w:pPr>
      <w:r>
        <w:t>Conviction checks in the following areas:</w:t>
      </w:r>
    </w:p>
    <w:p w14:paraId="64D6C105" w14:textId="77777777" w:rsidR="00E91AB6" w:rsidRDefault="00E91AB6" w:rsidP="005D5AA2">
      <w:pPr>
        <w:pStyle w:val="ListNumbered"/>
        <w:numPr>
          <w:ilvl w:val="1"/>
          <w:numId w:val="13"/>
        </w:numPr>
        <w:spacing w:after="120"/>
        <w:jc w:val="both"/>
      </w:pPr>
      <w:r>
        <w:t>crimes of violence</w:t>
      </w:r>
    </w:p>
    <w:p w14:paraId="1DB7CFAF" w14:textId="77777777" w:rsidR="00E91AB6" w:rsidRDefault="00E91AB6" w:rsidP="005D5AA2">
      <w:pPr>
        <w:pStyle w:val="ListNumbered"/>
        <w:numPr>
          <w:ilvl w:val="1"/>
          <w:numId w:val="13"/>
        </w:numPr>
        <w:spacing w:after="120"/>
        <w:jc w:val="both"/>
      </w:pPr>
      <w:r>
        <w:t>sex related offences</w:t>
      </w:r>
    </w:p>
    <w:p w14:paraId="2FA73182" w14:textId="77777777" w:rsidR="00E91AB6" w:rsidRDefault="00E91AB6" w:rsidP="005D5AA2">
      <w:pPr>
        <w:pStyle w:val="ListNumbered"/>
        <w:numPr>
          <w:ilvl w:val="1"/>
          <w:numId w:val="13"/>
        </w:numPr>
        <w:spacing w:after="120"/>
        <w:jc w:val="both"/>
      </w:pPr>
      <w:r>
        <w:t>serious drug offences</w:t>
      </w:r>
    </w:p>
    <w:p w14:paraId="3C232643" w14:textId="77777777" w:rsidR="00405739" w:rsidRDefault="00E91AB6" w:rsidP="005D5AA2">
      <w:pPr>
        <w:pStyle w:val="ListNumbered"/>
        <w:numPr>
          <w:ilvl w:val="1"/>
          <w:numId w:val="13"/>
        </w:numPr>
        <w:spacing w:after="120"/>
        <w:jc w:val="both"/>
      </w:pPr>
      <w:r>
        <w:t xml:space="preserve">crimes involving </w:t>
      </w:r>
      <w:proofErr w:type="gramStart"/>
      <w:r>
        <w:t>dishonesty</w:t>
      </w:r>
      <w:proofErr w:type="gramEnd"/>
    </w:p>
    <w:p w14:paraId="5CA70319" w14:textId="77777777" w:rsidR="00E91AB6" w:rsidRDefault="00E91AB6" w:rsidP="005D5AA2">
      <w:pPr>
        <w:pStyle w:val="ListNumbered"/>
        <w:spacing w:after="120"/>
        <w:jc w:val="both"/>
      </w:pPr>
      <w:r>
        <w:t>Identification check</w:t>
      </w:r>
    </w:p>
    <w:p w14:paraId="0E2EB94A" w14:textId="5C46286D" w:rsidR="00E91AB6" w:rsidRDefault="00E91AB6" w:rsidP="005D5AA2">
      <w:pPr>
        <w:pStyle w:val="ListNumbered"/>
        <w:spacing w:after="120"/>
        <w:jc w:val="both"/>
      </w:pPr>
      <w:r>
        <w:t>Disciplinary action in previous employment check.</w:t>
      </w:r>
    </w:p>
    <w:p w14:paraId="3187123E" w14:textId="77777777" w:rsidR="00E91AB6" w:rsidRDefault="00E91AB6" w:rsidP="007755C4">
      <w:pPr>
        <w:pStyle w:val="Heading3"/>
      </w:pPr>
      <w:r>
        <w:t>Selection Criteria:</w:t>
      </w:r>
    </w:p>
    <w:p w14:paraId="7970E671" w14:textId="77777777" w:rsidR="00AB1F6A" w:rsidRPr="002B43CF"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rPr>
        <w:t>Significant general Orthoptic experience, with high working knowledge and experience in core areas of Orthoptics particularly, paediatric assessment, and assessment of neurological and motility disorders.</w:t>
      </w:r>
    </w:p>
    <w:p w14:paraId="7B457B3A" w14:textId="77777777" w:rsidR="00AB1F6A" w:rsidRPr="002B43CF"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rPr>
        <w:t xml:space="preserve">Ability to work independently while managing a high case </w:t>
      </w:r>
      <w:proofErr w:type="gramStart"/>
      <w:r w:rsidRPr="002B43CF">
        <w:rPr>
          <w:rFonts w:ascii="Gill Sans MT" w:hAnsi="Gill Sans MT"/>
        </w:rPr>
        <w:t>load</w:t>
      </w:r>
      <w:proofErr w:type="gramEnd"/>
      <w:r w:rsidRPr="002B43CF">
        <w:rPr>
          <w:rFonts w:ascii="Gill Sans MT" w:hAnsi="Gill Sans MT"/>
        </w:rPr>
        <w:t xml:space="preserve">  </w:t>
      </w:r>
    </w:p>
    <w:p w14:paraId="33955BC7" w14:textId="77777777" w:rsidR="00AB1F6A" w:rsidRPr="002B43CF"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rPr>
        <w:t xml:space="preserve">Proficiency in Ophthalmic diagnostic procedures including Visual fields, Optical Coherence Tomography (OCT), fundus photography &amp; A Scan biometry. </w:t>
      </w:r>
    </w:p>
    <w:p w14:paraId="03EEB6F1" w14:textId="77777777" w:rsidR="00AB1F6A" w:rsidRPr="002B43CF"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cs="Calibri"/>
        </w:rPr>
        <w:lastRenderedPageBreak/>
        <w:t xml:space="preserve">Proven ability to lead an identified Orthoptic team and coordinate/supervise Orthoptic services, allied health assistants and technicians within the Ophthalmic clinic. </w:t>
      </w:r>
    </w:p>
    <w:p w14:paraId="77ECE043" w14:textId="77777777" w:rsidR="00AB1F6A" w:rsidRPr="002B43CF"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rPr>
        <w:t>Proven commitment to evidence-based practice, quality improvement, research, and</w:t>
      </w:r>
      <w:r w:rsidRPr="002B43CF">
        <w:rPr>
          <w:rFonts w:ascii="Gill Sans MT" w:hAnsi="Gill Sans MT" w:cs="Calibri"/>
        </w:rPr>
        <w:t xml:space="preserve"> ongoing professional development.</w:t>
      </w:r>
      <w:r w:rsidRPr="002B43CF">
        <w:rPr>
          <w:rFonts w:ascii="Gill Sans MT" w:hAnsi="Gill Sans MT"/>
        </w:rPr>
        <w:t xml:space="preserve"> </w:t>
      </w:r>
    </w:p>
    <w:p w14:paraId="55646AB1" w14:textId="77777777" w:rsidR="00AB1F6A" w:rsidRPr="00182CE9" w:rsidRDefault="00AB1F6A" w:rsidP="005D5AA2">
      <w:pPr>
        <w:keepLines/>
        <w:numPr>
          <w:ilvl w:val="0"/>
          <w:numId w:val="21"/>
        </w:numPr>
        <w:tabs>
          <w:tab w:val="left" w:pos="567"/>
        </w:tabs>
        <w:spacing w:before="120" w:after="120"/>
        <w:jc w:val="both"/>
        <w:rPr>
          <w:rFonts w:ascii="Gill Sans MT" w:hAnsi="Gill Sans MT"/>
        </w:rPr>
      </w:pPr>
      <w:r w:rsidRPr="002B43CF">
        <w:rPr>
          <w:rFonts w:ascii="Gill Sans MT" w:hAnsi="Gill Sans MT"/>
        </w:rPr>
        <w:t>Demonstrated analytical skills, initiative, and flexibility, including the ability to develop</w:t>
      </w:r>
      <w:r w:rsidRPr="00182CE9">
        <w:rPr>
          <w:rFonts w:ascii="Gill Sans MT" w:hAnsi="Gill Sans MT"/>
        </w:rPr>
        <w:t xml:space="preserve">, implement and evaluate service improvements, policies, </w:t>
      </w:r>
      <w:proofErr w:type="gramStart"/>
      <w:r w:rsidRPr="00182CE9">
        <w:rPr>
          <w:rFonts w:ascii="Gill Sans MT" w:hAnsi="Gill Sans MT"/>
        </w:rPr>
        <w:t>protocols</w:t>
      </w:r>
      <w:proofErr w:type="gramEnd"/>
      <w:r w:rsidRPr="00182CE9">
        <w:rPr>
          <w:rFonts w:ascii="Gill Sans MT" w:hAnsi="Gill Sans MT"/>
        </w:rPr>
        <w:t xml:space="preserve"> and procedures, within a complex working environment.</w:t>
      </w:r>
    </w:p>
    <w:p w14:paraId="4D430B7E" w14:textId="07A92C03" w:rsidR="00E91AB6" w:rsidRPr="00AB1F6A" w:rsidRDefault="00AB1F6A" w:rsidP="005D5AA2">
      <w:pPr>
        <w:keepLines/>
        <w:numPr>
          <w:ilvl w:val="0"/>
          <w:numId w:val="21"/>
        </w:numPr>
        <w:tabs>
          <w:tab w:val="left" w:pos="567"/>
        </w:tabs>
        <w:spacing w:before="120" w:after="120"/>
        <w:jc w:val="both"/>
        <w:rPr>
          <w:rFonts w:ascii="Gill Sans MT" w:hAnsi="Gill Sans MT"/>
        </w:rPr>
      </w:pPr>
      <w:r w:rsidRPr="00182CE9">
        <w:rPr>
          <w:rFonts w:ascii="Gill Sans MT" w:hAnsi="Gill Sans MT" w:cs="Calibri"/>
        </w:rPr>
        <w:t>Ability to communicate effectively and liaise with a wide referral base within the health care system, and proven ability to deliver comprehensive written and oral reports.</w:t>
      </w:r>
    </w:p>
    <w:p w14:paraId="201CCDCC" w14:textId="77777777" w:rsidR="00E91AB6" w:rsidRDefault="00E91AB6" w:rsidP="007755C4">
      <w:pPr>
        <w:pStyle w:val="Heading3"/>
      </w:pPr>
      <w:r>
        <w:t>Working Environment:</w:t>
      </w:r>
    </w:p>
    <w:p w14:paraId="5C55F42E" w14:textId="77777777" w:rsidR="005D5AA2" w:rsidRPr="00845782" w:rsidRDefault="005D5AA2" w:rsidP="005D5AA2">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68856DC9" w14:textId="77777777" w:rsidR="005D5AA2" w:rsidRPr="00845782" w:rsidRDefault="005D5AA2" w:rsidP="005D5AA2">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61D1B97E" w14:textId="77777777" w:rsidR="005D5AA2" w:rsidRPr="00845782" w:rsidRDefault="005D5AA2" w:rsidP="005D5AA2">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10046139" w:rsidR="000D5AF4" w:rsidRPr="00E745F5" w:rsidRDefault="005D5AA2" w:rsidP="00E745F5">
      <w:pPr>
        <w:rPr>
          <w:rFonts w:cs="Calibri"/>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00E745F5">
          <w:rPr>
            <w:rStyle w:val="Hyperlink"/>
          </w:rPr>
          <w:t>Consumer and Community Engagement Principles | Tasmanian Department of Health</w:t>
        </w:r>
      </w:hyperlink>
      <w:r w:rsidR="00E745F5">
        <w:rPr>
          <w:rFonts w:cs="Calibri"/>
        </w:rPr>
        <w:t>.</w:t>
      </w:r>
    </w:p>
    <w:sectPr w:rsidR="000D5AF4" w:rsidRPr="00E745F5"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D2BD" w14:textId="77777777" w:rsidR="004F64DB" w:rsidRDefault="004F64DB" w:rsidP="00F420E2">
      <w:pPr>
        <w:spacing w:after="0" w:line="240" w:lineRule="auto"/>
      </w:pPr>
      <w:r>
        <w:separator/>
      </w:r>
    </w:p>
  </w:endnote>
  <w:endnote w:type="continuationSeparator" w:id="0">
    <w:p w14:paraId="3054B396" w14:textId="77777777" w:rsidR="004F64DB" w:rsidRDefault="004F64D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04D2" w14:textId="77777777" w:rsidR="004F64DB" w:rsidRDefault="004F64DB" w:rsidP="00F420E2">
      <w:pPr>
        <w:spacing w:after="0" w:line="240" w:lineRule="auto"/>
      </w:pPr>
      <w:r>
        <w:separator/>
      </w:r>
    </w:p>
  </w:footnote>
  <w:footnote w:type="continuationSeparator" w:id="0">
    <w:p w14:paraId="605E304B" w14:textId="77777777" w:rsidR="004F64DB" w:rsidRDefault="004F64D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9D5"/>
    <w:multiLevelType w:val="hybridMultilevel"/>
    <w:tmpl w:val="CC6C0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9A12D3"/>
    <w:multiLevelType w:val="hybridMultilevel"/>
    <w:tmpl w:val="B7B8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A5599"/>
    <w:multiLevelType w:val="hybridMultilevel"/>
    <w:tmpl w:val="07FA5D9A"/>
    <w:lvl w:ilvl="0" w:tplc="0C09000F">
      <w:start w:val="1"/>
      <w:numFmt w:val="decimal"/>
      <w:lvlText w:val="%1."/>
      <w:lvlJc w:val="left"/>
      <w:pPr>
        <w:tabs>
          <w:tab w:val="num" w:pos="1287"/>
        </w:tabs>
        <w:ind w:left="1287" w:hanging="360"/>
      </w:pPr>
      <w:rPr>
        <w:rFonts w:hint="default"/>
      </w:rPr>
    </w:lvl>
    <w:lvl w:ilvl="1" w:tplc="0C090003" w:tentative="1">
      <w:start w:val="1"/>
      <w:numFmt w:val="bullet"/>
      <w:lvlText w:val="o"/>
      <w:lvlJc w:val="left"/>
      <w:pPr>
        <w:tabs>
          <w:tab w:val="num" w:pos="2367"/>
        </w:tabs>
        <w:ind w:left="2367" w:hanging="360"/>
      </w:pPr>
      <w:rPr>
        <w:rFonts w:ascii="Courier New" w:hAnsi="Courier New" w:cs="Courier New" w:hint="default"/>
      </w:rPr>
    </w:lvl>
    <w:lvl w:ilvl="2" w:tplc="0C090005" w:tentative="1">
      <w:start w:val="1"/>
      <w:numFmt w:val="bullet"/>
      <w:lvlText w:val=""/>
      <w:lvlJc w:val="left"/>
      <w:pPr>
        <w:tabs>
          <w:tab w:val="num" w:pos="3087"/>
        </w:tabs>
        <w:ind w:left="3087" w:hanging="360"/>
      </w:pPr>
      <w:rPr>
        <w:rFonts w:ascii="Wingdings" w:hAnsi="Wingdings" w:hint="default"/>
      </w:rPr>
    </w:lvl>
    <w:lvl w:ilvl="3" w:tplc="0C090001" w:tentative="1">
      <w:start w:val="1"/>
      <w:numFmt w:val="bullet"/>
      <w:lvlText w:val=""/>
      <w:lvlJc w:val="left"/>
      <w:pPr>
        <w:tabs>
          <w:tab w:val="num" w:pos="3807"/>
        </w:tabs>
        <w:ind w:left="3807" w:hanging="360"/>
      </w:pPr>
      <w:rPr>
        <w:rFonts w:ascii="Symbol" w:hAnsi="Symbol" w:hint="default"/>
      </w:rPr>
    </w:lvl>
    <w:lvl w:ilvl="4" w:tplc="0C090003" w:tentative="1">
      <w:start w:val="1"/>
      <w:numFmt w:val="bullet"/>
      <w:lvlText w:val="o"/>
      <w:lvlJc w:val="left"/>
      <w:pPr>
        <w:tabs>
          <w:tab w:val="num" w:pos="4527"/>
        </w:tabs>
        <w:ind w:left="4527" w:hanging="360"/>
      </w:pPr>
      <w:rPr>
        <w:rFonts w:ascii="Courier New" w:hAnsi="Courier New" w:cs="Courier New" w:hint="default"/>
      </w:rPr>
    </w:lvl>
    <w:lvl w:ilvl="5" w:tplc="0C090005" w:tentative="1">
      <w:start w:val="1"/>
      <w:numFmt w:val="bullet"/>
      <w:lvlText w:val=""/>
      <w:lvlJc w:val="left"/>
      <w:pPr>
        <w:tabs>
          <w:tab w:val="num" w:pos="5247"/>
        </w:tabs>
        <w:ind w:left="5247" w:hanging="360"/>
      </w:pPr>
      <w:rPr>
        <w:rFonts w:ascii="Wingdings" w:hAnsi="Wingdings" w:hint="default"/>
      </w:rPr>
    </w:lvl>
    <w:lvl w:ilvl="6" w:tplc="0C090001" w:tentative="1">
      <w:start w:val="1"/>
      <w:numFmt w:val="bullet"/>
      <w:lvlText w:val=""/>
      <w:lvlJc w:val="left"/>
      <w:pPr>
        <w:tabs>
          <w:tab w:val="num" w:pos="5967"/>
        </w:tabs>
        <w:ind w:left="5967" w:hanging="360"/>
      </w:pPr>
      <w:rPr>
        <w:rFonts w:ascii="Symbol" w:hAnsi="Symbol" w:hint="default"/>
      </w:rPr>
    </w:lvl>
    <w:lvl w:ilvl="7" w:tplc="0C090003" w:tentative="1">
      <w:start w:val="1"/>
      <w:numFmt w:val="bullet"/>
      <w:lvlText w:val="o"/>
      <w:lvlJc w:val="left"/>
      <w:pPr>
        <w:tabs>
          <w:tab w:val="num" w:pos="6687"/>
        </w:tabs>
        <w:ind w:left="6687" w:hanging="360"/>
      </w:pPr>
      <w:rPr>
        <w:rFonts w:ascii="Courier New" w:hAnsi="Courier New" w:cs="Courier New" w:hint="default"/>
      </w:rPr>
    </w:lvl>
    <w:lvl w:ilvl="8" w:tplc="0C0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26CE5916"/>
    <w:multiLevelType w:val="hybridMultilevel"/>
    <w:tmpl w:val="CD0E1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2E0A7C"/>
    <w:multiLevelType w:val="hybridMultilevel"/>
    <w:tmpl w:val="C04A4EA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A86672"/>
    <w:multiLevelType w:val="hybridMultilevel"/>
    <w:tmpl w:val="D4F8E74E"/>
    <w:lvl w:ilvl="0" w:tplc="ECDC698E">
      <w:start w:val="1"/>
      <w:numFmt w:val="lowerLetter"/>
      <w:lvlText w:val="%1)"/>
      <w:lvlJc w:val="left"/>
      <w:pPr>
        <w:ind w:left="987" w:hanging="360"/>
      </w:pPr>
      <w:rPr>
        <w:rFonts w:hint="default"/>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num w:numId="1" w16cid:durableId="787354753">
    <w:abstractNumId w:val="25"/>
  </w:num>
  <w:num w:numId="2" w16cid:durableId="2135638710">
    <w:abstractNumId w:val="4"/>
  </w:num>
  <w:num w:numId="3" w16cid:durableId="1289973420">
    <w:abstractNumId w:val="2"/>
  </w:num>
  <w:num w:numId="4" w16cid:durableId="1289822851">
    <w:abstractNumId w:val="11"/>
  </w:num>
  <w:num w:numId="5" w16cid:durableId="2002350531">
    <w:abstractNumId w:val="17"/>
  </w:num>
  <w:num w:numId="6" w16cid:durableId="640574192">
    <w:abstractNumId w:val="13"/>
  </w:num>
  <w:num w:numId="7" w16cid:durableId="1515996157">
    <w:abstractNumId w:val="21"/>
  </w:num>
  <w:num w:numId="8" w16cid:durableId="1489443286">
    <w:abstractNumId w:val="1"/>
  </w:num>
  <w:num w:numId="9" w16cid:durableId="1361396755">
    <w:abstractNumId w:val="22"/>
  </w:num>
  <w:num w:numId="10" w16cid:durableId="1114598461">
    <w:abstractNumId w:val="18"/>
  </w:num>
  <w:num w:numId="11" w16cid:durableId="1828941007">
    <w:abstractNumId w:val="9"/>
  </w:num>
  <w:num w:numId="12" w16cid:durableId="647710830">
    <w:abstractNumId w:val="10"/>
  </w:num>
  <w:num w:numId="13" w16cid:durableId="1458716824">
    <w:abstractNumId w:val="12"/>
  </w:num>
  <w:num w:numId="14" w16cid:durableId="1558979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731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3592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126147">
    <w:abstractNumId w:val="14"/>
  </w:num>
  <w:num w:numId="18" w16cid:durableId="2141145779">
    <w:abstractNumId w:val="3"/>
  </w:num>
  <w:num w:numId="19" w16cid:durableId="162670050">
    <w:abstractNumId w:val="16"/>
  </w:num>
  <w:num w:numId="20" w16cid:durableId="774979791">
    <w:abstractNumId w:val="19"/>
  </w:num>
  <w:num w:numId="21" w16cid:durableId="710348509">
    <w:abstractNumId w:val="15"/>
  </w:num>
  <w:num w:numId="22" w16cid:durableId="214239214">
    <w:abstractNumId w:val="6"/>
  </w:num>
  <w:num w:numId="23" w16cid:durableId="1120149270">
    <w:abstractNumId w:val="5"/>
  </w:num>
  <w:num w:numId="24" w16cid:durableId="633602874">
    <w:abstractNumId w:val="8"/>
  </w:num>
  <w:num w:numId="25" w16cid:durableId="1713649982">
    <w:abstractNumId w:val="24"/>
  </w:num>
  <w:num w:numId="26" w16cid:durableId="390738480">
    <w:abstractNumId w:val="7"/>
  </w:num>
  <w:num w:numId="27" w16cid:durableId="1688871114">
    <w:abstractNumId w:val="20"/>
  </w:num>
  <w:num w:numId="28" w16cid:durableId="1337148392">
    <w:abstractNumId w:val="0"/>
  </w:num>
  <w:num w:numId="29" w16cid:durableId="774832340">
    <w:abstractNumId w:val="23"/>
  </w:num>
  <w:num w:numId="30" w16cid:durableId="12808378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B78ED"/>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63C0"/>
    <w:rsid w:val="00324C8F"/>
    <w:rsid w:val="00325022"/>
    <w:rsid w:val="00326F12"/>
    <w:rsid w:val="0033673B"/>
    <w:rsid w:val="00341FBA"/>
    <w:rsid w:val="003445B1"/>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4F64DB"/>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5AA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C4B8D"/>
    <w:rsid w:val="006D31AA"/>
    <w:rsid w:val="006E2EF8"/>
    <w:rsid w:val="006E3EFC"/>
    <w:rsid w:val="006E616D"/>
    <w:rsid w:val="006F254C"/>
    <w:rsid w:val="00720B7D"/>
    <w:rsid w:val="00724132"/>
    <w:rsid w:val="00727CD6"/>
    <w:rsid w:val="00734F23"/>
    <w:rsid w:val="007356C9"/>
    <w:rsid w:val="00741EF2"/>
    <w:rsid w:val="00750586"/>
    <w:rsid w:val="0075247C"/>
    <w:rsid w:val="00752800"/>
    <w:rsid w:val="007755C4"/>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05A3"/>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E77FA"/>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1F6A"/>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45F5"/>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AB1F6A"/>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443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93956"/>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Moore, Samantha E</cp:lastModifiedBy>
  <cp:revision>2</cp:revision>
  <cp:lastPrinted>2024-03-14T04:16:00Z</cp:lastPrinted>
  <dcterms:created xsi:type="dcterms:W3CDTF">2024-03-17T23:27:00Z</dcterms:created>
  <dcterms:modified xsi:type="dcterms:W3CDTF">2024-03-17T23:27:00Z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3e504821150bd204dcbe1949a8088625d5fe3c2dc0d77fe8aad49b43ccd72cf5</vt:lpwstr>
  </property>
</Properties>
</file>