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CA5B" w14:textId="0DAFF38D" w:rsidR="00C23468" w:rsidRPr="001E071F" w:rsidRDefault="006372F3" w:rsidP="00E17F3F">
      <w:pPr>
        <w:pStyle w:val="AHPRADocumentsubheading"/>
      </w:pPr>
      <w:r w:rsidRPr="001E071F">
        <w:t xml:space="preserve">Role Name: </w:t>
      </w:r>
      <w:r w:rsidR="00795554">
        <w:t xml:space="preserve">Data </w:t>
      </w:r>
      <w:r w:rsidR="00485C83">
        <w:t>Scientist</w:t>
      </w:r>
    </w:p>
    <w:p w14:paraId="19E393BD" w14:textId="77777777" w:rsidR="006372F3" w:rsidRPr="00E17F3F" w:rsidRDefault="006372F3" w:rsidP="00E17F3F">
      <w:pPr>
        <w:spacing w:before="200"/>
        <w:rPr>
          <w:b/>
          <w:color w:val="007DC3"/>
          <w:sz w:val="20"/>
        </w:rPr>
      </w:pPr>
      <w:r w:rsidRPr="00E17F3F">
        <w:rPr>
          <w:b/>
          <w:color w:val="007DC3"/>
          <w:sz w:val="20"/>
        </w:rPr>
        <w:t>Role data</w:t>
      </w:r>
    </w:p>
    <w:tbl>
      <w:tblPr>
        <w:tblStyle w:val="TableGrid"/>
        <w:tblW w:w="4949" w:type="pct"/>
        <w:tblInd w:w="108" w:type="dxa"/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</w:tblGrid>
      <w:tr w:rsidR="006372F3" w:rsidRPr="001E071F" w14:paraId="27D5D702" w14:textId="77777777" w:rsidTr="28EF1DD5">
        <w:tc>
          <w:tcPr>
            <w:tcW w:w="1250" w:type="pct"/>
            <w:vAlign w:val="center"/>
          </w:tcPr>
          <w:p w14:paraId="4AA77394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Position no.</w:t>
            </w:r>
          </w:p>
        </w:tc>
        <w:tc>
          <w:tcPr>
            <w:tcW w:w="1250" w:type="pct"/>
            <w:vAlign w:val="center"/>
          </w:tcPr>
          <w:p w14:paraId="1509DE45" w14:textId="1A82F519" w:rsidR="006372F3" w:rsidRPr="00006EE9" w:rsidRDefault="009B6B91" w:rsidP="00F91869">
            <w:pPr>
              <w:spacing w:before="120" w:after="120"/>
              <w:rPr>
                <w:rFonts w:cs="Arial"/>
                <w:highlight w:val="yellow"/>
                <w:lang w:val="en-GB"/>
              </w:rPr>
            </w:pPr>
            <w:r w:rsidRPr="009B6B91">
              <w:rPr>
                <w:rFonts w:cs="Arial"/>
                <w:lang w:val="en-GB"/>
              </w:rPr>
              <w:t>E12185</w:t>
            </w:r>
          </w:p>
        </w:tc>
        <w:tc>
          <w:tcPr>
            <w:tcW w:w="1250" w:type="pct"/>
            <w:vAlign w:val="center"/>
          </w:tcPr>
          <w:p w14:paraId="36A0A6F4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Work Area Profile</w:t>
            </w:r>
          </w:p>
        </w:tc>
        <w:tc>
          <w:tcPr>
            <w:tcW w:w="1250" w:type="pct"/>
            <w:vAlign w:val="center"/>
          </w:tcPr>
          <w:p w14:paraId="4C31A6B9" w14:textId="75E2C9C7" w:rsidR="006372F3" w:rsidRPr="001E071F" w:rsidRDefault="009003DB" w:rsidP="00F9186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Research and Evaluation team</w:t>
            </w:r>
          </w:p>
        </w:tc>
      </w:tr>
      <w:tr w:rsidR="006372F3" w:rsidRPr="001E071F" w14:paraId="6C48D764" w14:textId="77777777" w:rsidTr="28EF1DD5">
        <w:tc>
          <w:tcPr>
            <w:tcW w:w="1250" w:type="pct"/>
            <w:vAlign w:val="center"/>
          </w:tcPr>
          <w:p w14:paraId="51A62C5C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Work Level Classification</w:t>
            </w:r>
          </w:p>
        </w:tc>
        <w:tc>
          <w:tcPr>
            <w:tcW w:w="1250" w:type="pct"/>
            <w:vAlign w:val="center"/>
          </w:tcPr>
          <w:p w14:paraId="6F00ADF2" w14:textId="5F187DF4" w:rsidR="006372F3" w:rsidRPr="006037ED" w:rsidRDefault="006270F2" w:rsidP="00F91869">
            <w:pPr>
              <w:spacing w:before="120" w:after="120"/>
              <w:rPr>
                <w:rFonts w:cs="Arial"/>
                <w:highlight w:val="yellow"/>
                <w:lang w:val="en-GB"/>
              </w:rPr>
            </w:pPr>
            <w:r w:rsidRPr="005E4B84">
              <w:rPr>
                <w:rFonts w:cs="Arial"/>
                <w:lang w:val="en-GB"/>
              </w:rPr>
              <w:t>Level 6</w:t>
            </w:r>
          </w:p>
        </w:tc>
        <w:tc>
          <w:tcPr>
            <w:tcW w:w="1250" w:type="pct"/>
            <w:vAlign w:val="center"/>
          </w:tcPr>
          <w:p w14:paraId="081E05AB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Directorate/Business Unit</w:t>
            </w:r>
          </w:p>
        </w:tc>
        <w:tc>
          <w:tcPr>
            <w:tcW w:w="1250" w:type="pct"/>
            <w:vAlign w:val="center"/>
          </w:tcPr>
          <w:p w14:paraId="02CC2234" w14:textId="7EDA2916" w:rsidR="006372F3" w:rsidRPr="001E071F" w:rsidRDefault="00EF6593" w:rsidP="00F9186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Strategy and Policy</w:t>
            </w:r>
          </w:p>
        </w:tc>
      </w:tr>
      <w:tr w:rsidR="006372F3" w:rsidRPr="001E071F" w14:paraId="50E81491" w14:textId="77777777" w:rsidTr="28EF1DD5">
        <w:tc>
          <w:tcPr>
            <w:tcW w:w="1250" w:type="pct"/>
            <w:vAlign w:val="center"/>
          </w:tcPr>
          <w:p w14:paraId="417C0181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Reports to (role)</w:t>
            </w:r>
          </w:p>
        </w:tc>
        <w:tc>
          <w:tcPr>
            <w:tcW w:w="1250" w:type="pct"/>
            <w:vAlign w:val="center"/>
          </w:tcPr>
          <w:p w14:paraId="4D528B1A" w14:textId="4B3005D7" w:rsidR="001E5078" w:rsidRPr="001E5078" w:rsidRDefault="005F280E" w:rsidP="00F9186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Man</w:t>
            </w:r>
            <w:r w:rsidR="00485C83">
              <w:rPr>
                <w:rFonts w:cs="Arial"/>
                <w:lang w:val="en-GB"/>
              </w:rPr>
              <w:t>a</w:t>
            </w:r>
            <w:r>
              <w:rPr>
                <w:rFonts w:cs="Arial"/>
                <w:lang w:val="en-GB"/>
              </w:rPr>
              <w:t>ger Research Analytics and Insights</w:t>
            </w:r>
          </w:p>
        </w:tc>
        <w:tc>
          <w:tcPr>
            <w:tcW w:w="1250" w:type="pct"/>
            <w:vAlign w:val="center"/>
          </w:tcPr>
          <w:p w14:paraId="72AF4B18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Location</w:t>
            </w:r>
          </w:p>
        </w:tc>
        <w:tc>
          <w:tcPr>
            <w:tcW w:w="1250" w:type="pct"/>
            <w:vAlign w:val="center"/>
          </w:tcPr>
          <w:p w14:paraId="49E0D214" w14:textId="50FF5812" w:rsidR="006372F3" w:rsidRPr="001E071F" w:rsidRDefault="009003DB" w:rsidP="00F9186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Melbourne </w:t>
            </w:r>
          </w:p>
        </w:tc>
      </w:tr>
      <w:tr w:rsidR="006372F3" w:rsidRPr="001E071F" w14:paraId="062DFF32" w14:textId="77777777" w:rsidTr="28EF1DD5">
        <w:tc>
          <w:tcPr>
            <w:tcW w:w="1250" w:type="pct"/>
            <w:vAlign w:val="center"/>
          </w:tcPr>
          <w:p w14:paraId="7269ED91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No. direct reports</w:t>
            </w:r>
          </w:p>
        </w:tc>
        <w:tc>
          <w:tcPr>
            <w:tcW w:w="1250" w:type="pct"/>
            <w:vAlign w:val="center"/>
          </w:tcPr>
          <w:p w14:paraId="64CBCD48" w14:textId="7F26F6EA" w:rsidR="006372F3" w:rsidRPr="001E071F" w:rsidRDefault="00582968" w:rsidP="00F9186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Nil</w:t>
            </w:r>
          </w:p>
        </w:tc>
        <w:tc>
          <w:tcPr>
            <w:tcW w:w="1250" w:type="pct"/>
            <w:vAlign w:val="center"/>
          </w:tcPr>
          <w:p w14:paraId="798F3BDD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No. of indirect reports</w:t>
            </w:r>
          </w:p>
        </w:tc>
        <w:tc>
          <w:tcPr>
            <w:tcW w:w="1250" w:type="pct"/>
            <w:vAlign w:val="center"/>
          </w:tcPr>
          <w:p w14:paraId="06F87F08" w14:textId="3816B084" w:rsidR="006372F3" w:rsidRPr="001E071F" w:rsidRDefault="00582968" w:rsidP="00F9186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Nil</w:t>
            </w:r>
          </w:p>
        </w:tc>
      </w:tr>
      <w:tr w:rsidR="006372F3" w:rsidRPr="001E071F" w14:paraId="31271D12" w14:textId="77777777" w:rsidTr="28EF1DD5">
        <w:tc>
          <w:tcPr>
            <w:tcW w:w="1250" w:type="pct"/>
            <w:vAlign w:val="center"/>
          </w:tcPr>
          <w:p w14:paraId="2DA3D7DD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Version date</w:t>
            </w:r>
          </w:p>
        </w:tc>
        <w:tc>
          <w:tcPr>
            <w:tcW w:w="1250" w:type="pct"/>
            <w:vAlign w:val="center"/>
          </w:tcPr>
          <w:p w14:paraId="019D03B1" w14:textId="4A07D471" w:rsidR="006372F3" w:rsidRPr="001E071F" w:rsidRDefault="00A20127" w:rsidP="00F91869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October 2021</w:t>
            </w:r>
          </w:p>
        </w:tc>
        <w:tc>
          <w:tcPr>
            <w:tcW w:w="1250" w:type="pct"/>
            <w:vAlign w:val="center"/>
          </w:tcPr>
          <w:p w14:paraId="7FA35EEF" w14:textId="77777777" w:rsidR="006372F3" w:rsidRPr="00FF5A6F" w:rsidRDefault="006372F3" w:rsidP="00FF5A6F">
            <w:pPr>
              <w:spacing w:before="200"/>
              <w:rPr>
                <w:b/>
                <w:color w:val="007DC3"/>
              </w:rPr>
            </w:pPr>
            <w:r w:rsidRPr="00FF5A6F">
              <w:rPr>
                <w:b/>
                <w:color w:val="007DC3"/>
              </w:rPr>
              <w:t>Tenure</w:t>
            </w:r>
          </w:p>
        </w:tc>
        <w:tc>
          <w:tcPr>
            <w:tcW w:w="1250" w:type="pct"/>
            <w:vAlign w:val="center"/>
          </w:tcPr>
          <w:p w14:paraId="397DFB86" w14:textId="223DAAB7" w:rsidR="006372F3" w:rsidRPr="001E071F" w:rsidRDefault="00655347" w:rsidP="00F91869">
            <w:pPr>
              <w:spacing w:before="120" w:after="120"/>
              <w:rPr>
                <w:rFonts w:cs="Arial"/>
                <w:lang w:val="en-GB"/>
              </w:rPr>
            </w:pPr>
            <w:r w:rsidRPr="00485C83">
              <w:rPr>
                <w:rFonts w:cs="Arial"/>
                <w:lang w:val="en-GB"/>
              </w:rPr>
              <w:t>o</w:t>
            </w:r>
            <w:r w:rsidR="009003DB" w:rsidRPr="00485C83">
              <w:rPr>
                <w:rFonts w:cs="Arial"/>
                <w:lang w:val="en-GB"/>
              </w:rPr>
              <w:t>ngoing</w:t>
            </w:r>
          </w:p>
        </w:tc>
      </w:tr>
    </w:tbl>
    <w:p w14:paraId="449309C4" w14:textId="77777777" w:rsidR="006372F3" w:rsidRPr="001E071F" w:rsidRDefault="006372F3" w:rsidP="006372F3">
      <w:pPr>
        <w:pStyle w:val="Default"/>
        <w:rPr>
          <w:b/>
          <w:color w:val="365F91"/>
          <w:sz w:val="28"/>
          <w:szCs w:val="28"/>
          <w:lang w:val="en-GB"/>
        </w:rPr>
      </w:pPr>
    </w:p>
    <w:p w14:paraId="57EA6FF4" w14:textId="4386B80E" w:rsidR="006372F3" w:rsidRPr="00E17F3F" w:rsidRDefault="006372F3" w:rsidP="00E17F3F">
      <w:pPr>
        <w:spacing w:before="200"/>
        <w:rPr>
          <w:b/>
          <w:color w:val="007DC3"/>
          <w:sz w:val="20"/>
        </w:rPr>
      </w:pPr>
      <w:r w:rsidRPr="00E17F3F">
        <w:rPr>
          <w:b/>
          <w:color w:val="007DC3"/>
          <w:sz w:val="20"/>
        </w:rPr>
        <w:t xml:space="preserve">Work </w:t>
      </w:r>
      <w:r w:rsidR="00FA4DEE" w:rsidRPr="00E17F3F">
        <w:rPr>
          <w:b/>
          <w:color w:val="007DC3"/>
          <w:sz w:val="20"/>
        </w:rPr>
        <w:t>a</w:t>
      </w:r>
      <w:r w:rsidRPr="00E17F3F">
        <w:rPr>
          <w:b/>
          <w:color w:val="007DC3"/>
          <w:sz w:val="20"/>
        </w:rPr>
        <w:t xml:space="preserve">rea </w:t>
      </w:r>
      <w:r w:rsidR="00FA4DEE" w:rsidRPr="00E17F3F">
        <w:rPr>
          <w:b/>
          <w:color w:val="007DC3"/>
          <w:sz w:val="20"/>
        </w:rPr>
        <w:t>p</w:t>
      </w:r>
      <w:r w:rsidRPr="00E17F3F">
        <w:rPr>
          <w:b/>
          <w:color w:val="007DC3"/>
          <w:sz w:val="20"/>
        </w:rPr>
        <w:t>rofile</w:t>
      </w:r>
    </w:p>
    <w:p w14:paraId="6472A6DB" w14:textId="77777777" w:rsidR="0078778F" w:rsidRPr="00122EFB" w:rsidRDefault="0078778F" w:rsidP="0078778F">
      <w:pPr>
        <w:spacing w:before="200"/>
        <w:rPr>
          <w:rFonts w:cs="Arial"/>
          <w:sz w:val="20"/>
        </w:rPr>
      </w:pPr>
      <w:r w:rsidRPr="00122EFB">
        <w:rPr>
          <w:rFonts w:cs="Arial"/>
          <w:sz w:val="20"/>
        </w:rPr>
        <w:t xml:space="preserve">Ahpra’s overall mission is to protect the public by regulating health practitioners efficiently and effectively in the public interest to facilitate access to safer healthcare for all the community. Website: </w:t>
      </w:r>
      <w:hyperlink r:id="rId11" w:history="1">
        <w:r w:rsidRPr="00122EFB">
          <w:rPr>
            <w:rStyle w:val="Hyperlink"/>
            <w:rFonts w:cs="Arial"/>
            <w:sz w:val="20"/>
          </w:rPr>
          <w:t>www.ahpra.gov.au</w:t>
        </w:r>
      </w:hyperlink>
    </w:p>
    <w:p w14:paraId="08D08204" w14:textId="066C577C" w:rsidR="009003DB" w:rsidRPr="00B540AB" w:rsidRDefault="009003DB" w:rsidP="009003DB">
      <w:pPr>
        <w:pStyle w:val="AHPRAbody"/>
        <w:spacing w:after="0"/>
        <w:jc w:val="both"/>
        <w:rPr>
          <w:color w:val="000000"/>
          <w:szCs w:val="20"/>
        </w:rPr>
      </w:pPr>
      <w:r w:rsidRPr="009066D6">
        <w:rPr>
          <w:color w:val="000000"/>
          <w:szCs w:val="20"/>
        </w:rPr>
        <w:t xml:space="preserve">The </w:t>
      </w:r>
      <w:r>
        <w:rPr>
          <w:color w:val="000000"/>
          <w:szCs w:val="20"/>
        </w:rPr>
        <w:t xml:space="preserve">Ahpra Research and Evaluation team, which sits within </w:t>
      </w:r>
      <w:r w:rsidRPr="00B540AB">
        <w:rPr>
          <w:color w:val="000000"/>
          <w:szCs w:val="20"/>
        </w:rPr>
        <w:t xml:space="preserve">the Strategy and Policy Directorate, reflects </w:t>
      </w:r>
      <w:proofErr w:type="spellStart"/>
      <w:r w:rsidRPr="00B540AB">
        <w:rPr>
          <w:color w:val="000000"/>
          <w:szCs w:val="20"/>
        </w:rPr>
        <w:t>Ahpra’s</w:t>
      </w:r>
      <w:proofErr w:type="spellEnd"/>
      <w:r w:rsidRPr="00B540AB">
        <w:rPr>
          <w:color w:val="000000"/>
          <w:szCs w:val="20"/>
        </w:rPr>
        <w:t xml:space="preserve"> investment in </w:t>
      </w:r>
      <w:r w:rsidR="00485C83" w:rsidRPr="00B540AB">
        <w:rPr>
          <w:color w:val="000000"/>
          <w:szCs w:val="20"/>
        </w:rPr>
        <w:t xml:space="preserve">the </w:t>
      </w:r>
      <w:r w:rsidRPr="00B540AB">
        <w:rPr>
          <w:color w:val="000000"/>
          <w:szCs w:val="20"/>
        </w:rPr>
        <w:t>enhanced evaluation and research projects and provides expert research and evaluation skills, advice and support to ensure high quality evaluation and research work th</w:t>
      </w:r>
      <w:r w:rsidR="00485C83" w:rsidRPr="00B540AB">
        <w:rPr>
          <w:color w:val="000000"/>
          <w:szCs w:val="20"/>
        </w:rPr>
        <w:t>r</w:t>
      </w:r>
      <w:r w:rsidRPr="00B540AB">
        <w:rPr>
          <w:color w:val="000000"/>
          <w:szCs w:val="20"/>
        </w:rPr>
        <w:t xml:space="preserve">oughout the organisation. </w:t>
      </w:r>
    </w:p>
    <w:p w14:paraId="3B4063B2" w14:textId="51B87724" w:rsidR="006372F3" w:rsidRPr="00B540AB" w:rsidRDefault="006372F3" w:rsidP="00E17F3F">
      <w:pPr>
        <w:spacing w:before="200"/>
        <w:rPr>
          <w:b/>
          <w:color w:val="007DC3"/>
          <w:sz w:val="20"/>
        </w:rPr>
      </w:pPr>
      <w:r w:rsidRPr="00B540AB">
        <w:rPr>
          <w:b/>
          <w:color w:val="007DC3"/>
          <w:sz w:val="20"/>
        </w:rPr>
        <w:t>Role purpose</w:t>
      </w:r>
    </w:p>
    <w:p w14:paraId="34436D02" w14:textId="530EDDBE" w:rsidR="00EF6593" w:rsidRPr="00B540AB" w:rsidRDefault="00864D92" w:rsidP="009003DB">
      <w:pPr>
        <w:pStyle w:val="AHPRAbody"/>
        <w:rPr>
          <w:color w:val="000000"/>
          <w:szCs w:val="20"/>
        </w:rPr>
      </w:pPr>
      <w:bookmarkStart w:id="0" w:name="_Hlk15384765"/>
      <w:r>
        <w:rPr>
          <w:color w:val="000000"/>
          <w:szCs w:val="20"/>
        </w:rPr>
        <w:t>The</w:t>
      </w:r>
      <w:r w:rsidR="009003DB" w:rsidRPr="00B540AB">
        <w:rPr>
          <w:color w:val="000000"/>
          <w:szCs w:val="20"/>
        </w:rPr>
        <w:t xml:space="preserve"> Data Scientist</w:t>
      </w:r>
      <w:r w:rsidR="00AB29A2">
        <w:rPr>
          <w:color w:val="000000"/>
          <w:szCs w:val="20"/>
        </w:rPr>
        <w:t xml:space="preserve"> works</w:t>
      </w:r>
      <w:r w:rsidR="009003DB" w:rsidRPr="00B540AB">
        <w:rPr>
          <w:color w:val="000000"/>
          <w:szCs w:val="20"/>
        </w:rPr>
        <w:t xml:space="preserve"> within the Research and Evaluation </w:t>
      </w:r>
      <w:r w:rsidR="00AB29A2">
        <w:rPr>
          <w:color w:val="000000"/>
          <w:szCs w:val="20"/>
        </w:rPr>
        <w:t>team</w:t>
      </w:r>
      <w:r w:rsidR="009003DB" w:rsidRPr="00B540AB">
        <w:rPr>
          <w:color w:val="000000"/>
          <w:szCs w:val="20"/>
        </w:rPr>
        <w:t xml:space="preserve"> to establish</w:t>
      </w:r>
      <w:r w:rsidR="00A904F9">
        <w:rPr>
          <w:color w:val="000000"/>
          <w:szCs w:val="20"/>
        </w:rPr>
        <w:t xml:space="preserve"> and support</w:t>
      </w:r>
      <w:r w:rsidR="009003DB" w:rsidRPr="00B540AB">
        <w:rPr>
          <w:color w:val="000000"/>
          <w:szCs w:val="20"/>
        </w:rPr>
        <w:t xml:space="preserve"> the early features of an Advanced Analytics function</w:t>
      </w:r>
      <w:r w:rsidR="002B6796" w:rsidRPr="00B540AB">
        <w:rPr>
          <w:color w:val="000000"/>
          <w:szCs w:val="20"/>
        </w:rPr>
        <w:t>, initially</w:t>
      </w:r>
      <w:r w:rsidR="005D6D22" w:rsidRPr="00B540AB">
        <w:rPr>
          <w:color w:val="000000"/>
          <w:szCs w:val="20"/>
        </w:rPr>
        <w:t xml:space="preserve"> in a research context</w:t>
      </w:r>
      <w:r w:rsidR="009003DB" w:rsidRPr="00B540AB">
        <w:rPr>
          <w:color w:val="000000"/>
          <w:szCs w:val="20"/>
        </w:rPr>
        <w:t xml:space="preserve">. </w:t>
      </w:r>
      <w:r w:rsidR="00A031E3">
        <w:rPr>
          <w:color w:val="000000"/>
          <w:szCs w:val="20"/>
        </w:rPr>
        <w:t xml:space="preserve">This </w:t>
      </w:r>
      <w:r w:rsidR="009C60F4">
        <w:rPr>
          <w:color w:val="000000"/>
          <w:szCs w:val="20"/>
        </w:rPr>
        <w:t xml:space="preserve">hands-on role </w:t>
      </w:r>
      <w:r w:rsidR="00A031E3">
        <w:rPr>
          <w:color w:val="000000"/>
          <w:szCs w:val="20"/>
        </w:rPr>
        <w:t xml:space="preserve">involves </w:t>
      </w:r>
      <w:r w:rsidR="009003DB" w:rsidRPr="00B540AB">
        <w:rPr>
          <w:color w:val="000000"/>
          <w:szCs w:val="20"/>
        </w:rPr>
        <w:t>develop</w:t>
      </w:r>
      <w:r w:rsidR="00A031E3">
        <w:rPr>
          <w:color w:val="000000"/>
          <w:szCs w:val="20"/>
        </w:rPr>
        <w:t>ing</w:t>
      </w:r>
      <w:r w:rsidR="009003DB" w:rsidRPr="00B540AB">
        <w:rPr>
          <w:color w:val="000000"/>
          <w:szCs w:val="20"/>
        </w:rPr>
        <w:t xml:space="preserve"> and maintain</w:t>
      </w:r>
      <w:r w:rsidR="00A031E3">
        <w:rPr>
          <w:color w:val="000000"/>
          <w:szCs w:val="20"/>
        </w:rPr>
        <w:t>ing</w:t>
      </w:r>
      <w:r w:rsidR="009003DB" w:rsidRPr="00B540AB">
        <w:rPr>
          <w:color w:val="000000"/>
          <w:szCs w:val="20"/>
        </w:rPr>
        <w:t xml:space="preserve"> analytic platforms that support Ahpra to use regulatory data to optimize decisions and meet business goals effectively</w:t>
      </w:r>
      <w:r w:rsidR="00AB29A2">
        <w:rPr>
          <w:color w:val="000000"/>
          <w:szCs w:val="20"/>
        </w:rPr>
        <w:t xml:space="preserve">. </w:t>
      </w:r>
    </w:p>
    <w:p w14:paraId="3A763A04" w14:textId="66CB18D0" w:rsidR="009003DB" w:rsidRPr="00940EBE" w:rsidRDefault="009003DB" w:rsidP="00FF3338">
      <w:pPr>
        <w:pStyle w:val="AHPRAbody"/>
        <w:rPr>
          <w:color w:val="000000"/>
          <w:szCs w:val="20"/>
        </w:rPr>
      </w:pPr>
      <w:r w:rsidRPr="00B540AB">
        <w:rPr>
          <w:color w:val="000000"/>
          <w:szCs w:val="20"/>
        </w:rPr>
        <w:t>The Data Scientist work</w:t>
      </w:r>
      <w:r w:rsidR="00BD173E">
        <w:rPr>
          <w:color w:val="000000"/>
          <w:szCs w:val="20"/>
        </w:rPr>
        <w:t>s</w:t>
      </w:r>
      <w:r w:rsidRPr="00B540AB">
        <w:rPr>
          <w:color w:val="000000"/>
          <w:szCs w:val="20"/>
        </w:rPr>
        <w:t xml:space="preserve"> with the team</w:t>
      </w:r>
      <w:r w:rsidR="00655347" w:rsidRPr="00B540AB">
        <w:rPr>
          <w:color w:val="000000"/>
          <w:szCs w:val="20"/>
        </w:rPr>
        <w:t xml:space="preserve"> and other colleagues</w:t>
      </w:r>
      <w:r w:rsidRPr="00B540AB">
        <w:rPr>
          <w:color w:val="000000"/>
          <w:szCs w:val="20"/>
        </w:rPr>
        <w:t xml:space="preserve"> to </w:t>
      </w:r>
      <w:r w:rsidRPr="00C02F41">
        <w:rPr>
          <w:color w:val="000000"/>
          <w:szCs w:val="20"/>
        </w:rPr>
        <w:t xml:space="preserve">design, develop and test various </w:t>
      </w:r>
      <w:r w:rsidR="005E7143" w:rsidRPr="002D02CF">
        <w:rPr>
          <w:color w:val="000000"/>
          <w:szCs w:val="20"/>
        </w:rPr>
        <w:t xml:space="preserve">models </w:t>
      </w:r>
      <w:r w:rsidRPr="002D02CF">
        <w:rPr>
          <w:color w:val="000000"/>
          <w:szCs w:val="20"/>
        </w:rPr>
        <w:t xml:space="preserve">and work using a range of </w:t>
      </w:r>
      <w:r w:rsidR="00DE188C" w:rsidRPr="002D02CF">
        <w:rPr>
          <w:color w:val="000000"/>
          <w:szCs w:val="20"/>
        </w:rPr>
        <w:t xml:space="preserve">tools and </w:t>
      </w:r>
      <w:r w:rsidRPr="002D02CF">
        <w:rPr>
          <w:color w:val="000000"/>
          <w:szCs w:val="20"/>
        </w:rPr>
        <w:t>programming languages</w:t>
      </w:r>
      <w:r w:rsidR="002D02CF">
        <w:rPr>
          <w:color w:val="000000"/>
          <w:szCs w:val="20"/>
        </w:rPr>
        <w:t xml:space="preserve">, </w:t>
      </w:r>
      <w:r w:rsidRPr="00B540AB">
        <w:rPr>
          <w:color w:val="000000"/>
          <w:szCs w:val="20"/>
        </w:rPr>
        <w:t>strong communicator on technical topics for non-technical colleagues</w:t>
      </w:r>
      <w:r>
        <w:rPr>
          <w:color w:val="000000"/>
          <w:szCs w:val="20"/>
        </w:rPr>
        <w:t xml:space="preserve"> and partner with </w:t>
      </w:r>
      <w:r w:rsidR="00CC1054">
        <w:rPr>
          <w:color w:val="000000"/>
          <w:szCs w:val="20"/>
        </w:rPr>
        <w:t>colleagues</w:t>
      </w:r>
      <w:r>
        <w:rPr>
          <w:color w:val="000000"/>
          <w:szCs w:val="20"/>
        </w:rPr>
        <w:t xml:space="preserve"> to assure the successful deployment of in-house solutions</w:t>
      </w:r>
      <w:r w:rsidR="00CC1054">
        <w:rPr>
          <w:color w:val="000000"/>
          <w:szCs w:val="20"/>
        </w:rPr>
        <w:t xml:space="preserve"> </w:t>
      </w:r>
      <w:r w:rsidR="00FF3338">
        <w:rPr>
          <w:color w:val="000000"/>
          <w:szCs w:val="20"/>
        </w:rPr>
        <w:t xml:space="preserve">and </w:t>
      </w:r>
      <w:r w:rsidR="00CC1054">
        <w:rPr>
          <w:color w:val="000000"/>
          <w:szCs w:val="20"/>
        </w:rPr>
        <w:t>explor</w:t>
      </w:r>
      <w:r w:rsidR="00FF3338">
        <w:rPr>
          <w:color w:val="000000"/>
          <w:szCs w:val="20"/>
        </w:rPr>
        <w:t>es</w:t>
      </w:r>
      <w:r w:rsidR="00CC1054">
        <w:rPr>
          <w:color w:val="000000"/>
          <w:szCs w:val="20"/>
        </w:rPr>
        <w:t xml:space="preserve"> how analytics can</w:t>
      </w:r>
      <w:r w:rsidRPr="00940EBE">
        <w:rPr>
          <w:color w:val="000000"/>
          <w:szCs w:val="20"/>
        </w:rPr>
        <w:t xml:space="preserve"> support regulatory decision-making</w:t>
      </w:r>
      <w:r>
        <w:rPr>
          <w:color w:val="000000"/>
          <w:szCs w:val="20"/>
        </w:rPr>
        <w:t xml:space="preserve"> in the public interest to facilitate access to safer health care. </w:t>
      </w:r>
    </w:p>
    <w:bookmarkEnd w:id="0"/>
    <w:p w14:paraId="5C1B991B" w14:textId="27E21010" w:rsidR="00320A68" w:rsidRDefault="00320A68" w:rsidP="00E17F3F">
      <w:pPr>
        <w:spacing w:before="200"/>
        <w:rPr>
          <w:b/>
          <w:color w:val="007DC3"/>
          <w:sz w:val="20"/>
        </w:rPr>
      </w:pPr>
      <w:r w:rsidRPr="00B7526A">
        <w:rPr>
          <w:b/>
          <w:color w:val="007DC3"/>
          <w:sz w:val="20"/>
        </w:rPr>
        <w:t>Key accountabilities</w:t>
      </w:r>
    </w:p>
    <w:p w14:paraId="7F0A0F25" w14:textId="4C42B6FE" w:rsidR="008657FE" w:rsidRPr="009003DB" w:rsidRDefault="009003DB" w:rsidP="00EF7539">
      <w:pPr>
        <w:pStyle w:val="ListParagraph"/>
        <w:numPr>
          <w:ilvl w:val="0"/>
          <w:numId w:val="2"/>
        </w:numPr>
        <w:spacing w:line="240" w:lineRule="auto"/>
        <w:ind w:left="426" w:hanging="357"/>
        <w:contextualSpacing w:val="0"/>
        <w:rPr>
          <w:rFonts w:ascii="Arial" w:hAnsi="Arial" w:cs="Arial"/>
          <w:bCs/>
          <w:sz w:val="20"/>
          <w:szCs w:val="20"/>
          <w:lang w:val="en-GB"/>
        </w:rPr>
      </w:pPr>
      <w:r w:rsidRPr="009003DB">
        <w:rPr>
          <w:rFonts w:ascii="Arial" w:hAnsi="Arial" w:cs="Arial"/>
          <w:bCs/>
          <w:sz w:val="20"/>
          <w:szCs w:val="20"/>
        </w:rPr>
        <w:t>Data Management</w:t>
      </w:r>
      <w:r w:rsidR="005F280E">
        <w:rPr>
          <w:rFonts w:ascii="Arial" w:hAnsi="Arial" w:cs="Arial"/>
          <w:bCs/>
          <w:sz w:val="20"/>
          <w:szCs w:val="20"/>
        </w:rPr>
        <w:t xml:space="preserve"> and</w:t>
      </w:r>
      <w:r w:rsidRPr="009003DB">
        <w:rPr>
          <w:rFonts w:ascii="Arial" w:hAnsi="Arial" w:cs="Arial"/>
          <w:bCs/>
          <w:sz w:val="20"/>
          <w:szCs w:val="20"/>
        </w:rPr>
        <w:t xml:space="preserve"> Analysis</w:t>
      </w:r>
      <w:r>
        <w:rPr>
          <w:rFonts w:ascii="Arial" w:hAnsi="Arial" w:cs="Arial"/>
          <w:bCs/>
          <w:sz w:val="20"/>
          <w:szCs w:val="20"/>
        </w:rPr>
        <w:t>:</w:t>
      </w:r>
    </w:p>
    <w:p w14:paraId="6D4653B6" w14:textId="12B8C203" w:rsidR="009003DB" w:rsidRDefault="009003DB" w:rsidP="009003DB">
      <w:pPr>
        <w:pStyle w:val="Default"/>
        <w:numPr>
          <w:ilvl w:val="0"/>
          <w:numId w:val="10"/>
        </w:numPr>
        <w:spacing w:line="276" w:lineRule="auto"/>
        <w:rPr>
          <w:rFonts w:eastAsia="Calibri"/>
          <w:sz w:val="20"/>
          <w:szCs w:val="20"/>
        </w:rPr>
      </w:pPr>
      <w:r>
        <w:rPr>
          <w:sz w:val="20"/>
          <w:szCs w:val="20"/>
        </w:rPr>
        <w:t>W</w:t>
      </w:r>
      <w:r w:rsidR="00655347">
        <w:rPr>
          <w:sz w:val="20"/>
          <w:szCs w:val="20"/>
        </w:rPr>
        <w:t>ork with analytics tools and/or w</w:t>
      </w:r>
      <w:r>
        <w:rPr>
          <w:sz w:val="20"/>
          <w:szCs w:val="20"/>
        </w:rPr>
        <w:t>rite clean, well-formatted and well-structured SQL, R and/or Python code to access and process sensitive health and regulatory data</w:t>
      </w:r>
      <w:r w:rsidR="007E2D5E">
        <w:rPr>
          <w:sz w:val="20"/>
          <w:szCs w:val="20"/>
        </w:rPr>
        <w:t xml:space="preserve"> for advanced analytics</w:t>
      </w:r>
      <w:r>
        <w:rPr>
          <w:sz w:val="20"/>
          <w:szCs w:val="20"/>
        </w:rPr>
        <w:t xml:space="preserve"> to</w:t>
      </w:r>
      <w:r w:rsidRPr="000732E9">
        <w:rPr>
          <w:rFonts w:eastAsia="Calibri"/>
          <w:sz w:val="20"/>
          <w:szCs w:val="20"/>
        </w:rPr>
        <w:t xml:space="preserve"> facilitate the </w:t>
      </w:r>
      <w:r>
        <w:rPr>
          <w:rFonts w:eastAsia="Calibri"/>
          <w:sz w:val="20"/>
          <w:szCs w:val="20"/>
        </w:rPr>
        <w:t xml:space="preserve">ongoing </w:t>
      </w:r>
      <w:r w:rsidRPr="000732E9">
        <w:rPr>
          <w:rFonts w:eastAsia="Calibri"/>
          <w:sz w:val="20"/>
          <w:szCs w:val="20"/>
        </w:rPr>
        <w:t xml:space="preserve">development of improved regulatory policy and </w:t>
      </w:r>
      <w:r w:rsidR="00DE188C">
        <w:rPr>
          <w:rFonts w:eastAsia="Calibri"/>
          <w:sz w:val="20"/>
          <w:szCs w:val="20"/>
        </w:rPr>
        <w:t xml:space="preserve">support </w:t>
      </w:r>
      <w:r w:rsidRPr="000732E9">
        <w:rPr>
          <w:rFonts w:eastAsia="Calibri"/>
          <w:sz w:val="20"/>
          <w:szCs w:val="20"/>
        </w:rPr>
        <w:t>decision making</w:t>
      </w:r>
    </w:p>
    <w:p w14:paraId="3E066800" w14:textId="6B541C49" w:rsidR="009003DB" w:rsidRPr="006E1937" w:rsidRDefault="009003DB" w:rsidP="009003DB">
      <w:pPr>
        <w:pStyle w:val="Default"/>
        <w:numPr>
          <w:ilvl w:val="0"/>
          <w:numId w:val="10"/>
        </w:numPr>
        <w:spacing w:line="276" w:lineRule="auto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Devise techniques and frameworks that effectively deidentify data for research, </w:t>
      </w:r>
      <w:proofErr w:type="gramStart"/>
      <w:r>
        <w:rPr>
          <w:rFonts w:eastAsia="Calibri"/>
          <w:color w:val="auto"/>
          <w:sz w:val="20"/>
          <w:szCs w:val="20"/>
          <w:lang w:eastAsia="en-US"/>
        </w:rPr>
        <w:t>analysis</w:t>
      </w:r>
      <w:proofErr w:type="gramEnd"/>
      <w:r>
        <w:rPr>
          <w:rFonts w:eastAsia="Calibri"/>
          <w:color w:val="auto"/>
          <w:sz w:val="20"/>
          <w:szCs w:val="20"/>
          <w:lang w:eastAsia="en-US"/>
        </w:rPr>
        <w:t xml:space="preserve"> and development</w:t>
      </w:r>
      <w:r w:rsidR="00DE188C">
        <w:rPr>
          <w:rFonts w:eastAsia="Calibri"/>
          <w:color w:val="auto"/>
          <w:sz w:val="20"/>
          <w:szCs w:val="20"/>
          <w:lang w:eastAsia="en-US"/>
        </w:rPr>
        <w:t xml:space="preserve"> purposes</w:t>
      </w:r>
    </w:p>
    <w:p w14:paraId="16D09DA5" w14:textId="1BB675EA" w:rsidR="009003DB" w:rsidRPr="000732E9" w:rsidRDefault="009003DB" w:rsidP="009003DB">
      <w:pPr>
        <w:pStyle w:val="Default"/>
        <w:numPr>
          <w:ilvl w:val="0"/>
          <w:numId w:val="10"/>
        </w:numPr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Pre</w:t>
      </w:r>
      <w:r w:rsidR="00655347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>process data and a</w:t>
      </w:r>
      <w:r w:rsidRPr="000732E9">
        <w:rPr>
          <w:rFonts w:eastAsia="Calibri"/>
          <w:sz w:val="20"/>
          <w:szCs w:val="20"/>
        </w:rPr>
        <w:t>ppl</w:t>
      </w:r>
      <w:r>
        <w:rPr>
          <w:rFonts w:eastAsia="Calibri"/>
          <w:sz w:val="20"/>
          <w:szCs w:val="20"/>
        </w:rPr>
        <w:t>y</w:t>
      </w:r>
      <w:r w:rsidRPr="000732E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supervised and unsupervised machine learning techniques that optimise the accuracy of </w:t>
      </w:r>
      <w:r w:rsidR="00DE188C">
        <w:rPr>
          <w:rFonts w:eastAsia="Calibri"/>
          <w:sz w:val="20"/>
          <w:szCs w:val="20"/>
        </w:rPr>
        <w:t>predictions</w:t>
      </w:r>
      <w:r>
        <w:rPr>
          <w:rFonts w:eastAsia="Calibri"/>
          <w:sz w:val="20"/>
          <w:szCs w:val="20"/>
        </w:rPr>
        <w:t xml:space="preserve">, review/refactor and version control </w:t>
      </w:r>
      <w:r w:rsidR="00DE188C">
        <w:rPr>
          <w:rFonts w:eastAsia="Calibri"/>
          <w:sz w:val="20"/>
          <w:szCs w:val="20"/>
        </w:rPr>
        <w:t xml:space="preserve">model </w:t>
      </w:r>
      <w:r>
        <w:rPr>
          <w:rFonts w:eastAsia="Calibri"/>
          <w:sz w:val="20"/>
          <w:szCs w:val="20"/>
        </w:rPr>
        <w:t>code as required</w:t>
      </w:r>
    </w:p>
    <w:p w14:paraId="09DAFA01" w14:textId="321F12B5" w:rsidR="00EF7539" w:rsidRPr="005F280E" w:rsidRDefault="009003DB" w:rsidP="005F280E">
      <w:pPr>
        <w:pStyle w:val="Default"/>
        <w:numPr>
          <w:ilvl w:val="0"/>
          <w:numId w:val="10"/>
        </w:numPr>
        <w:rPr>
          <w:sz w:val="20"/>
          <w:szCs w:val="20"/>
          <w:lang w:val="en-GB"/>
        </w:rPr>
      </w:pPr>
      <w:r>
        <w:rPr>
          <w:rFonts w:eastAsia="Calibri"/>
          <w:sz w:val="20"/>
          <w:szCs w:val="20"/>
        </w:rPr>
        <w:lastRenderedPageBreak/>
        <w:t xml:space="preserve">Design experiments to test the application of </w:t>
      </w:r>
      <w:r w:rsidR="00655347">
        <w:rPr>
          <w:rFonts w:eastAsia="Calibri"/>
          <w:sz w:val="20"/>
          <w:szCs w:val="20"/>
        </w:rPr>
        <w:t xml:space="preserve">advanced analytics and </w:t>
      </w:r>
      <w:r>
        <w:rPr>
          <w:rFonts w:eastAsia="Calibri"/>
          <w:sz w:val="20"/>
          <w:szCs w:val="20"/>
        </w:rPr>
        <w:t xml:space="preserve">machine learning techniques in health regulation, test hypotheses, analyse results and communicate findings to senior staff and key stakeholders </w:t>
      </w:r>
    </w:p>
    <w:p w14:paraId="108AF1A9" w14:textId="1056E68F" w:rsidR="005F280E" w:rsidRPr="005F280E" w:rsidRDefault="005F280E" w:rsidP="009003DB">
      <w:pPr>
        <w:pStyle w:val="Default"/>
        <w:numPr>
          <w:ilvl w:val="0"/>
          <w:numId w:val="11"/>
        </w:numPr>
        <w:spacing w:line="276" w:lineRule="auto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>Adhere to organisational data governance and ethical requirements</w:t>
      </w:r>
    </w:p>
    <w:p w14:paraId="2D9504B5" w14:textId="6D1D8337" w:rsidR="009003DB" w:rsidRPr="009A747E" w:rsidRDefault="009003DB" w:rsidP="009003DB">
      <w:pPr>
        <w:pStyle w:val="Default"/>
        <w:numPr>
          <w:ilvl w:val="0"/>
          <w:numId w:val="11"/>
        </w:numPr>
        <w:spacing w:line="276" w:lineRule="auto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>Contribute to</w:t>
      </w:r>
      <w:r w:rsidRPr="00FE3A8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the development of </w:t>
      </w:r>
      <w:proofErr w:type="spellStart"/>
      <w:r w:rsidR="00A73EA9">
        <w:rPr>
          <w:rFonts w:eastAsia="Calibri"/>
          <w:sz w:val="20"/>
          <w:szCs w:val="20"/>
        </w:rPr>
        <w:t>PowerBI</w:t>
      </w:r>
      <w:proofErr w:type="spellEnd"/>
      <w:r w:rsidRPr="00FE3A83">
        <w:rPr>
          <w:rFonts w:eastAsia="Calibri"/>
          <w:sz w:val="20"/>
          <w:szCs w:val="20"/>
        </w:rPr>
        <w:t xml:space="preserve"> dashboard</w:t>
      </w:r>
      <w:r w:rsidR="00655347"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 </w:t>
      </w:r>
      <w:r w:rsidRPr="00FE3A83">
        <w:rPr>
          <w:rFonts w:eastAsia="Calibri"/>
          <w:sz w:val="20"/>
          <w:szCs w:val="20"/>
        </w:rPr>
        <w:t xml:space="preserve">that bring together dynamic, interactive visualisations of data and predictive analytics to </w:t>
      </w:r>
      <w:r>
        <w:rPr>
          <w:rFonts w:eastAsia="Calibri"/>
          <w:sz w:val="20"/>
          <w:szCs w:val="20"/>
        </w:rPr>
        <w:t xml:space="preserve">assist staff </w:t>
      </w:r>
      <w:r w:rsidR="00206DBC">
        <w:rPr>
          <w:rFonts w:eastAsia="Calibri"/>
          <w:sz w:val="20"/>
          <w:szCs w:val="20"/>
        </w:rPr>
        <w:t xml:space="preserve">to </w:t>
      </w:r>
      <w:r>
        <w:rPr>
          <w:rFonts w:eastAsia="Calibri"/>
          <w:sz w:val="20"/>
          <w:szCs w:val="20"/>
        </w:rPr>
        <w:t>engage with data and support decision making</w:t>
      </w:r>
      <w:r w:rsidR="00571A37">
        <w:rPr>
          <w:rFonts w:eastAsia="Calibri"/>
          <w:sz w:val="20"/>
          <w:szCs w:val="20"/>
        </w:rPr>
        <w:t xml:space="preserve"> within a research environment.</w:t>
      </w:r>
    </w:p>
    <w:p w14:paraId="6C99CDA0" w14:textId="77777777" w:rsidR="00DE188C" w:rsidRPr="009A747E" w:rsidRDefault="00DE188C" w:rsidP="00DE188C">
      <w:pPr>
        <w:pStyle w:val="Default"/>
        <w:numPr>
          <w:ilvl w:val="0"/>
          <w:numId w:val="11"/>
        </w:numPr>
        <w:spacing w:line="276" w:lineRule="auto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Within organisational systems and processes, maintain reliable R and/or Python development environments, version control and </w:t>
      </w:r>
      <w:r>
        <w:rPr>
          <w:sz w:val="20"/>
          <w:szCs w:val="20"/>
        </w:rPr>
        <w:t>ensure resilient and secure data stores as required</w:t>
      </w:r>
      <w:r>
        <w:rPr>
          <w:rFonts w:eastAsia="Calibri"/>
          <w:sz w:val="20"/>
          <w:szCs w:val="20"/>
          <w:lang w:eastAsia="en-US"/>
        </w:rPr>
        <w:t>. Using and promoting appropriate software and software development processes.</w:t>
      </w:r>
    </w:p>
    <w:p w14:paraId="249E2066" w14:textId="53B9E30C" w:rsidR="009003DB" w:rsidRPr="009003DB" w:rsidRDefault="009003DB" w:rsidP="009003DB">
      <w:pPr>
        <w:pStyle w:val="Default"/>
        <w:numPr>
          <w:ilvl w:val="0"/>
          <w:numId w:val="11"/>
        </w:numPr>
        <w:spacing w:line="276" w:lineRule="auto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Access data stores using a variety of database and parallel data processing technologies, debug/refactor complex queries and workflows</w:t>
      </w:r>
      <w:r w:rsidR="00EF6593">
        <w:rPr>
          <w:rFonts w:eastAsia="Calibri"/>
          <w:sz w:val="20"/>
          <w:szCs w:val="20"/>
          <w:lang w:eastAsia="en-US"/>
        </w:rPr>
        <w:t>.</w:t>
      </w:r>
    </w:p>
    <w:p w14:paraId="03E19131" w14:textId="77777777" w:rsidR="005F280E" w:rsidRPr="009A747E" w:rsidRDefault="005F280E" w:rsidP="005F280E">
      <w:pPr>
        <w:pStyle w:val="Default"/>
        <w:numPr>
          <w:ilvl w:val="0"/>
          <w:numId w:val="11"/>
        </w:numPr>
        <w:spacing w:line="276" w:lineRule="auto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Developing models that are fair, equitable and unbiased and ongoing review and maintenance of these models</w:t>
      </w:r>
    </w:p>
    <w:p w14:paraId="40191322" w14:textId="77777777" w:rsidR="009003DB" w:rsidRPr="007329D5" w:rsidRDefault="009003DB" w:rsidP="00EF6593">
      <w:pPr>
        <w:pStyle w:val="Default"/>
        <w:spacing w:line="276" w:lineRule="auto"/>
        <w:ind w:left="1080"/>
        <w:rPr>
          <w:rFonts w:eastAsia="Calibri"/>
          <w:color w:val="auto"/>
          <w:sz w:val="20"/>
          <w:szCs w:val="20"/>
          <w:lang w:eastAsia="en-US"/>
        </w:rPr>
      </w:pPr>
    </w:p>
    <w:p w14:paraId="0C3B4ED9" w14:textId="17BDBDAF" w:rsidR="009003DB" w:rsidRPr="009003DB" w:rsidRDefault="009003DB" w:rsidP="00EF7539">
      <w:pPr>
        <w:pStyle w:val="ListParagraph"/>
        <w:numPr>
          <w:ilvl w:val="0"/>
          <w:numId w:val="2"/>
        </w:numPr>
        <w:spacing w:line="240" w:lineRule="auto"/>
        <w:ind w:left="426" w:hanging="357"/>
        <w:contextualSpacing w:val="0"/>
        <w:rPr>
          <w:rFonts w:ascii="Arial" w:hAnsi="Arial" w:cs="Arial"/>
          <w:bCs/>
          <w:sz w:val="20"/>
          <w:szCs w:val="20"/>
          <w:lang w:val="en-GB"/>
        </w:rPr>
      </w:pPr>
      <w:r w:rsidRPr="009003DB">
        <w:rPr>
          <w:rFonts w:ascii="Arial" w:hAnsi="Arial" w:cs="Arial"/>
          <w:bCs/>
          <w:sz w:val="20"/>
          <w:szCs w:val="20"/>
        </w:rPr>
        <w:t>Partnerships and engagement</w:t>
      </w:r>
    </w:p>
    <w:p w14:paraId="352A3D57" w14:textId="22712225" w:rsidR="009003DB" w:rsidRPr="00D2247F" w:rsidRDefault="009003DB" w:rsidP="009003DB">
      <w:pPr>
        <w:pStyle w:val="Default"/>
        <w:numPr>
          <w:ilvl w:val="0"/>
          <w:numId w:val="12"/>
        </w:numPr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Partner with internal stakeholders to develop </w:t>
      </w:r>
      <w:r w:rsidR="00655347">
        <w:rPr>
          <w:rFonts w:eastAsia="Calibri"/>
          <w:sz w:val="20"/>
          <w:szCs w:val="20"/>
        </w:rPr>
        <w:t>analytics proof of concept projects</w:t>
      </w:r>
      <w:r>
        <w:rPr>
          <w:rFonts w:eastAsia="Calibri"/>
          <w:sz w:val="20"/>
          <w:szCs w:val="20"/>
        </w:rPr>
        <w:t xml:space="preserve"> that support their business needs and help identify areas for improvement / further analysis</w:t>
      </w:r>
    </w:p>
    <w:p w14:paraId="307FFE96" w14:textId="6210B76B" w:rsidR="009003DB" w:rsidRPr="00194B53" w:rsidRDefault="009003DB" w:rsidP="009003DB">
      <w:pPr>
        <w:pStyle w:val="Default"/>
        <w:numPr>
          <w:ilvl w:val="0"/>
          <w:numId w:val="12"/>
        </w:numPr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Partner with </w:t>
      </w:r>
      <w:r w:rsidR="00CC1054">
        <w:rPr>
          <w:rFonts w:eastAsia="Calibri"/>
          <w:sz w:val="20"/>
          <w:szCs w:val="20"/>
        </w:rPr>
        <w:t>others</w:t>
      </w:r>
      <w:r>
        <w:rPr>
          <w:rFonts w:eastAsia="Calibri"/>
          <w:sz w:val="20"/>
          <w:szCs w:val="20"/>
        </w:rPr>
        <w:t xml:space="preserve"> to support the development of platforms to host the output of data products to key stakeholders (including authentication protocols, administrative and security needs)  </w:t>
      </w:r>
    </w:p>
    <w:p w14:paraId="50409AFC" w14:textId="2E37C0C1" w:rsidR="009003DB" w:rsidRPr="009003DB" w:rsidRDefault="009003DB" w:rsidP="00F96CE4">
      <w:pPr>
        <w:pStyle w:val="Default"/>
        <w:spacing w:line="276" w:lineRule="auto"/>
        <w:ind w:left="1080"/>
        <w:rPr>
          <w:rFonts w:eastAsia="Calibri"/>
          <w:sz w:val="20"/>
          <w:szCs w:val="20"/>
        </w:rPr>
      </w:pPr>
    </w:p>
    <w:p w14:paraId="0B89E549" w14:textId="77777777" w:rsidR="00EF7539" w:rsidRPr="00567DBA" w:rsidRDefault="00EF7539" w:rsidP="00EF7539">
      <w:pPr>
        <w:pStyle w:val="ListParagraph"/>
        <w:numPr>
          <w:ilvl w:val="0"/>
          <w:numId w:val="2"/>
        </w:numPr>
        <w:spacing w:line="240" w:lineRule="auto"/>
        <w:ind w:left="426" w:hanging="357"/>
        <w:contextualSpacing w:val="0"/>
        <w:rPr>
          <w:rFonts w:ascii="Arial" w:hAnsi="Arial" w:cs="Arial"/>
          <w:sz w:val="20"/>
          <w:szCs w:val="20"/>
          <w:lang w:val="en-GB"/>
        </w:rPr>
      </w:pPr>
      <w:r w:rsidRPr="00567DBA">
        <w:rPr>
          <w:rFonts w:ascii="Arial" w:hAnsi="Arial" w:cs="Arial"/>
          <w:sz w:val="20"/>
          <w:szCs w:val="20"/>
          <w:lang w:val="en-GB"/>
        </w:rPr>
        <w:t>Health Safety and Wellbeing: Ensuring the workplace provides a safe working environment with the required level of care and respect for its participants meaning to:</w:t>
      </w:r>
    </w:p>
    <w:p w14:paraId="442DCD81" w14:textId="77777777" w:rsidR="00EF7539" w:rsidRPr="00567DBA" w:rsidRDefault="00EF7539" w:rsidP="00EF7539">
      <w:pPr>
        <w:pStyle w:val="ListParagraph"/>
        <w:numPr>
          <w:ilvl w:val="1"/>
          <w:numId w:val="1"/>
        </w:numPr>
        <w:spacing w:before="240" w:after="0" w:line="240" w:lineRule="auto"/>
        <w:ind w:left="1440"/>
        <w:rPr>
          <w:rFonts w:ascii="Arial" w:hAnsi="Arial" w:cs="Arial"/>
          <w:sz w:val="20"/>
          <w:szCs w:val="20"/>
          <w:lang w:val="en-GB"/>
        </w:rPr>
      </w:pPr>
      <w:r w:rsidRPr="00567DBA">
        <w:rPr>
          <w:rFonts w:ascii="Arial" w:hAnsi="Arial" w:cs="Arial"/>
          <w:sz w:val="20"/>
          <w:szCs w:val="20"/>
          <w:lang w:val="en-GB" w:eastAsia="en-AU"/>
        </w:rPr>
        <w:t>Take reasonable</w:t>
      </w:r>
      <w:r w:rsidRPr="00567DBA">
        <w:rPr>
          <w:rFonts w:ascii="Arial" w:hAnsi="Arial" w:cs="Arial"/>
          <w:sz w:val="20"/>
          <w:szCs w:val="20"/>
          <w:lang w:val="en-GB"/>
        </w:rPr>
        <w:t xml:space="preserve"> care for own and others’ health, </w:t>
      </w:r>
      <w:proofErr w:type="gramStart"/>
      <w:r w:rsidRPr="00567DBA">
        <w:rPr>
          <w:rFonts w:ascii="Arial" w:hAnsi="Arial" w:cs="Arial"/>
          <w:sz w:val="20"/>
          <w:szCs w:val="20"/>
          <w:lang w:val="en-GB"/>
        </w:rPr>
        <w:t>safety</w:t>
      </w:r>
      <w:proofErr w:type="gramEnd"/>
      <w:r w:rsidRPr="00567DBA">
        <w:rPr>
          <w:rFonts w:ascii="Arial" w:hAnsi="Arial" w:cs="Arial"/>
          <w:sz w:val="20"/>
          <w:szCs w:val="20"/>
          <w:lang w:val="en-GB"/>
        </w:rPr>
        <w:t xml:space="preserve"> and wellbeing</w:t>
      </w:r>
    </w:p>
    <w:p w14:paraId="770C814D" w14:textId="44D7C6CE" w:rsidR="00573148" w:rsidRPr="006000B4" w:rsidRDefault="00EF7539" w:rsidP="00573148">
      <w:pPr>
        <w:pStyle w:val="ListParagraph"/>
        <w:numPr>
          <w:ilvl w:val="1"/>
          <w:numId w:val="1"/>
        </w:numPr>
        <w:spacing w:line="240" w:lineRule="auto"/>
        <w:ind w:left="1440"/>
        <w:contextualSpacing w:val="0"/>
        <w:rPr>
          <w:rFonts w:ascii="Arial" w:hAnsi="Arial" w:cs="Arial"/>
          <w:color w:val="000000"/>
          <w:sz w:val="20"/>
          <w:szCs w:val="20"/>
          <w:lang w:val="en-GB" w:eastAsia="en-AU"/>
        </w:rPr>
      </w:pPr>
      <w:r w:rsidRPr="00567DBA">
        <w:rPr>
          <w:rFonts w:ascii="Arial" w:hAnsi="Arial" w:cs="Arial"/>
          <w:sz w:val="20"/>
          <w:szCs w:val="20"/>
          <w:lang w:val="en-GB"/>
        </w:rPr>
        <w:t xml:space="preserve">Adhere to </w:t>
      </w:r>
      <w:r w:rsidRPr="001E071F">
        <w:rPr>
          <w:rFonts w:ascii="Arial" w:hAnsi="Arial" w:cs="Arial"/>
          <w:sz w:val="20"/>
          <w:szCs w:val="20"/>
          <w:lang w:val="en-GB"/>
        </w:rPr>
        <w:t>Ahpra’s workplace health, safety and wellbeing policies and procedures</w:t>
      </w:r>
      <w:r w:rsidR="006C4ED0">
        <w:rPr>
          <w:rFonts w:ascii="Arial" w:hAnsi="Arial" w:cs="Arial"/>
          <w:sz w:val="20"/>
          <w:szCs w:val="20"/>
          <w:lang w:val="en-GB"/>
        </w:rPr>
        <w:t>.</w:t>
      </w:r>
      <w:r w:rsidR="0057314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62EC94F" w14:textId="184C9AC1" w:rsidR="00FF5A6F" w:rsidRPr="00FF5A6F" w:rsidRDefault="00FF5A6F" w:rsidP="00FF5A6F">
      <w:pPr>
        <w:spacing w:before="200"/>
        <w:rPr>
          <w:b/>
          <w:color w:val="007DC3"/>
          <w:sz w:val="20"/>
        </w:rPr>
      </w:pPr>
      <w:r w:rsidRPr="00FF5A6F">
        <w:rPr>
          <w:b/>
          <w:color w:val="007DC3"/>
          <w:sz w:val="20"/>
        </w:rPr>
        <w:t>Capabilities for the role</w:t>
      </w:r>
    </w:p>
    <w:p w14:paraId="5E74A949" w14:textId="713415F4" w:rsidR="006372F3" w:rsidRDefault="006372F3" w:rsidP="006372F3">
      <w:pPr>
        <w:pStyle w:val="AHPRAbody"/>
        <w:rPr>
          <w:lang w:val="en-GB"/>
        </w:rPr>
      </w:pPr>
      <w:r w:rsidRPr="001E071F">
        <w:rPr>
          <w:lang w:val="en-GB"/>
        </w:rPr>
        <w:t>The A</w:t>
      </w:r>
      <w:r w:rsidR="00FF5A6F">
        <w:rPr>
          <w:lang w:val="en-GB"/>
        </w:rPr>
        <w:t>hpra</w:t>
      </w:r>
      <w:r w:rsidRPr="001E071F">
        <w:rPr>
          <w:lang w:val="en-GB"/>
        </w:rPr>
        <w:t xml:space="preserve"> </w:t>
      </w:r>
      <w:hyperlink r:id="rId12" w:history="1">
        <w:r w:rsidRPr="001E071F">
          <w:rPr>
            <w:rStyle w:val="Hyperlink"/>
            <w:lang w:val="en-GB"/>
          </w:rPr>
          <w:t>Capability Framework</w:t>
        </w:r>
      </w:hyperlink>
      <w:r w:rsidRPr="001E071F">
        <w:rPr>
          <w:lang w:val="en-GB"/>
        </w:rPr>
        <w:t xml:space="preserve"> applies to all A</w:t>
      </w:r>
      <w:r w:rsidR="00FF5A6F">
        <w:rPr>
          <w:lang w:val="en-GB"/>
        </w:rPr>
        <w:t>hpra</w:t>
      </w:r>
      <w:r w:rsidRPr="001E071F">
        <w:rPr>
          <w:lang w:val="en-GB"/>
        </w:rPr>
        <w:t xml:space="preserve"> employees. Below is the complete list of capabilities and proficiency level required for this position.</w:t>
      </w:r>
    </w:p>
    <w:p w14:paraId="55986F4D" w14:textId="29ED6F17" w:rsidR="00450344" w:rsidRPr="00450344" w:rsidRDefault="00450344" w:rsidP="00450344">
      <w:pPr>
        <w:pStyle w:val="AHPRAbody"/>
        <w:rPr>
          <w:color w:val="FF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1"/>
        <w:gridCol w:w="2779"/>
      </w:tblGrid>
      <w:tr w:rsidR="00574EED" w:rsidRPr="001E071F" w14:paraId="70A742CB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488D9" w14:textId="77777777" w:rsidR="00574EED" w:rsidRPr="001E071F" w:rsidRDefault="00574EED" w:rsidP="00C915B9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Capabilities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2C89E" w14:textId="77777777" w:rsidR="00574EED" w:rsidRPr="001E071F" w:rsidRDefault="00574EED" w:rsidP="00F91869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b/>
                <w:sz w:val="20"/>
                <w:szCs w:val="20"/>
                <w:lang w:val="en-GB"/>
              </w:rPr>
              <w:t>Proficiency level</w:t>
            </w:r>
          </w:p>
        </w:tc>
      </w:tr>
      <w:tr w:rsidR="00574EED" w:rsidRPr="001E071F" w14:paraId="4B3567B2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5A24F" w14:textId="77777777" w:rsidR="00574EED" w:rsidRPr="001E071F" w:rsidRDefault="00574EED" w:rsidP="00F91869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sz w:val="20"/>
                <w:szCs w:val="20"/>
                <w:lang w:val="en-GB"/>
              </w:rPr>
              <w:t>Commits to customer service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07495" w14:textId="3048AF00" w:rsidR="00574EED" w:rsidRPr="00875146" w:rsidRDefault="0078778F" w:rsidP="00F91869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875146">
              <w:rPr>
                <w:iCs/>
                <w:sz w:val="20"/>
                <w:szCs w:val="20"/>
                <w:lang w:val="en-GB"/>
              </w:rPr>
              <w:t>Intermediate</w:t>
            </w:r>
          </w:p>
        </w:tc>
      </w:tr>
      <w:tr w:rsidR="00574EED" w:rsidRPr="001E071F" w14:paraId="780AFB2C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1F4E3" w14:textId="77777777" w:rsidR="00574EED" w:rsidRPr="001E071F" w:rsidRDefault="00574EED" w:rsidP="00F91869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1E071F">
              <w:rPr>
                <w:rFonts w:cs="Arial"/>
                <w:sz w:val="20"/>
                <w:szCs w:val="20"/>
                <w:lang w:val="en-GB"/>
              </w:rPr>
              <w:t>Displays leadership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C703F" w14:textId="436F8FD3" w:rsidR="00574EED" w:rsidRPr="00875146" w:rsidRDefault="00A73EA9" w:rsidP="00F91869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875146">
              <w:rPr>
                <w:iCs/>
                <w:sz w:val="20"/>
                <w:szCs w:val="20"/>
                <w:lang w:val="en-GB"/>
              </w:rPr>
              <w:t>Foundation</w:t>
            </w:r>
          </w:p>
        </w:tc>
      </w:tr>
      <w:tr w:rsidR="00574EED" w:rsidRPr="001E071F" w14:paraId="5830E2E9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B3641" w14:textId="77777777" w:rsidR="00574EED" w:rsidRPr="001E071F" w:rsidRDefault="00574EED" w:rsidP="00F91869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sz w:val="20"/>
                <w:szCs w:val="20"/>
                <w:lang w:val="en-GB"/>
              </w:rPr>
              <w:t>Generates and delivers the strategic vision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D5273" w14:textId="3A6EC1FE" w:rsidR="00574EED" w:rsidRPr="00875146" w:rsidRDefault="0078778F" w:rsidP="00F91869">
            <w:pPr>
              <w:spacing w:after="0" w:line="259" w:lineRule="auto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875146">
              <w:rPr>
                <w:iCs/>
                <w:sz w:val="20"/>
                <w:szCs w:val="20"/>
                <w:lang w:val="en-GB"/>
              </w:rPr>
              <w:t>Intermediate</w:t>
            </w:r>
          </w:p>
        </w:tc>
      </w:tr>
      <w:tr w:rsidR="00574EED" w:rsidRPr="001E071F" w14:paraId="009874EE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7F91F" w14:textId="77777777" w:rsidR="00574EED" w:rsidRPr="001E071F" w:rsidRDefault="00574EED" w:rsidP="00F91869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sz w:val="20"/>
                <w:szCs w:val="20"/>
                <w:lang w:val="en-GB"/>
              </w:rPr>
              <w:t>Demonstrates an awareness of the National Registration and Accreditation Scheme (the National Scheme) and the National Law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CD29D" w14:textId="2BEA886D" w:rsidR="00574EED" w:rsidRPr="00875146" w:rsidRDefault="00305EEA" w:rsidP="00F91869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875146">
              <w:rPr>
                <w:iCs/>
                <w:sz w:val="20"/>
                <w:szCs w:val="20"/>
                <w:lang w:val="en-GB"/>
              </w:rPr>
              <w:t>Foundation</w:t>
            </w:r>
          </w:p>
        </w:tc>
      </w:tr>
      <w:tr w:rsidR="00574EED" w:rsidRPr="001E071F" w14:paraId="3317C1DA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04579" w14:textId="77777777" w:rsidR="00574EED" w:rsidRPr="001E071F" w:rsidRDefault="00574EED" w:rsidP="00F91869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bCs/>
                <w:sz w:val="20"/>
                <w:szCs w:val="20"/>
                <w:lang w:val="en-GB"/>
              </w:rPr>
              <w:t>Builds constructive working relationships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60B99" w14:textId="2AFE4158" w:rsidR="00574EED" w:rsidRPr="00611955" w:rsidRDefault="0078778F" w:rsidP="00F91869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11955">
              <w:rPr>
                <w:iCs/>
                <w:sz w:val="20"/>
                <w:szCs w:val="20"/>
                <w:lang w:val="en-GB"/>
              </w:rPr>
              <w:t>Advanced</w:t>
            </w:r>
          </w:p>
        </w:tc>
      </w:tr>
      <w:tr w:rsidR="00574EED" w:rsidRPr="001E071F" w14:paraId="76BF6F5C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9D857" w14:textId="77777777" w:rsidR="00574EED" w:rsidRPr="001E071F" w:rsidRDefault="00574EED" w:rsidP="00F91869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sz w:val="20"/>
                <w:szCs w:val="20"/>
                <w:lang w:val="en-GB"/>
              </w:rPr>
              <w:t>Communicates effectively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5F57" w14:textId="2F109A5A" w:rsidR="00574EED" w:rsidRPr="00611955" w:rsidRDefault="0078778F" w:rsidP="00F91869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11955">
              <w:rPr>
                <w:iCs/>
                <w:sz w:val="20"/>
                <w:szCs w:val="20"/>
                <w:lang w:val="en-GB"/>
              </w:rPr>
              <w:t>Advanced</w:t>
            </w:r>
          </w:p>
        </w:tc>
      </w:tr>
      <w:tr w:rsidR="00574EED" w:rsidRPr="001E071F" w14:paraId="4F195692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75F72" w14:textId="77777777" w:rsidR="00574EED" w:rsidRPr="001E071F" w:rsidRDefault="00574EED" w:rsidP="00F91869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Demonstrates accountability in delivering results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573D5" w14:textId="5D2470E9" w:rsidR="00574EED" w:rsidRPr="00611955" w:rsidRDefault="0078778F" w:rsidP="00F91869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11955">
              <w:rPr>
                <w:iCs/>
                <w:sz w:val="20"/>
                <w:szCs w:val="20"/>
                <w:lang w:val="en-GB"/>
              </w:rPr>
              <w:t>Advanced</w:t>
            </w:r>
          </w:p>
        </w:tc>
      </w:tr>
      <w:tr w:rsidR="00574EED" w:rsidRPr="001E071F" w14:paraId="098F5F3A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E184" w14:textId="77777777" w:rsidR="00574EED" w:rsidRPr="001E071F" w:rsidRDefault="00574EED" w:rsidP="00F91869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sz w:val="20"/>
                <w:szCs w:val="20"/>
                <w:lang w:val="en-GB"/>
              </w:rPr>
              <w:t>Uses information and technology systems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84EAF" w14:textId="2447AEF0" w:rsidR="00574EED" w:rsidRPr="00611955" w:rsidRDefault="0078778F" w:rsidP="00F91869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11955">
              <w:rPr>
                <w:iCs/>
                <w:sz w:val="20"/>
                <w:szCs w:val="20"/>
                <w:lang w:val="en-GB"/>
              </w:rPr>
              <w:t>Highly Advanced</w:t>
            </w:r>
          </w:p>
        </w:tc>
      </w:tr>
      <w:tr w:rsidR="00574EED" w:rsidRPr="001E071F" w14:paraId="6EA09A0D" w14:textId="77777777" w:rsidTr="00C915B9">
        <w:trPr>
          <w:cantSplit/>
          <w:trHeight w:val="680"/>
        </w:trPr>
        <w:tc>
          <w:tcPr>
            <w:tcW w:w="3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51F8" w14:textId="77777777" w:rsidR="00574EED" w:rsidRPr="001E071F" w:rsidRDefault="00574EED" w:rsidP="00F91869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71F">
              <w:rPr>
                <w:rFonts w:ascii="Arial" w:hAnsi="Arial" w:cs="Arial"/>
                <w:bCs/>
                <w:sz w:val="20"/>
                <w:szCs w:val="20"/>
                <w:lang w:val="en-GB"/>
              </w:rPr>
              <w:t>Displays personal drive and integrity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87F19" w14:textId="5A0C9081" w:rsidR="00574EED" w:rsidRPr="00611955" w:rsidRDefault="0078778F" w:rsidP="00F91869">
            <w:pPr>
              <w:spacing w:after="0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611955">
              <w:rPr>
                <w:iCs/>
                <w:sz w:val="20"/>
                <w:szCs w:val="20"/>
                <w:lang w:val="en-GB"/>
              </w:rPr>
              <w:t>Advanced</w:t>
            </w:r>
          </w:p>
        </w:tc>
      </w:tr>
    </w:tbl>
    <w:p w14:paraId="2242D8DD" w14:textId="2CBF7439" w:rsidR="006372F3" w:rsidRDefault="006372F3" w:rsidP="006372F3">
      <w:pPr>
        <w:spacing w:after="0"/>
        <w:rPr>
          <w:rFonts w:cs="Arial"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2"/>
        <w:gridCol w:w="6348"/>
      </w:tblGrid>
      <w:tr w:rsidR="006372F3" w:rsidRPr="001E071F" w14:paraId="593A3F83" w14:textId="77777777" w:rsidTr="00E17F3F">
        <w:tc>
          <w:tcPr>
            <w:tcW w:w="1477" w:type="pct"/>
            <w:shd w:val="clear" w:color="auto" w:fill="D9D9D9" w:themeFill="background1" w:themeFillShade="D9"/>
          </w:tcPr>
          <w:p w14:paraId="79865EBD" w14:textId="77777777" w:rsidR="006372F3" w:rsidRPr="001E071F" w:rsidRDefault="006372F3" w:rsidP="00F91869">
            <w:pPr>
              <w:spacing w:before="120" w:after="120"/>
              <w:rPr>
                <w:rFonts w:cs="Arial"/>
                <w:lang w:val="en-GB"/>
              </w:rPr>
            </w:pPr>
            <w:r w:rsidRPr="001E071F">
              <w:rPr>
                <w:rFonts w:cs="Arial"/>
                <w:b/>
                <w:bCs/>
                <w:lang w:val="en-GB"/>
              </w:rPr>
              <w:t>Qualifications/Experience</w:t>
            </w:r>
          </w:p>
        </w:tc>
        <w:tc>
          <w:tcPr>
            <w:tcW w:w="3523" w:type="pct"/>
            <w:shd w:val="clear" w:color="auto" w:fill="D9D9D9" w:themeFill="background1" w:themeFillShade="D9"/>
          </w:tcPr>
          <w:p w14:paraId="32ED6B4D" w14:textId="77777777" w:rsidR="006372F3" w:rsidRPr="001E071F" w:rsidRDefault="006372F3" w:rsidP="00F91869">
            <w:pPr>
              <w:spacing w:before="120" w:after="120"/>
              <w:rPr>
                <w:rFonts w:cs="Arial"/>
                <w:lang w:val="en-GB"/>
              </w:rPr>
            </w:pPr>
            <w:r w:rsidRPr="001E071F">
              <w:rPr>
                <w:rFonts w:cs="Arial"/>
                <w:b/>
                <w:bCs/>
                <w:lang w:val="en-GB"/>
              </w:rPr>
              <w:t>Required</w:t>
            </w:r>
          </w:p>
        </w:tc>
      </w:tr>
      <w:tr w:rsidR="006372F3" w:rsidRPr="001E071F" w14:paraId="58D540BD" w14:textId="77777777" w:rsidTr="00E17F3F">
        <w:tc>
          <w:tcPr>
            <w:tcW w:w="1477" w:type="pct"/>
          </w:tcPr>
          <w:p w14:paraId="2AA37CED" w14:textId="77777777" w:rsidR="006372F3" w:rsidRPr="001E071F" w:rsidRDefault="006372F3" w:rsidP="00F91869">
            <w:pPr>
              <w:spacing w:before="120" w:after="120"/>
              <w:rPr>
                <w:rFonts w:cs="Arial"/>
                <w:lang w:val="en-GB"/>
              </w:rPr>
            </w:pPr>
            <w:r w:rsidRPr="001E071F">
              <w:rPr>
                <w:rFonts w:cs="Arial"/>
                <w:b/>
                <w:bCs/>
                <w:lang w:val="en-GB"/>
              </w:rPr>
              <w:t>Qualifications</w:t>
            </w:r>
          </w:p>
        </w:tc>
        <w:tc>
          <w:tcPr>
            <w:tcW w:w="3523" w:type="pct"/>
          </w:tcPr>
          <w:p w14:paraId="5CFC5EFF" w14:textId="170EB3B3" w:rsidR="00450344" w:rsidRPr="00B60223" w:rsidRDefault="00271CBD" w:rsidP="00B60223">
            <w:pPr>
              <w:spacing w:before="120" w:after="120"/>
              <w:rPr>
                <w:rFonts w:cs="Arial"/>
              </w:rPr>
            </w:pPr>
            <w:r w:rsidRPr="00940EBE">
              <w:rPr>
                <w:rFonts w:cs="Arial"/>
              </w:rPr>
              <w:t xml:space="preserve">A tertiary qualification in statistics, </w:t>
            </w:r>
            <w:r>
              <w:rPr>
                <w:rFonts w:cs="Arial"/>
              </w:rPr>
              <w:t xml:space="preserve">mathematics, </w:t>
            </w:r>
            <w:r w:rsidRPr="00940EBE">
              <w:rPr>
                <w:rFonts w:cs="Arial"/>
              </w:rPr>
              <w:t>data analysis, data science,</w:t>
            </w:r>
            <w:r>
              <w:rPr>
                <w:rFonts w:cs="Arial"/>
              </w:rPr>
              <w:t xml:space="preserve"> </w:t>
            </w:r>
            <w:r w:rsidRPr="008C13C8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 xml:space="preserve">a </w:t>
            </w:r>
            <w:r w:rsidRPr="008C13C8">
              <w:rPr>
                <w:rFonts w:cs="Arial"/>
              </w:rPr>
              <w:t>degree with a strong focus on res</w:t>
            </w:r>
            <w:r>
              <w:rPr>
                <w:rFonts w:cs="Arial"/>
              </w:rPr>
              <w:t>earch methods and data analysis, or equivalent demonstrated experience.</w:t>
            </w:r>
          </w:p>
        </w:tc>
      </w:tr>
      <w:tr w:rsidR="006372F3" w:rsidRPr="001E071F" w14:paraId="25866558" w14:textId="77777777" w:rsidTr="00E17F3F">
        <w:tc>
          <w:tcPr>
            <w:tcW w:w="1477" w:type="pct"/>
            <w:vAlign w:val="center"/>
          </w:tcPr>
          <w:p w14:paraId="08218647" w14:textId="77777777" w:rsidR="006372F3" w:rsidRPr="001E071F" w:rsidRDefault="006372F3" w:rsidP="00F91869">
            <w:pPr>
              <w:spacing w:before="120" w:after="120"/>
              <w:rPr>
                <w:rFonts w:cs="Arial"/>
                <w:lang w:val="en-GB"/>
              </w:rPr>
            </w:pPr>
            <w:r w:rsidRPr="001E071F">
              <w:rPr>
                <w:rFonts w:cs="Arial"/>
                <w:b/>
                <w:bCs/>
                <w:lang w:val="en-GB"/>
              </w:rPr>
              <w:t>Experience</w:t>
            </w:r>
          </w:p>
        </w:tc>
        <w:tc>
          <w:tcPr>
            <w:tcW w:w="3523" w:type="pct"/>
          </w:tcPr>
          <w:p w14:paraId="1DE5BD74" w14:textId="49EC9A14" w:rsidR="00271CBD" w:rsidRPr="00940EBE" w:rsidRDefault="00271CBD" w:rsidP="00271CB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Demonstrated</w:t>
            </w:r>
            <w:r w:rsidRPr="00940EBE">
              <w:rPr>
                <w:rFonts w:cs="Arial"/>
              </w:rPr>
              <w:t xml:space="preserve"> experience in </w:t>
            </w:r>
            <w:r>
              <w:rPr>
                <w:rFonts w:cs="Arial"/>
              </w:rPr>
              <w:t>experimental design and research methodologies</w:t>
            </w:r>
            <w:r w:rsidR="00655347">
              <w:rPr>
                <w:rFonts w:cs="Arial"/>
              </w:rPr>
              <w:t xml:space="preserve"> for advanced analytics</w:t>
            </w:r>
            <w:r w:rsidRPr="00940EBE">
              <w:rPr>
                <w:rFonts w:cs="Arial"/>
              </w:rPr>
              <w:t>.</w:t>
            </w:r>
          </w:p>
          <w:p w14:paraId="11A1C61D" w14:textId="4F282448" w:rsidR="00271CBD" w:rsidRDefault="00271CBD" w:rsidP="00271CB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Demonstrated e</w:t>
            </w:r>
            <w:r w:rsidRPr="00396202">
              <w:rPr>
                <w:rFonts w:cs="Arial"/>
              </w:rPr>
              <w:t>xperience</w:t>
            </w:r>
            <w:r w:rsidR="005F280E">
              <w:rPr>
                <w:rFonts w:cs="Arial"/>
              </w:rPr>
              <w:t xml:space="preserve"> accessing</w:t>
            </w:r>
            <w:r>
              <w:rPr>
                <w:rFonts w:cs="Arial"/>
              </w:rPr>
              <w:t xml:space="preserve"> and process</w:t>
            </w:r>
            <w:r w:rsidR="005F280E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data </w:t>
            </w:r>
            <w:r w:rsidR="005F280E">
              <w:rPr>
                <w:rFonts w:cs="Arial"/>
              </w:rPr>
              <w:t xml:space="preserve">using a range of tools.  </w:t>
            </w:r>
          </w:p>
          <w:p w14:paraId="0639F824" w14:textId="42F274BB" w:rsidR="00271CBD" w:rsidRDefault="00AB2D85" w:rsidP="00271CB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Advanced skills</w:t>
            </w:r>
            <w:r w:rsidR="00271CBD" w:rsidRPr="00940EBE">
              <w:rPr>
                <w:rFonts w:cs="Arial"/>
              </w:rPr>
              <w:t xml:space="preserve"> </w:t>
            </w:r>
            <w:r w:rsidR="00271CBD">
              <w:rPr>
                <w:rFonts w:cs="Arial"/>
              </w:rPr>
              <w:t xml:space="preserve">in </w:t>
            </w:r>
            <w:r w:rsidR="005F280E">
              <w:rPr>
                <w:rFonts w:cs="Arial"/>
              </w:rPr>
              <w:t>relevant</w:t>
            </w:r>
            <w:r w:rsidR="00271CBD">
              <w:rPr>
                <w:rFonts w:cs="Arial"/>
              </w:rPr>
              <w:t xml:space="preserve"> programming languages such as Python and</w:t>
            </w:r>
            <w:r w:rsidR="00A73EA9">
              <w:rPr>
                <w:rFonts w:cs="Arial"/>
              </w:rPr>
              <w:t>/or</w:t>
            </w:r>
            <w:r w:rsidR="00271CBD">
              <w:rPr>
                <w:rFonts w:cs="Arial"/>
              </w:rPr>
              <w:t xml:space="preserve"> R for the development of </w:t>
            </w:r>
            <w:r w:rsidR="005A2B8D">
              <w:rPr>
                <w:rFonts w:cs="Arial"/>
              </w:rPr>
              <w:t>internal and external stakeholder</w:t>
            </w:r>
            <w:r w:rsidR="00271CBD">
              <w:rPr>
                <w:rFonts w:cs="Arial"/>
              </w:rPr>
              <w:t xml:space="preserve"> data </w:t>
            </w:r>
            <w:r w:rsidR="005A2B8D">
              <w:rPr>
                <w:rFonts w:cs="Arial"/>
              </w:rPr>
              <w:t xml:space="preserve">outputs </w:t>
            </w:r>
            <w:r w:rsidR="00271CBD">
              <w:rPr>
                <w:rFonts w:cs="Arial"/>
              </w:rPr>
              <w:t xml:space="preserve">and dashboards.  </w:t>
            </w:r>
          </w:p>
          <w:p w14:paraId="5D0F54CD" w14:textId="249C6BC7" w:rsidR="00AB29A2" w:rsidRPr="00B540AB" w:rsidRDefault="00AB29A2" w:rsidP="00AB29A2">
            <w:pPr>
              <w:pStyle w:val="AHPRAbody"/>
              <w:rPr>
                <w:color w:val="000000"/>
              </w:rPr>
            </w:pPr>
            <w:r>
              <w:rPr>
                <w:color w:val="000000"/>
              </w:rPr>
              <w:t>Advanced</w:t>
            </w:r>
            <w:r w:rsidRPr="00B540AB">
              <w:rPr>
                <w:color w:val="000000"/>
              </w:rPr>
              <w:t xml:space="preserve"> skills to develop enterprise-ready dashboards using open-source frameworks and Microsoft products and services, such as Power BI, SQL Server, Azure, R and Python. </w:t>
            </w:r>
          </w:p>
          <w:p w14:paraId="78F139FE" w14:textId="460C73F2" w:rsidR="00271CBD" w:rsidRPr="00271CBD" w:rsidRDefault="00271CBD" w:rsidP="00271CBD">
            <w:pPr>
              <w:spacing w:after="0"/>
              <w:rPr>
                <w:rFonts w:cs="Arial"/>
              </w:rPr>
            </w:pPr>
            <w:r w:rsidRPr="00271CBD">
              <w:rPr>
                <w:rFonts w:cs="Arial"/>
              </w:rPr>
              <w:t>Demonstrated experience to reliably apply the fundamental techniques of supervised and unsupervised machine learning</w:t>
            </w:r>
            <w:r w:rsidR="00655347">
              <w:rPr>
                <w:rFonts w:cs="Arial"/>
              </w:rPr>
              <w:t xml:space="preserve"> </w:t>
            </w:r>
          </w:p>
          <w:p w14:paraId="594AB8F6" w14:textId="77777777" w:rsidR="00271CBD" w:rsidRPr="00561D6A" w:rsidRDefault="00271CBD" w:rsidP="00271CBD">
            <w:pPr>
              <w:spacing w:after="0"/>
              <w:ind w:left="360"/>
              <w:rPr>
                <w:rFonts w:cs="Arial"/>
              </w:rPr>
            </w:pPr>
          </w:p>
          <w:p w14:paraId="22A6A097" w14:textId="0EEC3B11" w:rsidR="00271CBD" w:rsidRPr="00271CBD" w:rsidRDefault="00711510" w:rsidP="00271CBD">
            <w:pPr>
              <w:rPr>
                <w:rFonts w:cs="Arial"/>
              </w:rPr>
            </w:pPr>
            <w:r>
              <w:rPr>
                <w:rFonts w:cs="Arial"/>
              </w:rPr>
              <w:t xml:space="preserve">Highly </w:t>
            </w:r>
            <w:r w:rsidR="00271CBD" w:rsidRPr="00271CBD">
              <w:rPr>
                <w:rFonts w:cs="Arial"/>
              </w:rPr>
              <w:t>developed verbal communication skills to enable open information sharing within a team</w:t>
            </w:r>
            <w:r w:rsidR="00E26ED7">
              <w:rPr>
                <w:rFonts w:cs="Arial"/>
              </w:rPr>
              <w:t>.</w:t>
            </w:r>
            <w:r w:rsidR="00AB29A2" w:rsidRPr="00B540AB">
              <w:rPr>
                <w:color w:val="000000"/>
              </w:rPr>
              <w:t xml:space="preserve"> </w:t>
            </w:r>
            <w:r w:rsidR="00AB29A2">
              <w:rPr>
                <w:color w:val="000000"/>
              </w:rPr>
              <w:t xml:space="preserve">Strong skills to communicate </w:t>
            </w:r>
            <w:r w:rsidR="00AB29A2" w:rsidRPr="00B540AB">
              <w:rPr>
                <w:color w:val="000000"/>
              </w:rPr>
              <w:t>technical topics for non-technical colleagues</w:t>
            </w:r>
            <w:r w:rsidR="00AB29A2">
              <w:rPr>
                <w:color w:val="000000"/>
              </w:rPr>
              <w:t xml:space="preserve"> and partner with colleagues to assure the successful deployment of in-house solutions.</w:t>
            </w:r>
          </w:p>
          <w:p w14:paraId="0DB373B3" w14:textId="77777777" w:rsidR="00271CBD" w:rsidRPr="00A012FD" w:rsidRDefault="00271CBD" w:rsidP="00271CBD">
            <w:pPr>
              <w:spacing w:before="120" w:after="120"/>
              <w:rPr>
                <w:rFonts w:cs="Arial"/>
                <w:b/>
              </w:rPr>
            </w:pPr>
            <w:r w:rsidRPr="00A012FD">
              <w:rPr>
                <w:rFonts w:cs="Arial"/>
                <w:b/>
              </w:rPr>
              <w:t>Desirable</w:t>
            </w:r>
          </w:p>
          <w:p w14:paraId="386A6449" w14:textId="61FC83D8" w:rsidR="00271CBD" w:rsidRDefault="00271CBD" w:rsidP="00271CB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Experience with the fundamental tools of software engineering like version control, Docker, unit testing, </w:t>
            </w:r>
            <w:proofErr w:type="gramStart"/>
            <w:r w:rsidR="00A73EA9">
              <w:rPr>
                <w:rFonts w:cs="Arial"/>
              </w:rPr>
              <w:t>Azure</w:t>
            </w:r>
            <w:proofErr w:type="gramEnd"/>
            <w:r w:rsidR="00A73EA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other cloud infrastructure</w:t>
            </w:r>
          </w:p>
          <w:p w14:paraId="0C2DC140" w14:textId="7A3E84E8" w:rsidR="00777226" w:rsidRPr="00271CBD" w:rsidRDefault="00271CBD" w:rsidP="00271CBD">
            <w:pPr>
              <w:spacing w:before="240"/>
              <w:rPr>
                <w:rFonts w:cs="Arial"/>
                <w:i/>
                <w:color w:val="808080" w:themeColor="background1" w:themeShade="80"/>
                <w:lang w:val="en-GB"/>
              </w:rPr>
            </w:pPr>
            <w:r>
              <w:rPr>
                <w:rFonts w:cs="Arial"/>
              </w:rPr>
              <w:t>Experience developing data products using R/Python and deploying enterprise-ready products</w:t>
            </w:r>
            <w:r w:rsidR="000E6259">
              <w:rPr>
                <w:rFonts w:cs="Arial"/>
              </w:rPr>
              <w:t xml:space="preserve"> with Power BI</w:t>
            </w:r>
          </w:p>
          <w:p w14:paraId="60833B4A" w14:textId="08881F3A" w:rsidR="0026137B" w:rsidRPr="001E071F" w:rsidRDefault="005F280E" w:rsidP="00F91869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Previous experience with </w:t>
            </w:r>
            <w:r w:rsidR="00485C83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use of parallel data processing technologies</w:t>
            </w:r>
          </w:p>
        </w:tc>
      </w:tr>
    </w:tbl>
    <w:p w14:paraId="02D7E8F3" w14:textId="2822001E" w:rsidR="00C25EBA" w:rsidRDefault="006372F3" w:rsidP="00C25EBA">
      <w:pPr>
        <w:spacing w:before="120"/>
        <w:rPr>
          <w:rFonts w:cs="Arial"/>
          <w:b/>
          <w:color w:val="0070C0"/>
          <w:lang w:val="en-GB"/>
        </w:rPr>
      </w:pPr>
      <w:r w:rsidRPr="001E071F">
        <w:rPr>
          <w:rFonts w:cs="Arial"/>
          <w:b/>
          <w:color w:val="0070C0"/>
          <w:lang w:val="en-GB"/>
        </w:rPr>
        <w:t xml:space="preserve">Key </w:t>
      </w:r>
      <w:r w:rsidR="000749B9">
        <w:rPr>
          <w:rFonts w:cs="Arial"/>
          <w:b/>
          <w:color w:val="0070C0"/>
          <w:lang w:val="en-GB"/>
        </w:rPr>
        <w:t>r</w:t>
      </w:r>
      <w:r w:rsidRPr="001E071F">
        <w:rPr>
          <w:rFonts w:cs="Arial"/>
          <w:b/>
          <w:color w:val="0070C0"/>
          <w:lang w:val="en-GB"/>
        </w:rPr>
        <w:t>elationships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5"/>
        <w:gridCol w:w="4505"/>
      </w:tblGrid>
      <w:tr w:rsidR="00C25EBA" w:rsidRPr="00A72422" w14:paraId="3CC331AF" w14:textId="77777777" w:rsidTr="00F91869">
        <w:tc>
          <w:tcPr>
            <w:tcW w:w="2500" w:type="pct"/>
            <w:shd w:val="clear" w:color="auto" w:fill="D9D9D9" w:themeFill="background1" w:themeFillShade="D9"/>
          </w:tcPr>
          <w:p w14:paraId="3010551F" w14:textId="7F0D7371" w:rsidR="00C25EBA" w:rsidRPr="00A72422" w:rsidRDefault="00C25EBA" w:rsidP="00F91869">
            <w:pPr>
              <w:spacing w:before="120" w:after="120"/>
              <w:rPr>
                <w:rFonts w:cs="Arial"/>
                <w:b/>
              </w:rPr>
            </w:pPr>
            <w:r w:rsidRPr="00A72422">
              <w:rPr>
                <w:rFonts w:cs="Arial"/>
                <w:b/>
              </w:rPr>
              <w:t xml:space="preserve">Internal </w:t>
            </w:r>
            <w:r w:rsidR="000749B9">
              <w:rPr>
                <w:rFonts w:cs="Arial"/>
                <w:b/>
              </w:rPr>
              <w:t>r</w:t>
            </w:r>
            <w:r w:rsidRPr="00A72422">
              <w:rPr>
                <w:rFonts w:cs="Arial"/>
                <w:b/>
              </w:rPr>
              <w:t>elationships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D9E4B7F" w14:textId="4212B282" w:rsidR="00C25EBA" w:rsidRPr="00A72422" w:rsidRDefault="00C25EBA" w:rsidP="00F91869">
            <w:pPr>
              <w:spacing w:before="120" w:after="120"/>
              <w:rPr>
                <w:rFonts w:cs="Arial"/>
                <w:b/>
              </w:rPr>
            </w:pPr>
            <w:r w:rsidRPr="00A72422">
              <w:rPr>
                <w:rFonts w:cs="Arial"/>
                <w:b/>
              </w:rPr>
              <w:t xml:space="preserve">External </w:t>
            </w:r>
            <w:r w:rsidR="000749B9">
              <w:rPr>
                <w:rFonts w:cs="Arial"/>
                <w:b/>
              </w:rPr>
              <w:t>r</w:t>
            </w:r>
            <w:r w:rsidRPr="00A72422">
              <w:rPr>
                <w:rFonts w:cs="Arial"/>
                <w:b/>
              </w:rPr>
              <w:t>elationships</w:t>
            </w:r>
          </w:p>
        </w:tc>
      </w:tr>
      <w:tr w:rsidR="00C25EBA" w:rsidRPr="00A72422" w14:paraId="19D4E17C" w14:textId="77777777" w:rsidTr="00F91869">
        <w:tc>
          <w:tcPr>
            <w:tcW w:w="2500" w:type="pct"/>
          </w:tcPr>
          <w:p w14:paraId="2755EBCE" w14:textId="7995A20F" w:rsidR="00C25EBA" w:rsidRPr="00485C83" w:rsidRDefault="00485C83" w:rsidP="00271CBD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  <w:r w:rsidRPr="00485C83">
              <w:rPr>
                <w:rFonts w:cs="Arial"/>
                <w:bCs/>
              </w:rPr>
              <w:t xml:space="preserve">Ahpra </w:t>
            </w:r>
            <w:r>
              <w:rPr>
                <w:rFonts w:cs="Arial"/>
                <w:bCs/>
              </w:rPr>
              <w:t>internal directorates</w:t>
            </w:r>
          </w:p>
        </w:tc>
        <w:tc>
          <w:tcPr>
            <w:tcW w:w="2500" w:type="pct"/>
          </w:tcPr>
          <w:p w14:paraId="26440086" w14:textId="28F01D2B" w:rsidR="00C25EBA" w:rsidRPr="00271CBD" w:rsidRDefault="00271CBD" w:rsidP="00271CBD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 w:rsidRPr="00EF3A2B">
              <w:t>Research partners</w:t>
            </w:r>
          </w:p>
        </w:tc>
      </w:tr>
      <w:tr w:rsidR="00485C83" w:rsidRPr="00A72422" w14:paraId="7824A473" w14:textId="77777777" w:rsidTr="00F91869">
        <w:tc>
          <w:tcPr>
            <w:tcW w:w="2500" w:type="pct"/>
          </w:tcPr>
          <w:p w14:paraId="3A58EE5D" w14:textId="43D0BF3A" w:rsidR="00485C83" w:rsidRPr="00EF3A2B" w:rsidRDefault="00485C83" w:rsidP="00485C83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 w:rsidRPr="00EF3A2B">
              <w:t>National boards</w:t>
            </w:r>
          </w:p>
        </w:tc>
        <w:tc>
          <w:tcPr>
            <w:tcW w:w="2500" w:type="pct"/>
          </w:tcPr>
          <w:p w14:paraId="00BD459F" w14:textId="1E222EA5" w:rsidR="00485C83" w:rsidRPr="00EF3A2B" w:rsidRDefault="00485C83" w:rsidP="00485C83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 w:rsidRPr="00EF3A2B">
              <w:t>Jurisdictional health departments</w:t>
            </w:r>
          </w:p>
        </w:tc>
      </w:tr>
      <w:tr w:rsidR="00485C83" w:rsidRPr="00A72422" w14:paraId="476E48EB" w14:textId="77777777" w:rsidTr="00F91869">
        <w:tc>
          <w:tcPr>
            <w:tcW w:w="2500" w:type="pct"/>
          </w:tcPr>
          <w:p w14:paraId="16DB0C7E" w14:textId="059F79BD" w:rsidR="00485C83" w:rsidRPr="00271CBD" w:rsidRDefault="00485C83" w:rsidP="00485C83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 w:rsidRPr="00EF3A2B">
              <w:t>Executive Officers</w:t>
            </w:r>
          </w:p>
        </w:tc>
        <w:tc>
          <w:tcPr>
            <w:tcW w:w="2500" w:type="pct"/>
          </w:tcPr>
          <w:p w14:paraId="6C7B0B52" w14:textId="206439AC" w:rsidR="00485C83" w:rsidRPr="00A72422" w:rsidRDefault="00485C83" w:rsidP="00485C83">
            <w:pPr>
              <w:pStyle w:val="ListBullet"/>
              <w:numPr>
                <w:ilvl w:val="0"/>
                <w:numId w:val="0"/>
              </w:numPr>
              <w:spacing w:line="240" w:lineRule="auto"/>
              <w:ind w:left="58"/>
              <w:rPr>
                <w:rFonts w:cs="Arial"/>
              </w:rPr>
            </w:pPr>
            <w:r w:rsidRPr="00EF3A2B">
              <w:t>State, territory, national and international health research entities</w:t>
            </w:r>
          </w:p>
        </w:tc>
      </w:tr>
      <w:tr w:rsidR="00485C83" w:rsidRPr="00A72422" w14:paraId="4EF59C4A" w14:textId="77777777" w:rsidTr="00F91869">
        <w:tc>
          <w:tcPr>
            <w:tcW w:w="2500" w:type="pct"/>
          </w:tcPr>
          <w:p w14:paraId="6CF02A39" w14:textId="520DF631" w:rsidR="00485C83" w:rsidRPr="00271CBD" w:rsidRDefault="00485C83" w:rsidP="00485C83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 w:rsidRPr="00EF3A2B">
              <w:lastRenderedPageBreak/>
              <w:t>Research Evaluation Committee</w:t>
            </w:r>
          </w:p>
        </w:tc>
        <w:tc>
          <w:tcPr>
            <w:tcW w:w="2500" w:type="pct"/>
          </w:tcPr>
          <w:p w14:paraId="5490B827" w14:textId="582D556B" w:rsidR="00485C83" w:rsidRPr="00A72422" w:rsidRDefault="00485C83" w:rsidP="00485C83">
            <w:pPr>
              <w:pStyle w:val="ListBullet"/>
              <w:numPr>
                <w:ilvl w:val="0"/>
                <w:numId w:val="0"/>
              </w:numPr>
              <w:spacing w:line="240" w:lineRule="auto"/>
              <w:ind w:left="58"/>
              <w:rPr>
                <w:rFonts w:cs="Arial"/>
                <w:color w:val="000000" w:themeColor="text1"/>
              </w:rPr>
            </w:pPr>
          </w:p>
        </w:tc>
      </w:tr>
      <w:tr w:rsidR="00485C83" w:rsidRPr="00A72422" w14:paraId="1B628F5C" w14:textId="77777777" w:rsidTr="00F91869">
        <w:tc>
          <w:tcPr>
            <w:tcW w:w="2500" w:type="pct"/>
          </w:tcPr>
          <w:p w14:paraId="500FE25C" w14:textId="7CAA87EB" w:rsidR="00485C83" w:rsidRPr="00271CBD" w:rsidRDefault="00485C83" w:rsidP="00485C83">
            <w:pPr>
              <w:pStyle w:val="ListBullet"/>
              <w:numPr>
                <w:ilvl w:val="0"/>
                <w:numId w:val="0"/>
              </w:numPr>
              <w:spacing w:line="240" w:lineRule="auto"/>
            </w:pPr>
            <w:r w:rsidRPr="00EF3A2B">
              <w:t>National Executive Committee</w:t>
            </w:r>
          </w:p>
        </w:tc>
        <w:tc>
          <w:tcPr>
            <w:tcW w:w="2500" w:type="pct"/>
          </w:tcPr>
          <w:p w14:paraId="0C6BB745" w14:textId="77777777" w:rsidR="00485C83" w:rsidRPr="00A72422" w:rsidRDefault="00485C83" w:rsidP="00485C83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</w:tr>
      <w:tr w:rsidR="00485C83" w:rsidRPr="00A72422" w14:paraId="312CEF1E" w14:textId="77777777" w:rsidTr="00F91869">
        <w:tc>
          <w:tcPr>
            <w:tcW w:w="2500" w:type="pct"/>
          </w:tcPr>
          <w:p w14:paraId="3F79A0D8" w14:textId="62824453" w:rsidR="00485C83" w:rsidRPr="00271CBD" w:rsidRDefault="00485C83" w:rsidP="00485C83">
            <w:pPr>
              <w:pStyle w:val="ListBullet"/>
              <w:numPr>
                <w:ilvl w:val="0"/>
                <w:numId w:val="0"/>
              </w:numPr>
              <w:spacing w:line="240" w:lineRule="auto"/>
              <w:ind w:left="32"/>
            </w:pPr>
            <w:r w:rsidRPr="00EF3A2B">
              <w:t>Agency Management Committee and relevant sub-committees</w:t>
            </w:r>
          </w:p>
        </w:tc>
        <w:tc>
          <w:tcPr>
            <w:tcW w:w="2500" w:type="pct"/>
          </w:tcPr>
          <w:p w14:paraId="381C4FC4" w14:textId="60568313" w:rsidR="00485C83" w:rsidRPr="00A72422" w:rsidRDefault="00485C83" w:rsidP="00485C83">
            <w:pPr>
              <w:spacing w:before="60" w:after="60"/>
              <w:rPr>
                <w:rFonts w:cs="Arial"/>
                <w:color w:val="000000" w:themeColor="text1"/>
              </w:rPr>
            </w:pPr>
          </w:p>
        </w:tc>
      </w:tr>
    </w:tbl>
    <w:p w14:paraId="36331939" w14:textId="74FE89D1" w:rsidR="00CC0B06" w:rsidRDefault="00CC0B06" w:rsidP="0088131F">
      <w:pPr>
        <w:rPr>
          <w:lang w:val="en-GB"/>
        </w:rPr>
      </w:pPr>
    </w:p>
    <w:p w14:paraId="63FA0B23" w14:textId="77777777" w:rsidR="00916214" w:rsidRPr="001E071F" w:rsidRDefault="00916214" w:rsidP="0088131F">
      <w:pPr>
        <w:rPr>
          <w:lang w:val="en-GB"/>
        </w:rPr>
      </w:pPr>
    </w:p>
    <w:sectPr w:rsidR="00916214" w:rsidRPr="001E071F" w:rsidSect="000E5368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05CC" w14:textId="77777777" w:rsidR="001B2E64" w:rsidRDefault="001B2E64">
      <w:pPr>
        <w:spacing w:after="0"/>
      </w:pPr>
      <w:r>
        <w:separator/>
      </w:r>
    </w:p>
  </w:endnote>
  <w:endnote w:type="continuationSeparator" w:id="0">
    <w:p w14:paraId="1E0F6010" w14:textId="77777777" w:rsidR="001B2E64" w:rsidRDefault="001B2E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909270357"/>
      <w:docPartObj>
        <w:docPartGallery w:val="Page Numbers (Bottom of Page)"/>
        <w:docPartUnique/>
      </w:docPartObj>
    </w:sdtPr>
    <w:sdtEndPr/>
    <w:sdtContent>
      <w:p w14:paraId="73DFEE48" w14:textId="2B06FC42" w:rsidR="00637CA3" w:rsidRPr="00637CA3" w:rsidRDefault="00BA2504" w:rsidP="00637CA3">
        <w:pPr>
          <w:pStyle w:val="AHPRAfooter"/>
          <w:tabs>
            <w:tab w:val="right" w:pos="8931"/>
          </w:tabs>
          <w:rPr>
            <w:sz w:val="16"/>
            <w:szCs w:val="16"/>
          </w:rPr>
        </w:pPr>
        <w:r>
          <w:rPr>
            <w:sz w:val="16"/>
            <w:szCs w:val="16"/>
          </w:rPr>
          <w:t>Data Scientist</w:t>
        </w:r>
        <w:r w:rsidR="002D0E22">
          <w:rPr>
            <w:sz w:val="16"/>
            <w:szCs w:val="16"/>
          </w:rPr>
          <w:t xml:space="preserve"> (RD </w:t>
        </w:r>
        <w:r w:rsidR="00582968">
          <w:rPr>
            <w:sz w:val="16"/>
            <w:szCs w:val="16"/>
          </w:rPr>
          <w:t>Final</w:t>
        </w:r>
        <w:r w:rsidR="002D0E22">
          <w:rPr>
            <w:sz w:val="16"/>
            <w:szCs w:val="16"/>
          </w:rPr>
          <w:t>)</w:t>
        </w:r>
        <w:r w:rsidR="00637CA3">
          <w:rPr>
            <w:sz w:val="16"/>
            <w:szCs w:val="16"/>
          </w:rPr>
          <w:tab/>
        </w:r>
        <w:r w:rsidR="00637CA3" w:rsidRPr="00637CA3">
          <w:rPr>
            <w:sz w:val="16"/>
            <w:szCs w:val="16"/>
          </w:rPr>
          <w:t xml:space="preserve">Page | </w:t>
        </w:r>
        <w:r w:rsidR="00637CA3" w:rsidRPr="00637CA3">
          <w:rPr>
            <w:sz w:val="16"/>
            <w:szCs w:val="16"/>
          </w:rPr>
          <w:fldChar w:fldCharType="begin"/>
        </w:r>
        <w:r w:rsidR="00637CA3" w:rsidRPr="00637CA3">
          <w:rPr>
            <w:sz w:val="16"/>
            <w:szCs w:val="16"/>
          </w:rPr>
          <w:instrText xml:space="preserve"> PAGE   \* MERGEFORMAT </w:instrText>
        </w:r>
        <w:r w:rsidR="00637CA3" w:rsidRPr="00637CA3">
          <w:rPr>
            <w:sz w:val="16"/>
            <w:szCs w:val="16"/>
          </w:rPr>
          <w:fldChar w:fldCharType="separate"/>
        </w:r>
        <w:r w:rsidR="00637CA3" w:rsidRPr="00637CA3">
          <w:rPr>
            <w:noProof/>
            <w:sz w:val="16"/>
            <w:szCs w:val="16"/>
          </w:rPr>
          <w:t>2</w:t>
        </w:r>
        <w:r w:rsidR="00637CA3" w:rsidRPr="00637CA3">
          <w:rPr>
            <w:noProof/>
            <w:sz w:val="16"/>
            <w:szCs w:val="16"/>
          </w:rPr>
          <w:fldChar w:fldCharType="end"/>
        </w:r>
        <w:r w:rsidR="00637CA3" w:rsidRPr="00637CA3">
          <w:rPr>
            <w:sz w:val="16"/>
            <w:szCs w:val="16"/>
          </w:rPr>
          <w:t xml:space="preserve"> </w:t>
        </w:r>
      </w:p>
    </w:sdtContent>
  </w:sdt>
  <w:p w14:paraId="272CEE01" w14:textId="7888CCCF" w:rsidR="001B58BD" w:rsidRPr="00637CA3" w:rsidRDefault="008A44F7" w:rsidP="00930FC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8CCB" w14:textId="77777777" w:rsidR="001B2E64" w:rsidRDefault="001B2E64">
      <w:pPr>
        <w:spacing w:after="0"/>
      </w:pPr>
      <w:r>
        <w:separator/>
      </w:r>
    </w:p>
  </w:footnote>
  <w:footnote w:type="continuationSeparator" w:id="0">
    <w:p w14:paraId="3E2F134F" w14:textId="77777777" w:rsidR="001B2E64" w:rsidRDefault="001B2E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497E" w14:textId="3A398CA1" w:rsidR="001B58BD" w:rsidRDefault="008A44F7">
    <w:pPr>
      <w:pStyle w:val="Header"/>
    </w:pPr>
    <w:r>
      <w:rPr>
        <w:noProof/>
      </w:rPr>
      <w:pict w14:anchorId="0E1EBE19">
        <v:shapetype id="_x0000_t202" coordsize="21600,21600" o:spt="202" path="m,l,21600r21600,l21600,xe">
          <v:stroke joinstyle="miter"/>
          <v:path gradientshapeok="t" o:connecttype="rect"/>
        </v:shapetype>
        <v:shape id="WordArt 93" o:spid="_x0000_s2051" type="#_x0000_t202" style="position:absolute;margin-left:0;margin-top:0;width:490.8pt;height:196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" o:allowincell="f" filled="f" stroked="f">
          <o:lock v:ext="edit" aspectratio="t" verticies="t" shapetype="t"/>
          <v:textbox>
            <w:txbxContent>
              <w:p w14:paraId="0DE171A3" w14:textId="77777777" w:rsidR="001B58BD" w:rsidRDefault="000F4939" w:rsidP="001B58BD">
                <w:pPr>
                  <w:jc w:val="center"/>
                </w:pPr>
                <w:r>
                  <w:rPr>
                    <w:rFonts w:cs="Arial"/>
                    <w:color w:val="C0C0C0"/>
                    <w:sz w:val="16"/>
                    <w:szCs w:val="16"/>
                    <w:lang w:val="en-GB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3F9F" w14:textId="4CE7123C" w:rsidR="001B58BD" w:rsidRDefault="008A44F7">
    <w:pPr>
      <w:pStyle w:val="Header"/>
    </w:pPr>
    <w:r>
      <w:rPr>
        <w:noProof/>
      </w:rPr>
      <w:pict w14:anchorId="5AD828A7">
        <v:shapetype id="_x0000_t202" coordsize="21600,21600" o:spt="202" path="m,l,21600r21600,l21600,xe">
          <v:stroke joinstyle="miter"/>
          <v:path gradientshapeok="t" o:connecttype="rect"/>
        </v:shapetype>
        <v:shape id="WordArt 92" o:spid="_x0000_s2050" type="#_x0000_t202" style="position:absolute;margin-left:0;margin-top:0;width:490.8pt;height:196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" o:allowincell="f" filled="f" stroked="f">
          <o:lock v:ext="edit" aspectratio="t" verticies="t" shapetype="t"/>
          <v:textbox>
            <w:txbxContent>
              <w:p w14:paraId="1FDE3075" w14:textId="77777777" w:rsidR="001B58BD" w:rsidRDefault="000F4939" w:rsidP="001B58BD">
                <w:pPr>
                  <w:jc w:val="center"/>
                </w:pPr>
                <w:r>
                  <w:rPr>
                    <w:rFonts w:cs="Arial"/>
                    <w:color w:val="C0C0C0"/>
                    <w:sz w:val="16"/>
                    <w:szCs w:val="16"/>
                    <w:lang w:val="en-GB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C633" w14:textId="34E46D15" w:rsidR="001B58BD" w:rsidRDefault="008A44F7">
    <w:pPr>
      <w:pStyle w:val="Header"/>
    </w:pPr>
    <w:r>
      <w:rPr>
        <w:noProof/>
      </w:rPr>
      <w:pict w14:anchorId="1CE11530">
        <v:shapetype id="_x0000_t202" coordsize="21600,21600" o:spt="202" path="m,l,21600r21600,l21600,xe">
          <v:stroke joinstyle="miter"/>
          <v:path gradientshapeok="t" o:connecttype="rect"/>
        </v:shapetype>
        <v:shape id="WordArt 91" o:spid="_x0000_s2049" type="#_x0000_t202" style="position:absolute;margin-left:0;margin-top:0;width:490.8pt;height:196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" o:allowincell="f" filled="f" stroked="f">
          <o:lock v:ext="edit" aspectratio="t" verticies="t" shapetype="t"/>
          <v:textbox>
            <w:txbxContent>
              <w:p w14:paraId="5409A8DE" w14:textId="77777777" w:rsidR="001B58BD" w:rsidRDefault="000F4939" w:rsidP="001B58BD">
                <w:pPr>
                  <w:jc w:val="center"/>
                </w:pPr>
                <w:r>
                  <w:rPr>
                    <w:rFonts w:cs="Arial"/>
                    <w:color w:val="C0C0C0"/>
                    <w:sz w:val="16"/>
                    <w:szCs w:val="16"/>
                    <w:lang w:val="en-GB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11.5pt" o:bullet="t">
        <v:imagedata r:id="rId1" o:title="arrow"/>
      </v:shape>
    </w:pict>
  </w:numPicBullet>
  <w:abstractNum w:abstractNumId="0" w15:restartNumberingAfterBreak="0">
    <w:nsid w:val="0EC72DFA"/>
    <w:multiLevelType w:val="hybridMultilevel"/>
    <w:tmpl w:val="18F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E04"/>
    <w:multiLevelType w:val="hybridMultilevel"/>
    <w:tmpl w:val="766EC6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D478D"/>
    <w:multiLevelType w:val="hybridMultilevel"/>
    <w:tmpl w:val="C6C86234"/>
    <w:lvl w:ilvl="0" w:tplc="D212AF68">
      <w:start w:val="1"/>
      <w:numFmt w:val="bullet"/>
      <w:pStyle w:val="List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68E9"/>
    <w:multiLevelType w:val="hybridMultilevel"/>
    <w:tmpl w:val="2BB8B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E2D"/>
    <w:multiLevelType w:val="hybridMultilevel"/>
    <w:tmpl w:val="A0487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C21BC"/>
    <w:multiLevelType w:val="hybridMultilevel"/>
    <w:tmpl w:val="B5868CE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52D5E"/>
    <w:multiLevelType w:val="multilevel"/>
    <w:tmpl w:val="58E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25A44528"/>
    <w:multiLevelType w:val="hybridMultilevel"/>
    <w:tmpl w:val="956E2BAE"/>
    <w:lvl w:ilvl="0" w:tplc="FFFFFFF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0287846"/>
    <w:multiLevelType w:val="hybridMultilevel"/>
    <w:tmpl w:val="E360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FC2"/>
    <w:multiLevelType w:val="hybridMultilevel"/>
    <w:tmpl w:val="A2005EC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FE4DC4"/>
    <w:multiLevelType w:val="hybridMultilevel"/>
    <w:tmpl w:val="79E6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7595"/>
    <w:multiLevelType w:val="multilevel"/>
    <w:tmpl w:val="5D70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D59A3"/>
    <w:multiLevelType w:val="hybridMultilevel"/>
    <w:tmpl w:val="83B8C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219AB"/>
    <w:multiLevelType w:val="multilevel"/>
    <w:tmpl w:val="EBD8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34965"/>
    <w:multiLevelType w:val="hybridMultilevel"/>
    <w:tmpl w:val="095C8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23426"/>
    <w:multiLevelType w:val="hybridMultilevel"/>
    <w:tmpl w:val="0ABC3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MLI0tDQwtzAwMDVT0lEKTi0uzszPAykwqQUA53QNqiwAAAA="/>
  </w:docVars>
  <w:rsids>
    <w:rsidRoot w:val="006372F3"/>
    <w:rsid w:val="00006EE9"/>
    <w:rsid w:val="0001631F"/>
    <w:rsid w:val="00024E0F"/>
    <w:rsid w:val="00027470"/>
    <w:rsid w:val="00037547"/>
    <w:rsid w:val="00037867"/>
    <w:rsid w:val="0004610B"/>
    <w:rsid w:val="000548BC"/>
    <w:rsid w:val="0006628A"/>
    <w:rsid w:val="00067376"/>
    <w:rsid w:val="000749B9"/>
    <w:rsid w:val="00084A25"/>
    <w:rsid w:val="000B42F1"/>
    <w:rsid w:val="000B5CA9"/>
    <w:rsid w:val="000B7C4E"/>
    <w:rsid w:val="000C6A57"/>
    <w:rsid w:val="000E01A4"/>
    <w:rsid w:val="000E5368"/>
    <w:rsid w:val="000E6259"/>
    <w:rsid w:val="000F4939"/>
    <w:rsid w:val="000F539B"/>
    <w:rsid w:val="000F5AFD"/>
    <w:rsid w:val="00116A6C"/>
    <w:rsid w:val="00122EFB"/>
    <w:rsid w:val="001242DB"/>
    <w:rsid w:val="00131436"/>
    <w:rsid w:val="00131F8A"/>
    <w:rsid w:val="00146292"/>
    <w:rsid w:val="001752B0"/>
    <w:rsid w:val="00175EF7"/>
    <w:rsid w:val="00184F0C"/>
    <w:rsid w:val="001A6A80"/>
    <w:rsid w:val="001B215C"/>
    <w:rsid w:val="001B2E64"/>
    <w:rsid w:val="001B3AF5"/>
    <w:rsid w:val="001C2E43"/>
    <w:rsid w:val="001C660E"/>
    <w:rsid w:val="001E071F"/>
    <w:rsid w:val="001E1CE4"/>
    <w:rsid w:val="001E5078"/>
    <w:rsid w:val="001F58AC"/>
    <w:rsid w:val="00200190"/>
    <w:rsid w:val="0020092F"/>
    <w:rsid w:val="00201CDA"/>
    <w:rsid w:val="00202060"/>
    <w:rsid w:val="00206DBC"/>
    <w:rsid w:val="00212317"/>
    <w:rsid w:val="002150A6"/>
    <w:rsid w:val="00246DB7"/>
    <w:rsid w:val="00253006"/>
    <w:rsid w:val="00255BB0"/>
    <w:rsid w:val="00255DED"/>
    <w:rsid w:val="00260A96"/>
    <w:rsid w:val="0026137B"/>
    <w:rsid w:val="00261FE7"/>
    <w:rsid w:val="00271A56"/>
    <w:rsid w:val="00271CBD"/>
    <w:rsid w:val="00276A52"/>
    <w:rsid w:val="002971D8"/>
    <w:rsid w:val="002A7382"/>
    <w:rsid w:val="002B27E7"/>
    <w:rsid w:val="002B28A7"/>
    <w:rsid w:val="002B3C0B"/>
    <w:rsid w:val="002B53C7"/>
    <w:rsid w:val="002B6796"/>
    <w:rsid w:val="002D02CF"/>
    <w:rsid w:val="002D0E22"/>
    <w:rsid w:val="002E7BA7"/>
    <w:rsid w:val="003037DB"/>
    <w:rsid w:val="00305EEA"/>
    <w:rsid w:val="00314224"/>
    <w:rsid w:val="00317F59"/>
    <w:rsid w:val="00320A68"/>
    <w:rsid w:val="00320D19"/>
    <w:rsid w:val="00321D50"/>
    <w:rsid w:val="00321D70"/>
    <w:rsid w:val="0032687C"/>
    <w:rsid w:val="003310B8"/>
    <w:rsid w:val="00342333"/>
    <w:rsid w:val="00345862"/>
    <w:rsid w:val="00356CD1"/>
    <w:rsid w:val="00360B92"/>
    <w:rsid w:val="003A5B82"/>
    <w:rsid w:val="003A7069"/>
    <w:rsid w:val="003B3B41"/>
    <w:rsid w:val="003C1AE7"/>
    <w:rsid w:val="003D1836"/>
    <w:rsid w:val="003D357F"/>
    <w:rsid w:val="003E3F54"/>
    <w:rsid w:val="00402A26"/>
    <w:rsid w:val="00407666"/>
    <w:rsid w:val="00422C2F"/>
    <w:rsid w:val="004255E1"/>
    <w:rsid w:val="00430B52"/>
    <w:rsid w:val="00450344"/>
    <w:rsid w:val="00450705"/>
    <w:rsid w:val="00453148"/>
    <w:rsid w:val="00485C83"/>
    <w:rsid w:val="004A1438"/>
    <w:rsid w:val="004A346D"/>
    <w:rsid w:val="004B6114"/>
    <w:rsid w:val="004D1714"/>
    <w:rsid w:val="004D3B26"/>
    <w:rsid w:val="004D6BB0"/>
    <w:rsid w:val="004D75CB"/>
    <w:rsid w:val="004E3471"/>
    <w:rsid w:val="004E3AA6"/>
    <w:rsid w:val="004F2951"/>
    <w:rsid w:val="005104F4"/>
    <w:rsid w:val="0051084A"/>
    <w:rsid w:val="00523C49"/>
    <w:rsid w:val="00537A47"/>
    <w:rsid w:val="0054498E"/>
    <w:rsid w:val="00545305"/>
    <w:rsid w:val="0055515A"/>
    <w:rsid w:val="00557271"/>
    <w:rsid w:val="00563B7C"/>
    <w:rsid w:val="00567DBA"/>
    <w:rsid w:val="00571A37"/>
    <w:rsid w:val="00573148"/>
    <w:rsid w:val="00574EED"/>
    <w:rsid w:val="00576CA8"/>
    <w:rsid w:val="00576FAE"/>
    <w:rsid w:val="00582968"/>
    <w:rsid w:val="00586E17"/>
    <w:rsid w:val="00595418"/>
    <w:rsid w:val="005A1DAF"/>
    <w:rsid w:val="005A2B8D"/>
    <w:rsid w:val="005B2D58"/>
    <w:rsid w:val="005B2DB7"/>
    <w:rsid w:val="005B757C"/>
    <w:rsid w:val="005C0A85"/>
    <w:rsid w:val="005D2E92"/>
    <w:rsid w:val="005D6D22"/>
    <w:rsid w:val="005E13AB"/>
    <w:rsid w:val="005E1FD4"/>
    <w:rsid w:val="005E3FC0"/>
    <w:rsid w:val="005E4B84"/>
    <w:rsid w:val="005E6D5F"/>
    <w:rsid w:val="005E7143"/>
    <w:rsid w:val="005F280E"/>
    <w:rsid w:val="006000B4"/>
    <w:rsid w:val="006037ED"/>
    <w:rsid w:val="00611955"/>
    <w:rsid w:val="00622FE4"/>
    <w:rsid w:val="00624D7D"/>
    <w:rsid w:val="006270F2"/>
    <w:rsid w:val="006372F3"/>
    <w:rsid w:val="00637CA3"/>
    <w:rsid w:val="0064046F"/>
    <w:rsid w:val="0065178E"/>
    <w:rsid w:val="00652B38"/>
    <w:rsid w:val="006538AD"/>
    <w:rsid w:val="00655347"/>
    <w:rsid w:val="006571F0"/>
    <w:rsid w:val="00661780"/>
    <w:rsid w:val="006624ED"/>
    <w:rsid w:val="00664043"/>
    <w:rsid w:val="00666099"/>
    <w:rsid w:val="00672B40"/>
    <w:rsid w:val="00674969"/>
    <w:rsid w:val="006823A6"/>
    <w:rsid w:val="00686525"/>
    <w:rsid w:val="00691566"/>
    <w:rsid w:val="006A472E"/>
    <w:rsid w:val="006C18DF"/>
    <w:rsid w:val="006C4ED0"/>
    <w:rsid w:val="006C7BC9"/>
    <w:rsid w:val="006D326F"/>
    <w:rsid w:val="006D6CBA"/>
    <w:rsid w:val="006E471B"/>
    <w:rsid w:val="006F22FA"/>
    <w:rsid w:val="006F2380"/>
    <w:rsid w:val="007039D4"/>
    <w:rsid w:val="0071084E"/>
    <w:rsid w:val="00711510"/>
    <w:rsid w:val="007151AA"/>
    <w:rsid w:val="00723112"/>
    <w:rsid w:val="00723308"/>
    <w:rsid w:val="00733AF7"/>
    <w:rsid w:val="0073445C"/>
    <w:rsid w:val="0075237E"/>
    <w:rsid w:val="00752716"/>
    <w:rsid w:val="0075733E"/>
    <w:rsid w:val="00764E5B"/>
    <w:rsid w:val="00766678"/>
    <w:rsid w:val="007713D4"/>
    <w:rsid w:val="00777226"/>
    <w:rsid w:val="00781544"/>
    <w:rsid w:val="0078778F"/>
    <w:rsid w:val="00795554"/>
    <w:rsid w:val="007A1FC2"/>
    <w:rsid w:val="007B43F5"/>
    <w:rsid w:val="007B592B"/>
    <w:rsid w:val="007E2D5E"/>
    <w:rsid w:val="007F0975"/>
    <w:rsid w:val="007F3B15"/>
    <w:rsid w:val="00850CF4"/>
    <w:rsid w:val="00851A3D"/>
    <w:rsid w:val="00853600"/>
    <w:rsid w:val="00861128"/>
    <w:rsid w:val="0086491F"/>
    <w:rsid w:val="00864D92"/>
    <w:rsid w:val="008657FE"/>
    <w:rsid w:val="00875146"/>
    <w:rsid w:val="00880FB8"/>
    <w:rsid w:val="0088131F"/>
    <w:rsid w:val="00885CC7"/>
    <w:rsid w:val="00887D49"/>
    <w:rsid w:val="0089534D"/>
    <w:rsid w:val="008A309C"/>
    <w:rsid w:val="008A44F7"/>
    <w:rsid w:val="008B08B8"/>
    <w:rsid w:val="008B0E39"/>
    <w:rsid w:val="008D0FD7"/>
    <w:rsid w:val="008F572D"/>
    <w:rsid w:val="009003DB"/>
    <w:rsid w:val="00907CE7"/>
    <w:rsid w:val="00907DE9"/>
    <w:rsid w:val="009127F2"/>
    <w:rsid w:val="00913953"/>
    <w:rsid w:val="00916214"/>
    <w:rsid w:val="00916ECB"/>
    <w:rsid w:val="00930FC1"/>
    <w:rsid w:val="00933439"/>
    <w:rsid w:val="00936ED8"/>
    <w:rsid w:val="00940B85"/>
    <w:rsid w:val="00942874"/>
    <w:rsid w:val="0095185D"/>
    <w:rsid w:val="00965CB9"/>
    <w:rsid w:val="00966B2D"/>
    <w:rsid w:val="0097725D"/>
    <w:rsid w:val="0098563A"/>
    <w:rsid w:val="009856F3"/>
    <w:rsid w:val="00990374"/>
    <w:rsid w:val="00993D7B"/>
    <w:rsid w:val="009A2325"/>
    <w:rsid w:val="009A2755"/>
    <w:rsid w:val="009B5545"/>
    <w:rsid w:val="009B6B91"/>
    <w:rsid w:val="009B78DA"/>
    <w:rsid w:val="009C60F4"/>
    <w:rsid w:val="009D1BBD"/>
    <w:rsid w:val="009E0DB4"/>
    <w:rsid w:val="009F3FF7"/>
    <w:rsid w:val="00A031E3"/>
    <w:rsid w:val="00A12549"/>
    <w:rsid w:val="00A17686"/>
    <w:rsid w:val="00A20127"/>
    <w:rsid w:val="00A2191A"/>
    <w:rsid w:val="00A407B5"/>
    <w:rsid w:val="00A42890"/>
    <w:rsid w:val="00A4292F"/>
    <w:rsid w:val="00A42AE9"/>
    <w:rsid w:val="00A44FA6"/>
    <w:rsid w:val="00A47428"/>
    <w:rsid w:val="00A53EB5"/>
    <w:rsid w:val="00A6056E"/>
    <w:rsid w:val="00A60C15"/>
    <w:rsid w:val="00A611FE"/>
    <w:rsid w:val="00A648BA"/>
    <w:rsid w:val="00A7390A"/>
    <w:rsid w:val="00A73EA9"/>
    <w:rsid w:val="00A823FF"/>
    <w:rsid w:val="00A8303D"/>
    <w:rsid w:val="00A90462"/>
    <w:rsid w:val="00A904F9"/>
    <w:rsid w:val="00AA0BE8"/>
    <w:rsid w:val="00AB1E23"/>
    <w:rsid w:val="00AB29A2"/>
    <w:rsid w:val="00AB2D85"/>
    <w:rsid w:val="00AC4CE8"/>
    <w:rsid w:val="00AD1880"/>
    <w:rsid w:val="00AD4540"/>
    <w:rsid w:val="00AF2B39"/>
    <w:rsid w:val="00AF4AE7"/>
    <w:rsid w:val="00AF536D"/>
    <w:rsid w:val="00B11CEF"/>
    <w:rsid w:val="00B2198F"/>
    <w:rsid w:val="00B21FF4"/>
    <w:rsid w:val="00B2238D"/>
    <w:rsid w:val="00B30372"/>
    <w:rsid w:val="00B33257"/>
    <w:rsid w:val="00B34A37"/>
    <w:rsid w:val="00B37B7E"/>
    <w:rsid w:val="00B41B3D"/>
    <w:rsid w:val="00B467EF"/>
    <w:rsid w:val="00B540AB"/>
    <w:rsid w:val="00B579C6"/>
    <w:rsid w:val="00B60223"/>
    <w:rsid w:val="00B60504"/>
    <w:rsid w:val="00B62C8D"/>
    <w:rsid w:val="00B7526A"/>
    <w:rsid w:val="00B80E59"/>
    <w:rsid w:val="00B81C54"/>
    <w:rsid w:val="00B84506"/>
    <w:rsid w:val="00BA2504"/>
    <w:rsid w:val="00BB094E"/>
    <w:rsid w:val="00BB4040"/>
    <w:rsid w:val="00BD173E"/>
    <w:rsid w:val="00BD5CD2"/>
    <w:rsid w:val="00BE323F"/>
    <w:rsid w:val="00C01ADB"/>
    <w:rsid w:val="00C02F41"/>
    <w:rsid w:val="00C15B04"/>
    <w:rsid w:val="00C22D8F"/>
    <w:rsid w:val="00C23075"/>
    <w:rsid w:val="00C23468"/>
    <w:rsid w:val="00C25EBA"/>
    <w:rsid w:val="00C470C3"/>
    <w:rsid w:val="00C5766C"/>
    <w:rsid w:val="00C6331B"/>
    <w:rsid w:val="00C642CE"/>
    <w:rsid w:val="00C915B9"/>
    <w:rsid w:val="00CA2FA7"/>
    <w:rsid w:val="00CB038E"/>
    <w:rsid w:val="00CC0B06"/>
    <w:rsid w:val="00CC1054"/>
    <w:rsid w:val="00CC3D60"/>
    <w:rsid w:val="00CD3A2F"/>
    <w:rsid w:val="00CE3E57"/>
    <w:rsid w:val="00CE4CDD"/>
    <w:rsid w:val="00CE7A25"/>
    <w:rsid w:val="00CF7FD1"/>
    <w:rsid w:val="00D06BE5"/>
    <w:rsid w:val="00D1119F"/>
    <w:rsid w:val="00D134FC"/>
    <w:rsid w:val="00D339D4"/>
    <w:rsid w:val="00D42B6C"/>
    <w:rsid w:val="00D51F08"/>
    <w:rsid w:val="00D56F69"/>
    <w:rsid w:val="00D640BC"/>
    <w:rsid w:val="00D71D08"/>
    <w:rsid w:val="00D81572"/>
    <w:rsid w:val="00D81FAB"/>
    <w:rsid w:val="00D83774"/>
    <w:rsid w:val="00DA50E8"/>
    <w:rsid w:val="00DC26D8"/>
    <w:rsid w:val="00DC3EBD"/>
    <w:rsid w:val="00DC4FEF"/>
    <w:rsid w:val="00DE188C"/>
    <w:rsid w:val="00DE2495"/>
    <w:rsid w:val="00DE5C13"/>
    <w:rsid w:val="00DF54C5"/>
    <w:rsid w:val="00E00F73"/>
    <w:rsid w:val="00E06987"/>
    <w:rsid w:val="00E17F3F"/>
    <w:rsid w:val="00E209A5"/>
    <w:rsid w:val="00E2279A"/>
    <w:rsid w:val="00E26ED7"/>
    <w:rsid w:val="00E3011A"/>
    <w:rsid w:val="00E304F1"/>
    <w:rsid w:val="00E33435"/>
    <w:rsid w:val="00E410C5"/>
    <w:rsid w:val="00E47285"/>
    <w:rsid w:val="00E52138"/>
    <w:rsid w:val="00E55032"/>
    <w:rsid w:val="00E57889"/>
    <w:rsid w:val="00E62F96"/>
    <w:rsid w:val="00E74A7C"/>
    <w:rsid w:val="00E74EAE"/>
    <w:rsid w:val="00E829C8"/>
    <w:rsid w:val="00E93101"/>
    <w:rsid w:val="00EA136D"/>
    <w:rsid w:val="00EA4BEB"/>
    <w:rsid w:val="00EB1D20"/>
    <w:rsid w:val="00EB4FAC"/>
    <w:rsid w:val="00EF10A9"/>
    <w:rsid w:val="00EF6593"/>
    <w:rsid w:val="00EF7539"/>
    <w:rsid w:val="00EF7EDB"/>
    <w:rsid w:val="00F25204"/>
    <w:rsid w:val="00F2723E"/>
    <w:rsid w:val="00F315E0"/>
    <w:rsid w:val="00F4198B"/>
    <w:rsid w:val="00F54A12"/>
    <w:rsid w:val="00F56860"/>
    <w:rsid w:val="00F66363"/>
    <w:rsid w:val="00F72498"/>
    <w:rsid w:val="00F74AD0"/>
    <w:rsid w:val="00F9408B"/>
    <w:rsid w:val="00F96CE4"/>
    <w:rsid w:val="00FA4DEE"/>
    <w:rsid w:val="00FA564D"/>
    <w:rsid w:val="00FC48E5"/>
    <w:rsid w:val="00FC772A"/>
    <w:rsid w:val="00FE31A9"/>
    <w:rsid w:val="00FE32BB"/>
    <w:rsid w:val="00FE35B4"/>
    <w:rsid w:val="00FF09B2"/>
    <w:rsid w:val="00FF3338"/>
    <w:rsid w:val="00FF4F67"/>
    <w:rsid w:val="00FF5A6F"/>
    <w:rsid w:val="28E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CC30800"/>
  <w14:defaultImageDpi w14:val="32767"/>
  <w15:chartTrackingRefBased/>
  <w15:docId w15:val="{0BFA44E0-D925-1C43-9BF3-B1C0FDAA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rsid w:val="006372F3"/>
    <w:pPr>
      <w:spacing w:after="200"/>
    </w:pPr>
    <w:rPr>
      <w:rFonts w:ascii="Arial" w:eastAsia="Cambria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body">
    <w:name w:val="AHPRA body"/>
    <w:basedOn w:val="Normal"/>
    <w:link w:val="AHPRAbodyChar"/>
    <w:qFormat/>
    <w:rsid w:val="006372F3"/>
    <w:rPr>
      <w:rFonts w:cs="Arial"/>
      <w:sz w:val="20"/>
    </w:rPr>
  </w:style>
  <w:style w:type="paragraph" w:customStyle="1" w:styleId="AHPRADocumentsubheading">
    <w:name w:val="AHPRA Document subheading"/>
    <w:basedOn w:val="Normal"/>
    <w:next w:val="Normal"/>
    <w:qFormat/>
    <w:rsid w:val="006372F3"/>
    <w:pPr>
      <w:outlineLvl w:val="0"/>
    </w:pPr>
    <w:rPr>
      <w:rFonts w:cs="Arial"/>
      <w:color w:val="5F6062"/>
      <w:sz w:val="28"/>
      <w:szCs w:val="52"/>
    </w:rPr>
  </w:style>
  <w:style w:type="table" w:styleId="TableGrid">
    <w:name w:val="Table Grid"/>
    <w:basedOn w:val="TableNormal"/>
    <w:uiPriority w:val="59"/>
    <w:rsid w:val="006372F3"/>
    <w:rPr>
      <w:rFonts w:ascii="Arial" w:eastAsia="Cambria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F3"/>
    <w:rPr>
      <w:rFonts w:ascii="Arial" w:eastAsia="Cambria" w:hAnsi="Arial" w:cs="Times New Roman"/>
      <w:lang w:val="en-AU"/>
    </w:rPr>
  </w:style>
  <w:style w:type="paragraph" w:customStyle="1" w:styleId="AHPRAfooter">
    <w:name w:val="AHPRA footer"/>
    <w:basedOn w:val="FootnoteText"/>
    <w:rsid w:val="006372F3"/>
    <w:rPr>
      <w:rFonts w:cs="Arial"/>
      <w:color w:val="5F6062"/>
      <w:sz w:val="18"/>
    </w:rPr>
  </w:style>
  <w:style w:type="character" w:styleId="Hyperlink">
    <w:name w:val="Hyperlink"/>
    <w:uiPriority w:val="99"/>
    <w:unhideWhenUsed/>
    <w:rsid w:val="006372F3"/>
    <w:rPr>
      <w:color w:val="0000FF"/>
      <w:u w:val="single"/>
    </w:rPr>
  </w:style>
  <w:style w:type="character" w:customStyle="1" w:styleId="AHPRAbodyChar">
    <w:name w:val="AHPRA body Char"/>
    <w:basedOn w:val="DefaultParagraphFont"/>
    <w:link w:val="AHPRAbody"/>
    <w:rsid w:val="006372F3"/>
    <w:rPr>
      <w:rFonts w:ascii="Arial" w:eastAsia="Cambria" w:hAnsi="Arial" w:cs="Arial"/>
      <w:sz w:val="20"/>
      <w:lang w:val="en-AU"/>
    </w:rPr>
  </w:style>
  <w:style w:type="paragraph" w:styleId="ListParagraph">
    <w:name w:val="List Paragraph"/>
    <w:basedOn w:val="Normal"/>
    <w:link w:val="ListParagraphChar"/>
    <w:uiPriority w:val="72"/>
    <w:qFormat/>
    <w:rsid w:val="006372F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1"/>
    <w:rsid w:val="006372F3"/>
    <w:pPr>
      <w:spacing w:after="120" w:line="300" w:lineRule="atLeast"/>
    </w:pPr>
    <w:rPr>
      <w:rFonts w:ascii="Times New Roman" w:eastAsia="Times New Roman" w:hAnsi="Times New Roman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uiPriority w:val="99"/>
    <w:semiHidden/>
    <w:rsid w:val="006372F3"/>
    <w:rPr>
      <w:rFonts w:ascii="Arial" w:eastAsia="Cambria" w:hAnsi="Arial" w:cs="Times New Roman"/>
      <w:lang w:val="en-AU"/>
    </w:rPr>
  </w:style>
  <w:style w:type="character" w:customStyle="1" w:styleId="BodyTextChar1">
    <w:name w:val="Body Text Char1"/>
    <w:basedOn w:val="DefaultParagraphFont"/>
    <w:link w:val="BodyText"/>
    <w:rsid w:val="006372F3"/>
    <w:rPr>
      <w:rFonts w:ascii="Times New Roman" w:eastAsia="Times New Roman" w:hAnsi="Times New Roman" w:cs="Times New Roman"/>
      <w:sz w:val="22"/>
      <w:szCs w:val="22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72F3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Default">
    <w:name w:val="Default"/>
    <w:rsid w:val="006372F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customStyle="1" w:styleId="RN">
    <w:name w:val="RN"/>
    <w:basedOn w:val="Header"/>
    <w:uiPriority w:val="1"/>
    <w:rsid w:val="006372F3"/>
    <w:rPr>
      <w:rFonts w:cs="Arial"/>
      <w:b/>
      <w:bCs/>
      <w:color w:val="365F91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2F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2F3"/>
    <w:rPr>
      <w:rFonts w:ascii="Arial" w:eastAsia="Cambria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75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75CB"/>
    <w:rPr>
      <w:rFonts w:ascii="Arial" w:eastAsia="Cambria" w:hAnsi="Arial" w:cs="Times New Roman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303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38"/>
    <w:rPr>
      <w:rFonts w:ascii="Segoe UI" w:eastAsia="Cambria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0749B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7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F3F"/>
    <w:rPr>
      <w:rFonts w:ascii="Arial" w:eastAsia="Cambria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F3F"/>
    <w:rPr>
      <w:rFonts w:ascii="Arial" w:eastAsia="Cambria" w:hAnsi="Arial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E17F3F"/>
    <w:rPr>
      <w:rFonts w:ascii="Arial" w:eastAsia="Cambria" w:hAnsi="Arial" w:cs="Times New Roman"/>
      <w:lang w:val="en-AU"/>
    </w:rPr>
  </w:style>
  <w:style w:type="character" w:styleId="UnresolvedMention">
    <w:name w:val="Unresolved Mention"/>
    <w:basedOn w:val="DefaultParagraphFont"/>
    <w:uiPriority w:val="99"/>
    <w:rsid w:val="00122EFB"/>
    <w:rPr>
      <w:color w:val="605E5C"/>
      <w:shd w:val="clear" w:color="auto" w:fill="E1DFDD"/>
    </w:rPr>
  </w:style>
  <w:style w:type="paragraph" w:styleId="ListBullet">
    <w:name w:val="List Bullet"/>
    <w:basedOn w:val="Normal"/>
    <w:link w:val="ListBulletChar"/>
    <w:rsid w:val="00271CBD"/>
    <w:pPr>
      <w:numPr>
        <w:numId w:val="16"/>
      </w:numPr>
      <w:spacing w:before="120" w:after="60" w:line="260" w:lineRule="exact"/>
    </w:pPr>
    <w:rPr>
      <w:rFonts w:eastAsia="Times New Roman"/>
      <w:sz w:val="20"/>
      <w:lang w:eastAsia="en-AU"/>
    </w:rPr>
  </w:style>
  <w:style w:type="character" w:customStyle="1" w:styleId="ListBulletChar">
    <w:name w:val="List Bullet Char"/>
    <w:link w:val="ListBullet"/>
    <w:rsid w:val="00271CBD"/>
    <w:rPr>
      <w:rFonts w:ascii="Arial" w:eastAsia="Times New Roman" w:hAnsi="Arial" w:cs="Times New Roman"/>
      <w:sz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hpragovau.sharepoint.com/sites/intranet/SitePages/Capability-framework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pr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852FEB6C2C342BF4A7F90E960DD6E" ma:contentTypeVersion="13" ma:contentTypeDescription="Create a new document." ma:contentTypeScope="" ma:versionID="128af965f957fa3faf2e45536cfa4788">
  <xsd:schema xmlns:xsd="http://www.w3.org/2001/XMLSchema" xmlns:xs="http://www.w3.org/2001/XMLSchema" xmlns:p="http://schemas.microsoft.com/office/2006/metadata/properties" xmlns:ns3="7e721e0d-e3db-44e9-80c2-555394a0ab3e" xmlns:ns4="1bba4561-c003-4a2d-9c0d-45156d4db82d" targetNamespace="http://schemas.microsoft.com/office/2006/metadata/properties" ma:root="true" ma:fieldsID="2152617d2de9924d32fa69db832afc5c" ns3:_="" ns4:_="">
    <xsd:import namespace="7e721e0d-e3db-44e9-80c2-555394a0ab3e"/>
    <xsd:import namespace="1bba4561-c003-4a2d-9c0d-45156d4d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1e0d-e3db-44e9-80c2-555394a0a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4561-c003-4a2d-9c0d-45156d4d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89044-31FC-46A2-9CE3-F52BF89F1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669F1-4995-43D4-A1BB-255C327BB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E6840-51F5-4E52-819A-8C86AFCF0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21e0d-e3db-44e9-80c2-555394a0ab3e"/>
    <ds:schemaRef ds:uri="1bba4561-c003-4a2d-9c0d-45156d4d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553A3-D8F6-4A1D-B4C3-15EF64C123B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e721e0d-e3db-44e9-80c2-555394a0ab3e"/>
    <ds:schemaRef ds:uri="1bba4561-c003-4a2d-9c0d-45156d4db8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Barker</dc:creator>
  <cp:keywords/>
  <dc:description/>
  <cp:lastModifiedBy>Stacey Higgs</cp:lastModifiedBy>
  <cp:revision>2</cp:revision>
  <cp:lastPrinted>2020-06-26T04:13:00Z</cp:lastPrinted>
  <dcterms:created xsi:type="dcterms:W3CDTF">2021-11-10T22:42:00Z</dcterms:created>
  <dcterms:modified xsi:type="dcterms:W3CDTF">2021-11-10T22:42:00Z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0x0101008AD852FEB6C2C342BF4A7F90E960DD6E</vt:lpwstr>
  </property>
  <property fmtid="{D5CDD505-2E9C-101B-9397-08002B2CF9AE}" pid="3" name="Order">
    <vt:r8>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