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1C33E6F1" w14:textId="77777777" w:rsidTr="00852BF6">
        <w:trPr>
          <w:trHeight w:val="275"/>
        </w:trPr>
        <w:tc>
          <w:tcPr>
            <w:tcW w:w="10457" w:type="dxa"/>
            <w:shd w:val="clear" w:color="auto" w:fill="F04E58"/>
          </w:tcPr>
          <w:p w14:paraId="7DED85D3"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0E2F65A0"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3176578F" wp14:editId="2409D275">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4B5A55D5"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7E6BCE3" w14:textId="77777777" w:rsidTr="00EE04F0">
        <w:trPr>
          <w:trHeight w:val="425"/>
        </w:trPr>
        <w:tc>
          <w:tcPr>
            <w:tcW w:w="2544" w:type="dxa"/>
            <w:vAlign w:val="center"/>
          </w:tcPr>
          <w:p w14:paraId="639BBABF"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68582094" w14:textId="07CCB3C2" w:rsidR="003606E4" w:rsidRPr="00473D6E" w:rsidRDefault="00E759EC" w:rsidP="003606E4">
            <w:pPr>
              <w:rPr>
                <w:rFonts w:ascii="Arial" w:hAnsi="Arial" w:cs="Arial"/>
                <w:b/>
                <w:bCs/>
              </w:rPr>
            </w:pPr>
            <w:r w:rsidRPr="00473D6E">
              <w:rPr>
                <w:rFonts w:ascii="Arial" w:hAnsi="Arial" w:cs="Arial"/>
                <w:b/>
                <w:bCs/>
              </w:rPr>
              <w:t>Internal Auditor</w:t>
            </w:r>
          </w:p>
        </w:tc>
      </w:tr>
      <w:tr w:rsidR="003606E4" w:rsidRPr="00734230" w14:paraId="12099337" w14:textId="77777777" w:rsidTr="00EE04F0">
        <w:trPr>
          <w:trHeight w:val="425"/>
        </w:trPr>
        <w:tc>
          <w:tcPr>
            <w:tcW w:w="2544" w:type="dxa"/>
            <w:vAlign w:val="center"/>
          </w:tcPr>
          <w:p w14:paraId="09E91241"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4D6E0D85" w14:textId="379FD0AF" w:rsidR="003606E4" w:rsidRPr="00734230" w:rsidRDefault="00E759EC" w:rsidP="003606E4">
            <w:pPr>
              <w:rPr>
                <w:rFonts w:ascii="Arial" w:hAnsi="Arial" w:cs="Arial"/>
              </w:rPr>
            </w:pPr>
            <w:r>
              <w:rPr>
                <w:rFonts w:ascii="Arial" w:hAnsi="Arial" w:cs="Arial"/>
              </w:rPr>
              <w:t xml:space="preserve">Group </w:t>
            </w:r>
            <w:r w:rsidR="002927DC">
              <w:rPr>
                <w:rFonts w:ascii="Arial" w:hAnsi="Arial" w:cs="Arial"/>
              </w:rPr>
              <w:t>Internal Audit</w:t>
            </w:r>
          </w:p>
        </w:tc>
      </w:tr>
      <w:tr w:rsidR="003606E4" w:rsidRPr="00734230" w14:paraId="0C138240" w14:textId="77777777" w:rsidTr="00EE04F0">
        <w:trPr>
          <w:trHeight w:val="425"/>
        </w:trPr>
        <w:tc>
          <w:tcPr>
            <w:tcW w:w="2544" w:type="dxa"/>
            <w:vAlign w:val="center"/>
          </w:tcPr>
          <w:p w14:paraId="14616E0A"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78C72CED" w14:textId="22FFFBC5" w:rsidR="003606E4" w:rsidRPr="00734230" w:rsidRDefault="00E759EC" w:rsidP="003606E4">
            <w:pPr>
              <w:rPr>
                <w:rFonts w:ascii="Arial" w:hAnsi="Arial" w:cs="Arial"/>
              </w:rPr>
            </w:pPr>
            <w:r>
              <w:rPr>
                <w:rFonts w:ascii="Arial" w:hAnsi="Arial" w:cs="Arial"/>
              </w:rPr>
              <w:t xml:space="preserve">Group </w:t>
            </w:r>
            <w:r w:rsidRPr="00E759EC">
              <w:rPr>
                <w:rFonts w:ascii="Arial" w:hAnsi="Arial" w:cs="Arial"/>
              </w:rPr>
              <w:t>Internal Audit</w:t>
            </w:r>
          </w:p>
        </w:tc>
      </w:tr>
      <w:tr w:rsidR="003606E4" w:rsidRPr="00734230" w14:paraId="6E487444" w14:textId="77777777" w:rsidTr="00EE04F0">
        <w:trPr>
          <w:trHeight w:val="425"/>
        </w:trPr>
        <w:tc>
          <w:tcPr>
            <w:tcW w:w="2544" w:type="dxa"/>
            <w:vAlign w:val="center"/>
          </w:tcPr>
          <w:p w14:paraId="6378985B"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2479C35C" w14:textId="10854FC0" w:rsidR="003606E4" w:rsidRPr="00734230" w:rsidRDefault="003606E4" w:rsidP="003606E4">
            <w:pPr>
              <w:rPr>
                <w:rFonts w:ascii="Arial" w:hAnsi="Arial" w:cs="Arial"/>
              </w:rPr>
            </w:pPr>
            <w:r w:rsidRPr="00734230">
              <w:rPr>
                <w:rFonts w:ascii="Arial" w:hAnsi="Arial" w:cs="Arial"/>
              </w:rPr>
              <w:t>No</w:t>
            </w:r>
          </w:p>
        </w:tc>
      </w:tr>
    </w:tbl>
    <w:p w14:paraId="6CA1385B" w14:textId="77777777" w:rsidR="003606E4" w:rsidRPr="00734230" w:rsidRDefault="003606E4" w:rsidP="00E5307F">
      <w:pPr>
        <w:spacing w:after="0"/>
        <w:rPr>
          <w:rFonts w:ascii="Arial" w:hAnsi="Arial" w:cs="Arial"/>
          <w:sz w:val="10"/>
          <w:szCs w:val="10"/>
        </w:rPr>
      </w:pPr>
    </w:p>
    <w:p w14:paraId="7FFBEB5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4EDD7A9B" w14:textId="77777777" w:rsidTr="00734230">
        <w:trPr>
          <w:trHeight w:val="272"/>
        </w:trPr>
        <w:tc>
          <w:tcPr>
            <w:tcW w:w="10456" w:type="dxa"/>
            <w:shd w:val="clear" w:color="auto" w:fill="50003A"/>
          </w:tcPr>
          <w:p w14:paraId="7E81A680"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30089C36" w14:textId="77777777" w:rsidTr="00F728B1">
        <w:trPr>
          <w:trHeight w:val="905"/>
        </w:trPr>
        <w:tc>
          <w:tcPr>
            <w:tcW w:w="10456" w:type="dxa"/>
          </w:tcPr>
          <w:p w14:paraId="21B55AC3"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4567A522" w14:textId="77777777" w:rsidR="00992E1C" w:rsidRPr="00734230" w:rsidRDefault="00992E1C" w:rsidP="00F728B1">
            <w:pPr>
              <w:spacing w:line="259" w:lineRule="auto"/>
              <w:jc w:val="both"/>
              <w:rPr>
                <w:rFonts w:ascii="Arial" w:hAnsi="Arial" w:cs="Arial"/>
                <w:sz w:val="10"/>
                <w:szCs w:val="10"/>
              </w:rPr>
            </w:pPr>
          </w:p>
          <w:p w14:paraId="3436EF54"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3A884B86" w14:textId="77777777" w:rsidR="00992E1C" w:rsidRPr="00734230" w:rsidRDefault="00992E1C" w:rsidP="00F728B1">
            <w:pPr>
              <w:jc w:val="both"/>
              <w:rPr>
                <w:rFonts w:ascii="Arial" w:hAnsi="Arial" w:cs="Arial"/>
                <w:sz w:val="10"/>
                <w:szCs w:val="10"/>
              </w:rPr>
            </w:pPr>
          </w:p>
          <w:p w14:paraId="19C61DA3"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606BB467" w14:textId="77777777" w:rsidR="00992E1C" w:rsidRPr="00734230" w:rsidRDefault="00992E1C" w:rsidP="00F728B1">
            <w:pPr>
              <w:jc w:val="both"/>
              <w:rPr>
                <w:rFonts w:ascii="Arial" w:hAnsi="Arial" w:cs="Arial"/>
                <w:sz w:val="10"/>
                <w:szCs w:val="10"/>
              </w:rPr>
            </w:pPr>
          </w:p>
          <w:p w14:paraId="1EF4CA7B"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555DA10D" w14:textId="77777777" w:rsidR="00992E1C" w:rsidRPr="00734230" w:rsidRDefault="00992E1C" w:rsidP="00E5307F">
      <w:pPr>
        <w:spacing w:after="0"/>
        <w:rPr>
          <w:rFonts w:ascii="Arial" w:hAnsi="Arial" w:cs="Arial"/>
          <w:sz w:val="10"/>
          <w:szCs w:val="10"/>
        </w:rPr>
      </w:pPr>
    </w:p>
    <w:p w14:paraId="03F85CF9"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05C2C09F" w14:textId="77777777" w:rsidTr="00852BF6">
        <w:trPr>
          <w:trHeight w:val="275"/>
        </w:trPr>
        <w:tc>
          <w:tcPr>
            <w:tcW w:w="10457" w:type="dxa"/>
            <w:shd w:val="clear" w:color="auto" w:fill="F04E58"/>
          </w:tcPr>
          <w:p w14:paraId="6A13697D"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1B644FEF" w14:textId="77777777" w:rsidR="003606E4" w:rsidRPr="00734230" w:rsidRDefault="003606E4" w:rsidP="00E5307F">
      <w:pPr>
        <w:spacing w:after="0"/>
        <w:rPr>
          <w:rFonts w:ascii="Arial" w:hAnsi="Arial" w:cs="Arial"/>
          <w:sz w:val="10"/>
          <w:szCs w:val="10"/>
        </w:rPr>
      </w:pPr>
    </w:p>
    <w:p w14:paraId="725B31D4"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48A59F63" w14:textId="77777777" w:rsidTr="00734230">
        <w:trPr>
          <w:trHeight w:val="237"/>
        </w:trPr>
        <w:tc>
          <w:tcPr>
            <w:tcW w:w="10456" w:type="dxa"/>
            <w:shd w:val="clear" w:color="auto" w:fill="50003A"/>
          </w:tcPr>
          <w:p w14:paraId="2F938016"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02956F85" w14:textId="77777777" w:rsidTr="005B7196">
        <w:trPr>
          <w:trHeight w:val="1066"/>
        </w:trPr>
        <w:tc>
          <w:tcPr>
            <w:tcW w:w="10456" w:type="dxa"/>
          </w:tcPr>
          <w:p w14:paraId="44A80A05" w14:textId="77777777" w:rsidR="008740CB" w:rsidRPr="008740CB" w:rsidRDefault="008740CB" w:rsidP="008740CB">
            <w:pPr>
              <w:rPr>
                <w:rFonts w:ascii="Arial" w:hAnsi="Arial" w:cs="Arial"/>
              </w:rPr>
            </w:pPr>
          </w:p>
          <w:p w14:paraId="2ACE1FA4" w14:textId="52EC686E" w:rsidR="008740CB" w:rsidRPr="006A33DF" w:rsidRDefault="008740CB" w:rsidP="006A33DF">
            <w:pPr>
              <w:pStyle w:val="BodyText"/>
              <w:tabs>
                <w:tab w:val="left" w:pos="-567"/>
              </w:tabs>
              <w:spacing w:after="200"/>
              <w:ind w:right="227"/>
              <w:jc w:val="left"/>
              <w:rPr>
                <w:rFonts w:cs="Arial"/>
                <w:iCs/>
                <w:sz w:val="22"/>
                <w:szCs w:val="22"/>
              </w:rPr>
            </w:pPr>
            <w:r w:rsidRPr="006A33DF">
              <w:rPr>
                <w:rFonts w:cs="Arial"/>
                <w:iCs/>
                <w:sz w:val="22"/>
                <w:szCs w:val="22"/>
              </w:rPr>
              <w:t xml:space="preserve">Group </w:t>
            </w:r>
            <w:r w:rsidR="005B7196" w:rsidRPr="006A33DF">
              <w:rPr>
                <w:rFonts w:cs="Arial"/>
                <w:iCs/>
                <w:sz w:val="22"/>
                <w:szCs w:val="22"/>
              </w:rPr>
              <w:t xml:space="preserve">Internal Audit </w:t>
            </w:r>
            <w:r w:rsidRPr="006A33DF">
              <w:rPr>
                <w:rFonts w:cs="Arial"/>
                <w:iCs/>
                <w:sz w:val="22"/>
                <w:szCs w:val="22"/>
              </w:rPr>
              <w:t xml:space="preserve">is the independent internal audit function of the Bank. Group Internal Audit plays an important role in Bendigo and Adelaide Bank’s vision to be Australia’s leading customer connected banking group. Group Internal Audit acts as the third line of defence within Bendigo and Adelaide Bank.  </w:t>
            </w:r>
          </w:p>
          <w:p w14:paraId="40A09FEF" w14:textId="526F29CA" w:rsidR="008740CB" w:rsidRPr="006A33DF" w:rsidRDefault="008740CB" w:rsidP="006A33DF">
            <w:pPr>
              <w:pStyle w:val="BodyText"/>
              <w:tabs>
                <w:tab w:val="left" w:pos="-567"/>
              </w:tabs>
              <w:spacing w:after="200"/>
              <w:ind w:right="227"/>
              <w:jc w:val="left"/>
              <w:rPr>
                <w:rFonts w:cs="Arial"/>
                <w:iCs/>
                <w:sz w:val="22"/>
                <w:szCs w:val="22"/>
              </w:rPr>
            </w:pPr>
            <w:r w:rsidRPr="006A33DF">
              <w:rPr>
                <w:rFonts w:cs="Arial"/>
                <w:iCs/>
                <w:sz w:val="22"/>
                <w:szCs w:val="22"/>
              </w:rPr>
              <w:t>The first line of defence is each and every business area. Each business has its own controls in place and ways to ensure that it complies with policies and procedures.</w:t>
            </w:r>
          </w:p>
          <w:p w14:paraId="6D2466FE" w14:textId="0DA2FE75" w:rsidR="008740CB" w:rsidRPr="006A33DF" w:rsidRDefault="008740CB" w:rsidP="006A33DF">
            <w:pPr>
              <w:pStyle w:val="BodyText"/>
              <w:tabs>
                <w:tab w:val="left" w:pos="-567"/>
              </w:tabs>
              <w:spacing w:after="200"/>
              <w:ind w:right="227"/>
              <w:jc w:val="left"/>
              <w:rPr>
                <w:rFonts w:cs="Arial"/>
                <w:iCs/>
                <w:sz w:val="22"/>
                <w:szCs w:val="22"/>
              </w:rPr>
            </w:pPr>
            <w:r w:rsidRPr="006A33DF">
              <w:rPr>
                <w:rFonts w:cs="Arial"/>
                <w:iCs/>
                <w:sz w:val="22"/>
                <w:szCs w:val="22"/>
              </w:rPr>
              <w:t>The second line of defence is principally represented by Group Risk. Separate from the business line they provide specific risk expertise to the business and report on risk from a holistic perspective to the Board through a number of committees.</w:t>
            </w:r>
          </w:p>
          <w:p w14:paraId="28900FF1" w14:textId="41087A56" w:rsidR="008740CB" w:rsidRPr="006A33DF" w:rsidRDefault="008740CB" w:rsidP="006A33DF">
            <w:pPr>
              <w:pStyle w:val="BodyText"/>
              <w:tabs>
                <w:tab w:val="left" w:pos="-567"/>
              </w:tabs>
              <w:spacing w:after="200"/>
              <w:ind w:right="227"/>
              <w:jc w:val="left"/>
              <w:rPr>
                <w:rFonts w:cs="Arial"/>
                <w:iCs/>
                <w:sz w:val="22"/>
                <w:szCs w:val="22"/>
              </w:rPr>
            </w:pPr>
            <w:r w:rsidRPr="006A33DF">
              <w:rPr>
                <w:rFonts w:cs="Arial"/>
                <w:iCs/>
                <w:sz w:val="22"/>
                <w:szCs w:val="22"/>
              </w:rPr>
              <w:t>As the third line of defence Group Internal Audit is required to provide effective assurance to the Board Audit Committee, the Bank’s business units, senior leaders, and our subsidiaries through assurance activities adds value to the business. The activities of Group Internal Audit are set out in a Strategic Internal Audit Plan approved by the Board Audit Committee.</w:t>
            </w:r>
          </w:p>
          <w:p w14:paraId="10BBED7E" w14:textId="7D4A190B" w:rsidR="00E759EC" w:rsidRPr="00E759EC" w:rsidRDefault="00E759EC" w:rsidP="00E759EC">
            <w:pPr>
              <w:rPr>
                <w:rFonts w:ascii="Arial" w:hAnsi="Arial" w:cs="Arial"/>
              </w:rPr>
            </w:pPr>
            <w:r w:rsidRPr="00E759EC">
              <w:rPr>
                <w:rFonts w:ascii="Arial" w:hAnsi="Arial" w:cs="Arial"/>
              </w:rPr>
              <w:t xml:space="preserve">Group </w:t>
            </w:r>
            <w:r w:rsidR="008740CB">
              <w:rPr>
                <w:rFonts w:ascii="Arial" w:hAnsi="Arial" w:cs="Arial"/>
              </w:rPr>
              <w:t>Internal Audit</w:t>
            </w:r>
            <w:r w:rsidR="008740CB" w:rsidRPr="00E759EC">
              <w:rPr>
                <w:rFonts w:ascii="Arial" w:hAnsi="Arial" w:cs="Arial"/>
              </w:rPr>
              <w:t xml:space="preserve"> </w:t>
            </w:r>
            <w:r w:rsidRPr="00E759EC">
              <w:rPr>
                <w:rFonts w:ascii="Arial" w:hAnsi="Arial" w:cs="Arial"/>
              </w:rPr>
              <w:t xml:space="preserve">is responsible and accountable for performing independent assurance activities across the Group that assess whether: </w:t>
            </w:r>
          </w:p>
          <w:p w14:paraId="1492C136" w14:textId="2C5C82B0" w:rsidR="00E759EC" w:rsidRPr="00E759EC" w:rsidRDefault="00E759EC" w:rsidP="00E759EC">
            <w:pPr>
              <w:pStyle w:val="ListParagraph"/>
              <w:numPr>
                <w:ilvl w:val="0"/>
                <w:numId w:val="8"/>
              </w:numPr>
              <w:tabs>
                <w:tab w:val="left" w:pos="742"/>
              </w:tabs>
              <w:ind w:left="742" w:hanging="437"/>
              <w:rPr>
                <w:rFonts w:ascii="Arial" w:hAnsi="Arial" w:cs="Arial"/>
              </w:rPr>
            </w:pPr>
            <w:r w:rsidRPr="00E759EC">
              <w:rPr>
                <w:rFonts w:ascii="Arial" w:hAnsi="Arial" w:cs="Arial"/>
              </w:rPr>
              <w:t>The effectiveness of the controls in place across the Group.</w:t>
            </w:r>
          </w:p>
          <w:p w14:paraId="5D0ADE33" w14:textId="1ECD6EC4" w:rsidR="00E759EC" w:rsidRPr="00E759EC" w:rsidRDefault="00E759EC" w:rsidP="00E759EC">
            <w:pPr>
              <w:pStyle w:val="ListParagraph"/>
              <w:numPr>
                <w:ilvl w:val="0"/>
                <w:numId w:val="8"/>
              </w:numPr>
              <w:tabs>
                <w:tab w:val="left" w:pos="742"/>
              </w:tabs>
              <w:ind w:left="742" w:hanging="437"/>
              <w:rPr>
                <w:rFonts w:ascii="Arial" w:hAnsi="Arial" w:cs="Arial"/>
              </w:rPr>
            </w:pPr>
            <w:r w:rsidRPr="00E759EC">
              <w:rPr>
                <w:rFonts w:ascii="Arial" w:hAnsi="Arial" w:cs="Arial"/>
              </w:rPr>
              <w:t>Controls are adequately managed and monitored by the first and second lines of defence.</w:t>
            </w:r>
          </w:p>
          <w:p w14:paraId="04FB4377" w14:textId="0E9833B5" w:rsidR="00E759EC" w:rsidRPr="00E759EC" w:rsidRDefault="00E759EC" w:rsidP="00E759EC">
            <w:pPr>
              <w:pStyle w:val="ListParagraph"/>
              <w:numPr>
                <w:ilvl w:val="0"/>
                <w:numId w:val="8"/>
              </w:numPr>
              <w:tabs>
                <w:tab w:val="left" w:pos="742"/>
              </w:tabs>
              <w:ind w:left="742" w:hanging="437"/>
              <w:rPr>
                <w:rFonts w:ascii="Arial" w:hAnsi="Arial" w:cs="Arial"/>
              </w:rPr>
            </w:pPr>
            <w:r w:rsidRPr="00E759EC">
              <w:rPr>
                <w:rFonts w:ascii="Arial" w:hAnsi="Arial" w:cs="Arial"/>
              </w:rPr>
              <w:t>Operations are managed within Bendigo and Adelaide Bank’s ‘risk appetite’.</w:t>
            </w:r>
          </w:p>
          <w:p w14:paraId="14E0792D" w14:textId="1EAFB91A" w:rsidR="00E759EC" w:rsidRPr="006A33DF" w:rsidRDefault="00E759EC" w:rsidP="006A33DF">
            <w:pPr>
              <w:tabs>
                <w:tab w:val="left" w:pos="742"/>
              </w:tabs>
              <w:ind w:left="305"/>
              <w:rPr>
                <w:rFonts w:ascii="Arial" w:hAnsi="Arial" w:cs="Arial"/>
              </w:rPr>
            </w:pPr>
            <w:r w:rsidRPr="00E759EC">
              <w:rPr>
                <w:rFonts w:ascii="Arial" w:hAnsi="Arial" w:cs="Arial"/>
              </w:rPr>
              <w:t>The controls assist the group in meeting its vision of being Australia’s leading customer connected banking group and making it easier for customers to do business with us.</w:t>
            </w:r>
          </w:p>
        </w:tc>
      </w:tr>
    </w:tbl>
    <w:p w14:paraId="39E3EF53" w14:textId="77777777" w:rsidR="003606E4" w:rsidRPr="00734230" w:rsidRDefault="003606E4" w:rsidP="00E5307F">
      <w:pPr>
        <w:spacing w:after="0"/>
        <w:rPr>
          <w:rFonts w:ascii="Arial" w:hAnsi="Arial" w:cs="Arial"/>
          <w:sz w:val="10"/>
          <w:szCs w:val="10"/>
        </w:rPr>
      </w:pPr>
    </w:p>
    <w:p w14:paraId="78610ADC"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68E03522" w14:textId="77777777" w:rsidTr="00734230">
        <w:trPr>
          <w:trHeight w:val="272"/>
        </w:trPr>
        <w:tc>
          <w:tcPr>
            <w:tcW w:w="10456" w:type="dxa"/>
            <w:shd w:val="clear" w:color="auto" w:fill="50003A"/>
          </w:tcPr>
          <w:p w14:paraId="3DEA843F"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07C62CE9" w14:textId="77777777" w:rsidTr="00E759EC">
        <w:trPr>
          <w:trHeight w:val="624"/>
        </w:trPr>
        <w:tc>
          <w:tcPr>
            <w:tcW w:w="10456" w:type="dxa"/>
          </w:tcPr>
          <w:p w14:paraId="67B1DB49" w14:textId="77777777" w:rsidR="00E759EC" w:rsidRPr="00E759EC" w:rsidRDefault="00E759EC" w:rsidP="00E759EC">
            <w:pPr>
              <w:spacing w:before="120"/>
              <w:rPr>
                <w:rFonts w:ascii="Arial" w:hAnsi="Arial" w:cs="Arial"/>
              </w:rPr>
            </w:pPr>
            <w:r w:rsidRPr="00E759EC">
              <w:rPr>
                <w:rFonts w:ascii="Arial" w:hAnsi="Arial" w:cs="Arial"/>
              </w:rPr>
              <w:t>The key objectives for the Internal Auditor are:</w:t>
            </w:r>
          </w:p>
          <w:p w14:paraId="2D365EE8" w14:textId="6B4EF311" w:rsidR="00E759EC" w:rsidRPr="00E759EC" w:rsidRDefault="00E759EC" w:rsidP="00E759EC">
            <w:pPr>
              <w:pStyle w:val="ListParagraph"/>
              <w:numPr>
                <w:ilvl w:val="0"/>
                <w:numId w:val="8"/>
              </w:numPr>
              <w:tabs>
                <w:tab w:val="left" w:pos="742"/>
              </w:tabs>
              <w:ind w:left="742" w:hanging="437"/>
              <w:rPr>
                <w:rFonts w:ascii="Arial" w:hAnsi="Arial" w:cs="Arial"/>
              </w:rPr>
            </w:pPr>
            <w:r w:rsidRPr="00E759EC">
              <w:rPr>
                <w:rFonts w:ascii="Arial" w:hAnsi="Arial" w:cs="Arial"/>
              </w:rPr>
              <w:t>Provide effective assurance reporting and completion of reviews within required timeframes.</w:t>
            </w:r>
          </w:p>
          <w:p w14:paraId="45447C81" w14:textId="77777777" w:rsidR="00FC1548" w:rsidRDefault="00E759EC" w:rsidP="00E759EC">
            <w:pPr>
              <w:pStyle w:val="ListParagraph"/>
              <w:numPr>
                <w:ilvl w:val="0"/>
                <w:numId w:val="8"/>
              </w:numPr>
              <w:tabs>
                <w:tab w:val="left" w:pos="742"/>
              </w:tabs>
              <w:ind w:left="742" w:hanging="437"/>
              <w:rPr>
                <w:rFonts w:ascii="Arial" w:hAnsi="Arial" w:cs="Arial"/>
              </w:rPr>
            </w:pPr>
            <w:r w:rsidRPr="00E759EC">
              <w:rPr>
                <w:rFonts w:ascii="Arial" w:hAnsi="Arial" w:cs="Arial"/>
              </w:rPr>
              <w:t>Facilitate the timely update to open audit items and provide oversight to business responses.</w:t>
            </w:r>
          </w:p>
          <w:p w14:paraId="7C6347CB" w14:textId="48C83FCD" w:rsidR="00E759EC" w:rsidRPr="00E759EC" w:rsidRDefault="00E759EC" w:rsidP="00E759EC">
            <w:pPr>
              <w:tabs>
                <w:tab w:val="left" w:pos="742"/>
              </w:tabs>
              <w:ind w:left="305"/>
              <w:rPr>
                <w:rFonts w:ascii="Arial" w:hAnsi="Arial" w:cs="Arial"/>
              </w:rPr>
            </w:pPr>
          </w:p>
        </w:tc>
      </w:tr>
    </w:tbl>
    <w:p w14:paraId="58B5AB5A" w14:textId="77777777" w:rsidR="00BA33DC" w:rsidRPr="00734230" w:rsidRDefault="00BA33DC" w:rsidP="00E5307F">
      <w:pPr>
        <w:spacing w:after="0"/>
        <w:rPr>
          <w:rFonts w:ascii="Arial" w:hAnsi="Arial" w:cs="Arial"/>
          <w:sz w:val="10"/>
          <w:szCs w:val="10"/>
        </w:rPr>
      </w:pPr>
    </w:p>
    <w:p w14:paraId="4C7B8B30"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643E84D7" w14:textId="77777777" w:rsidTr="00734230">
        <w:trPr>
          <w:trHeight w:val="272"/>
        </w:trPr>
        <w:tc>
          <w:tcPr>
            <w:tcW w:w="10456" w:type="dxa"/>
            <w:shd w:val="clear" w:color="auto" w:fill="50003A"/>
          </w:tcPr>
          <w:p w14:paraId="3A979511"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069C8430" w14:textId="77777777" w:rsidTr="00E759EC">
        <w:trPr>
          <w:trHeight w:val="737"/>
        </w:trPr>
        <w:tc>
          <w:tcPr>
            <w:tcW w:w="10456" w:type="dxa"/>
          </w:tcPr>
          <w:p w14:paraId="4D7B19E0" w14:textId="1536B390" w:rsidR="00DE5C28" w:rsidRPr="00734230" w:rsidRDefault="00E759EC" w:rsidP="00E759EC">
            <w:pPr>
              <w:spacing w:before="120"/>
              <w:rPr>
                <w:rFonts w:ascii="Arial" w:hAnsi="Arial" w:cs="Arial"/>
              </w:rPr>
            </w:pPr>
            <w:r>
              <w:rPr>
                <w:rFonts w:ascii="Arial" w:hAnsi="Arial" w:cs="Arial"/>
              </w:rPr>
              <w:t>Group Risk, Business Banking, Regulatory Bodies, broader Audit team, Consumer and Business Banking Risk.</w:t>
            </w:r>
          </w:p>
        </w:tc>
      </w:tr>
    </w:tbl>
    <w:p w14:paraId="3D87E8CC" w14:textId="77777777" w:rsidR="00A32B31" w:rsidRPr="00734230" w:rsidRDefault="00A32B31" w:rsidP="00E5307F">
      <w:pPr>
        <w:spacing w:after="0"/>
        <w:rPr>
          <w:rFonts w:ascii="Arial" w:hAnsi="Arial" w:cs="Arial"/>
          <w:sz w:val="10"/>
          <w:szCs w:val="10"/>
        </w:rPr>
      </w:pPr>
    </w:p>
    <w:p w14:paraId="21FABF44"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2B884F6C"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03F4E5F8" w14:textId="77777777" w:rsidTr="00852BF6">
        <w:trPr>
          <w:trHeight w:val="275"/>
        </w:trPr>
        <w:tc>
          <w:tcPr>
            <w:tcW w:w="10457" w:type="dxa"/>
            <w:shd w:val="clear" w:color="auto" w:fill="F04E58"/>
          </w:tcPr>
          <w:p w14:paraId="275BB329" w14:textId="77777777" w:rsidR="00A32B31" w:rsidRPr="00734230" w:rsidRDefault="00A32B31" w:rsidP="00F728B1">
            <w:pPr>
              <w:rPr>
                <w:rFonts w:ascii="Arial" w:hAnsi="Arial" w:cs="Arial"/>
                <w:b/>
                <w:bCs/>
              </w:rPr>
            </w:pPr>
          </w:p>
        </w:tc>
      </w:tr>
    </w:tbl>
    <w:p w14:paraId="652705CD"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27DB8D40" wp14:editId="6501448F">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251677D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696"/>
        <w:gridCol w:w="8789"/>
      </w:tblGrid>
      <w:tr w:rsidR="00992E1C" w:rsidRPr="00734230" w14:paraId="2BC7ECBB" w14:textId="77777777" w:rsidTr="00734230">
        <w:tc>
          <w:tcPr>
            <w:tcW w:w="10485" w:type="dxa"/>
            <w:gridSpan w:val="2"/>
            <w:shd w:val="clear" w:color="auto" w:fill="50003A"/>
          </w:tcPr>
          <w:p w14:paraId="6A00624C"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71D8426E" w14:textId="77777777" w:rsidTr="00E759EC">
        <w:trPr>
          <w:trHeight w:val="1531"/>
        </w:trPr>
        <w:tc>
          <w:tcPr>
            <w:tcW w:w="1696" w:type="dxa"/>
          </w:tcPr>
          <w:p w14:paraId="2FD183B9" w14:textId="1D6305F1" w:rsidR="00992E1C" w:rsidRPr="00734230" w:rsidRDefault="00E759EC" w:rsidP="00F728B1">
            <w:pPr>
              <w:rPr>
                <w:rFonts w:ascii="Arial" w:hAnsi="Arial" w:cs="Arial"/>
                <w:b/>
                <w:bCs/>
              </w:rPr>
            </w:pPr>
            <w:r w:rsidRPr="00E759EC">
              <w:rPr>
                <w:rFonts w:ascii="Arial" w:hAnsi="Arial" w:cs="Arial"/>
                <w:b/>
                <w:bCs/>
              </w:rPr>
              <w:t>Completion of Strategic Audit Plan</w:t>
            </w:r>
          </w:p>
        </w:tc>
        <w:tc>
          <w:tcPr>
            <w:tcW w:w="8789" w:type="dxa"/>
          </w:tcPr>
          <w:p w14:paraId="0F3BDBF7" w14:textId="77777777"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Be part of a team assigned to complete reviews included in the Strategic Audit Plan or requested by the Board Audit Committee.</w:t>
            </w:r>
          </w:p>
          <w:p w14:paraId="06724576" w14:textId="77777777"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Prepare reports to the business and relevant Executive(s).</w:t>
            </w:r>
          </w:p>
          <w:p w14:paraId="68DF7238" w14:textId="19BD4316"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 xml:space="preserve">Contribute to the completion of the regular reporting to relevant Board / Executive Committees. </w:t>
            </w:r>
          </w:p>
          <w:p w14:paraId="5F2DAA94" w14:textId="77777777"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Track completion of and appraise the adequacy of the action taken by management to address audit issues raised.</w:t>
            </w:r>
          </w:p>
          <w:p w14:paraId="13B7161E" w14:textId="5FE917AB"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Provide objective audit advice to the business.</w:t>
            </w:r>
          </w:p>
        </w:tc>
      </w:tr>
      <w:tr w:rsidR="00E759EC" w:rsidRPr="00734230" w14:paraId="6F2B8E36" w14:textId="77777777" w:rsidTr="00E759EC">
        <w:trPr>
          <w:trHeight w:val="1531"/>
        </w:trPr>
        <w:tc>
          <w:tcPr>
            <w:tcW w:w="1696" w:type="dxa"/>
          </w:tcPr>
          <w:p w14:paraId="10796562" w14:textId="13BC4183" w:rsidR="00E759EC" w:rsidRPr="00734230" w:rsidRDefault="00E759EC" w:rsidP="00E759EC">
            <w:pPr>
              <w:rPr>
                <w:rFonts w:ascii="Arial" w:hAnsi="Arial" w:cs="Arial"/>
                <w:b/>
                <w:bCs/>
              </w:rPr>
            </w:pPr>
            <w:r w:rsidRPr="00E759EC">
              <w:rPr>
                <w:rFonts w:ascii="Arial" w:hAnsi="Arial" w:cs="Arial"/>
                <w:b/>
                <w:bCs/>
              </w:rPr>
              <w:t>Relationships</w:t>
            </w:r>
          </w:p>
        </w:tc>
        <w:tc>
          <w:tcPr>
            <w:tcW w:w="8789" w:type="dxa"/>
          </w:tcPr>
          <w:p w14:paraId="4FB96D57" w14:textId="565CE8E5"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 xml:space="preserve">Build and maintain effective business function relationships that assist in the achievement of the Group’s and Group </w:t>
            </w:r>
            <w:r w:rsidR="004050A6">
              <w:rPr>
                <w:rFonts w:ascii="Arial" w:hAnsi="Arial" w:cs="Arial"/>
              </w:rPr>
              <w:t>Internal Audit’s</w:t>
            </w:r>
            <w:r w:rsidR="004050A6" w:rsidRPr="00E759EC">
              <w:rPr>
                <w:rFonts w:ascii="Arial" w:hAnsi="Arial" w:cs="Arial"/>
              </w:rPr>
              <w:t xml:space="preserve"> </w:t>
            </w:r>
            <w:r w:rsidRPr="00E759EC">
              <w:rPr>
                <w:rFonts w:ascii="Arial" w:hAnsi="Arial" w:cs="Arial"/>
              </w:rPr>
              <w:t>strategy.</w:t>
            </w:r>
          </w:p>
          <w:p w14:paraId="17A4710F" w14:textId="77777777"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Key relationships are required at many levels across the whole business e.g.:</w:t>
            </w:r>
          </w:p>
          <w:p w14:paraId="1A9206BF" w14:textId="455F79D9" w:rsidR="00E759EC" w:rsidRPr="00E759EC" w:rsidRDefault="000929B8" w:rsidP="00E759EC">
            <w:pPr>
              <w:pStyle w:val="ListParagraph"/>
              <w:numPr>
                <w:ilvl w:val="0"/>
                <w:numId w:val="10"/>
              </w:numPr>
              <w:rPr>
                <w:rFonts w:ascii="Arial" w:hAnsi="Arial" w:cs="Arial"/>
              </w:rPr>
            </w:pPr>
            <w:r>
              <w:rPr>
                <w:rFonts w:ascii="Arial" w:hAnsi="Arial" w:cs="Arial"/>
              </w:rPr>
              <w:t>Internal Audit</w:t>
            </w:r>
            <w:r w:rsidRPr="00E759EC">
              <w:rPr>
                <w:rFonts w:ascii="Arial" w:hAnsi="Arial" w:cs="Arial"/>
              </w:rPr>
              <w:t xml:space="preserve"> </w:t>
            </w:r>
            <w:r w:rsidR="00E759EC" w:rsidRPr="00E759EC">
              <w:rPr>
                <w:rFonts w:ascii="Arial" w:hAnsi="Arial" w:cs="Arial"/>
              </w:rPr>
              <w:t>team</w:t>
            </w:r>
          </w:p>
          <w:p w14:paraId="6F198D00" w14:textId="6FD3F661" w:rsidR="00E759EC" w:rsidRPr="00E759EC" w:rsidRDefault="00E759EC" w:rsidP="00E759EC">
            <w:pPr>
              <w:pStyle w:val="ListParagraph"/>
              <w:numPr>
                <w:ilvl w:val="0"/>
                <w:numId w:val="10"/>
              </w:numPr>
              <w:rPr>
                <w:rFonts w:ascii="Arial" w:hAnsi="Arial" w:cs="Arial"/>
              </w:rPr>
            </w:pPr>
            <w:r w:rsidRPr="00E759EC">
              <w:rPr>
                <w:rFonts w:ascii="Arial" w:hAnsi="Arial" w:cs="Arial"/>
              </w:rPr>
              <w:t>Co source providers</w:t>
            </w:r>
          </w:p>
          <w:p w14:paraId="42431B02" w14:textId="5A0C5F02" w:rsidR="00E759EC" w:rsidRPr="00E759EC" w:rsidRDefault="00E759EC" w:rsidP="00E759EC">
            <w:pPr>
              <w:pStyle w:val="ListParagraph"/>
              <w:numPr>
                <w:ilvl w:val="0"/>
                <w:numId w:val="10"/>
              </w:numPr>
              <w:rPr>
                <w:rFonts w:ascii="Arial" w:hAnsi="Arial" w:cs="Arial"/>
              </w:rPr>
            </w:pPr>
            <w:r w:rsidRPr="00E759EC">
              <w:rPr>
                <w:rFonts w:ascii="Arial" w:hAnsi="Arial" w:cs="Arial"/>
              </w:rPr>
              <w:t>Key business stakeholders</w:t>
            </w:r>
          </w:p>
          <w:p w14:paraId="1C3317FA" w14:textId="1D7A6268" w:rsidR="00E759EC" w:rsidRPr="00E759EC" w:rsidRDefault="00E759EC" w:rsidP="00E759EC">
            <w:pPr>
              <w:pStyle w:val="ListParagraph"/>
              <w:numPr>
                <w:ilvl w:val="0"/>
                <w:numId w:val="10"/>
              </w:numPr>
              <w:rPr>
                <w:rFonts w:ascii="Arial" w:hAnsi="Arial" w:cs="Arial"/>
              </w:rPr>
            </w:pPr>
            <w:r w:rsidRPr="00E759EC">
              <w:rPr>
                <w:rFonts w:ascii="Arial" w:hAnsi="Arial" w:cs="Arial"/>
              </w:rPr>
              <w:t>Group Risk</w:t>
            </w:r>
          </w:p>
        </w:tc>
      </w:tr>
      <w:tr w:rsidR="00E759EC" w:rsidRPr="00734230" w14:paraId="784A5E28" w14:textId="77777777" w:rsidTr="00E759EC">
        <w:trPr>
          <w:trHeight w:val="1304"/>
        </w:trPr>
        <w:tc>
          <w:tcPr>
            <w:tcW w:w="1696" w:type="dxa"/>
          </w:tcPr>
          <w:p w14:paraId="74FB96E3" w14:textId="3E0FB2A3" w:rsidR="00E759EC" w:rsidRPr="00734230" w:rsidRDefault="00E759EC" w:rsidP="00E759EC">
            <w:pPr>
              <w:rPr>
                <w:rFonts w:ascii="Arial" w:hAnsi="Arial" w:cs="Arial"/>
                <w:b/>
                <w:bCs/>
              </w:rPr>
            </w:pPr>
            <w:r w:rsidRPr="00E759EC">
              <w:rPr>
                <w:rFonts w:ascii="Arial" w:hAnsi="Arial" w:cs="Arial"/>
                <w:b/>
                <w:bCs/>
              </w:rPr>
              <w:t>Management and team</w:t>
            </w:r>
            <w:r w:rsidRPr="004B5D24">
              <w:rPr>
                <w:rFonts w:cs="Arial"/>
                <w:iCs/>
              </w:rPr>
              <w:t xml:space="preserve"> </w:t>
            </w:r>
          </w:p>
        </w:tc>
        <w:tc>
          <w:tcPr>
            <w:tcW w:w="8789" w:type="dxa"/>
          </w:tcPr>
          <w:p w14:paraId="33D7F4E1" w14:textId="7AD25FCE" w:rsidR="00E759EC" w:rsidRPr="00E759EC"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 xml:space="preserve">Manage self in accord with the Group </w:t>
            </w:r>
            <w:r w:rsidR="004E588F">
              <w:rPr>
                <w:rFonts w:ascii="Arial" w:hAnsi="Arial" w:cs="Arial"/>
              </w:rPr>
              <w:t>Internal Audit</w:t>
            </w:r>
            <w:r w:rsidR="004E588F" w:rsidRPr="00E759EC">
              <w:rPr>
                <w:rFonts w:ascii="Arial" w:hAnsi="Arial" w:cs="Arial"/>
              </w:rPr>
              <w:t xml:space="preserve"> </w:t>
            </w:r>
            <w:r w:rsidRPr="00E759EC">
              <w:rPr>
                <w:rFonts w:ascii="Arial" w:hAnsi="Arial" w:cs="Arial"/>
              </w:rPr>
              <w:t>team Vision and Values, and in alignment with the Mission and Charter.</w:t>
            </w:r>
          </w:p>
          <w:p w14:paraId="72D88A9B" w14:textId="73B26A34" w:rsidR="00E759EC" w:rsidRPr="00734230" w:rsidRDefault="00E759EC" w:rsidP="00E759EC">
            <w:pPr>
              <w:pStyle w:val="ListParagraph"/>
              <w:numPr>
                <w:ilvl w:val="0"/>
                <w:numId w:val="9"/>
              </w:numPr>
              <w:tabs>
                <w:tab w:val="left" w:pos="458"/>
              </w:tabs>
              <w:ind w:left="458" w:hanging="284"/>
              <w:rPr>
                <w:rFonts w:ascii="Arial" w:hAnsi="Arial" w:cs="Arial"/>
              </w:rPr>
            </w:pPr>
            <w:r w:rsidRPr="00E759EC">
              <w:rPr>
                <w:rFonts w:ascii="Arial" w:hAnsi="Arial" w:cs="Arial"/>
              </w:rPr>
              <w:t xml:space="preserve">Contribute to team development and achieve own professional development plans. Play a role in implementing the strategic direction of Group </w:t>
            </w:r>
            <w:r w:rsidR="004E588F">
              <w:rPr>
                <w:rFonts w:ascii="Arial" w:hAnsi="Arial" w:cs="Arial"/>
              </w:rPr>
              <w:t>Internal Audit</w:t>
            </w:r>
            <w:r w:rsidR="004E588F" w:rsidRPr="00E759EC">
              <w:rPr>
                <w:rFonts w:ascii="Arial" w:hAnsi="Arial" w:cs="Arial"/>
              </w:rPr>
              <w:t xml:space="preserve"> </w:t>
            </w:r>
            <w:r w:rsidRPr="00E759EC">
              <w:rPr>
                <w:rFonts w:ascii="Arial" w:hAnsi="Arial" w:cs="Arial"/>
              </w:rPr>
              <w:t>including enhancements to approach and methodology.</w:t>
            </w:r>
          </w:p>
        </w:tc>
      </w:tr>
    </w:tbl>
    <w:p w14:paraId="1DEA1086" w14:textId="77777777" w:rsidR="00992E1C" w:rsidRPr="00734230" w:rsidRDefault="00992E1C" w:rsidP="00E5307F">
      <w:pPr>
        <w:spacing w:after="0"/>
        <w:rPr>
          <w:rFonts w:ascii="Arial" w:hAnsi="Arial" w:cs="Arial"/>
          <w:sz w:val="10"/>
          <w:szCs w:val="10"/>
        </w:rPr>
      </w:pPr>
    </w:p>
    <w:p w14:paraId="3788A771"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696"/>
        <w:gridCol w:w="8789"/>
      </w:tblGrid>
      <w:tr w:rsidR="00FD2046" w:rsidRPr="00734230" w14:paraId="765DEDF9" w14:textId="77777777" w:rsidTr="00734230">
        <w:tc>
          <w:tcPr>
            <w:tcW w:w="10485" w:type="dxa"/>
            <w:gridSpan w:val="2"/>
            <w:shd w:val="clear" w:color="auto" w:fill="50003A"/>
          </w:tcPr>
          <w:p w14:paraId="108C6DD3"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B3B82F3" w14:textId="77777777" w:rsidTr="00473D6E">
        <w:trPr>
          <w:trHeight w:val="1531"/>
        </w:trPr>
        <w:tc>
          <w:tcPr>
            <w:tcW w:w="1696" w:type="dxa"/>
          </w:tcPr>
          <w:p w14:paraId="0C7F5DC0"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789" w:type="dxa"/>
          </w:tcPr>
          <w:p w14:paraId="64C00EF9" w14:textId="186F897B"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 xml:space="preserve">Ability to apply fundamental internal audit principles (e.g. audit planning, design effectiveness, and operational effectiveness assessment) to a variety of topics, utilising standard audit mechanisms such as risk and control matrices, process narratives, and process maps. </w:t>
            </w:r>
          </w:p>
          <w:p w14:paraId="370B4637" w14:textId="5CC0CC35"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Ability to work in a dynamic team environment, including with external vendors, across multiple reviews.</w:t>
            </w:r>
          </w:p>
          <w:p w14:paraId="46918B10" w14:textId="65CD949D"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Ability to think laterally and “outside the box”.</w:t>
            </w:r>
          </w:p>
          <w:p w14:paraId="5890D1E8" w14:textId="004C604A"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Ability to learn and assess new concepts quickly, including through sound research skills.</w:t>
            </w:r>
          </w:p>
          <w:p w14:paraId="6617259C" w14:textId="3A0B17AA" w:rsidR="00A32B31"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Ability to understand data structures and apply data analytic techniques within audits.</w:t>
            </w:r>
          </w:p>
          <w:p w14:paraId="4201C7F8" w14:textId="77777777" w:rsid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Demonstrated capacity to maintain confidentiality with ability to deal with sensitive information confidentially.</w:t>
            </w:r>
          </w:p>
          <w:p w14:paraId="4805E950" w14:textId="1EA13D36"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Knowledge of MS Excel or similar an advantage.</w:t>
            </w:r>
          </w:p>
          <w:p w14:paraId="25D4790E" w14:textId="273A6B72"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 good understanding of Group operations and risk management frameworks.</w:t>
            </w:r>
          </w:p>
          <w:p w14:paraId="0D3C3EA2" w14:textId="2719FEA3" w:rsidR="00473D6E" w:rsidRPr="00734230"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Knowledge of credit risk management practices.</w:t>
            </w:r>
          </w:p>
        </w:tc>
      </w:tr>
      <w:tr w:rsidR="00FD2046" w:rsidRPr="00734230" w14:paraId="43435456" w14:textId="77777777" w:rsidTr="00473D6E">
        <w:trPr>
          <w:trHeight w:val="1861"/>
        </w:trPr>
        <w:tc>
          <w:tcPr>
            <w:tcW w:w="1696" w:type="dxa"/>
          </w:tcPr>
          <w:p w14:paraId="151B83AA"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8789" w:type="dxa"/>
          </w:tcPr>
          <w:p w14:paraId="528D2483" w14:textId="6091A320" w:rsidR="00CC02CB"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Experience in evaluating operational, credit, data, technology, regulatory and/or financial risks and controls; and making value add recommendations to management.</w:t>
            </w:r>
          </w:p>
          <w:p w14:paraId="5B96CD00" w14:textId="074D6986" w:rsidR="00473D6E" w:rsidRPr="00734230"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Audit experience in the financial service industry and/or demonstrated experience/understanding in specific business areas e.g. operational, credit, data, technology, regulatory and/or financial risks and controls will be regarded highly, however is not essential.</w:t>
            </w:r>
          </w:p>
        </w:tc>
      </w:tr>
    </w:tbl>
    <w:p w14:paraId="09075132" w14:textId="77777777" w:rsidR="00BA33DC" w:rsidRPr="00734230" w:rsidRDefault="00BA33DC" w:rsidP="00E5307F">
      <w:pPr>
        <w:spacing w:after="0"/>
        <w:rPr>
          <w:rFonts w:ascii="Arial" w:hAnsi="Arial" w:cs="Arial"/>
          <w:sz w:val="10"/>
          <w:szCs w:val="10"/>
        </w:rPr>
      </w:pPr>
    </w:p>
    <w:p w14:paraId="78C2987E"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1390449C" w14:textId="77777777" w:rsidTr="00734230">
        <w:trPr>
          <w:trHeight w:val="272"/>
        </w:trPr>
        <w:tc>
          <w:tcPr>
            <w:tcW w:w="10456" w:type="dxa"/>
            <w:shd w:val="clear" w:color="auto" w:fill="50003A"/>
          </w:tcPr>
          <w:p w14:paraId="5C6115DA"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6C06D254" w14:textId="77777777" w:rsidTr="00FE326C">
        <w:trPr>
          <w:trHeight w:val="905"/>
        </w:trPr>
        <w:tc>
          <w:tcPr>
            <w:tcW w:w="10456" w:type="dxa"/>
          </w:tcPr>
          <w:p w14:paraId="1E72CD39" w14:textId="75B8B4D2" w:rsidR="00AD4836"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Relevant tertiary qualification in Business or Commerce.</w:t>
            </w:r>
          </w:p>
          <w:p w14:paraId="23A6F944" w14:textId="26FB8DD2" w:rsidR="00473D6E" w:rsidRPr="00473D6E"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 xml:space="preserve">Member or eligibility to be a member of the Institute of Internal Auditors or equivalent body desirable </w:t>
            </w:r>
          </w:p>
          <w:p w14:paraId="20A4C42E" w14:textId="11CD3B5D" w:rsidR="00473D6E" w:rsidRPr="00734230" w:rsidRDefault="00473D6E" w:rsidP="00473D6E">
            <w:pPr>
              <w:pStyle w:val="ListParagraph"/>
              <w:numPr>
                <w:ilvl w:val="0"/>
                <w:numId w:val="9"/>
              </w:numPr>
              <w:tabs>
                <w:tab w:val="left" w:pos="458"/>
              </w:tabs>
              <w:ind w:left="458" w:hanging="284"/>
              <w:rPr>
                <w:rFonts w:ascii="Arial" w:hAnsi="Arial" w:cs="Arial"/>
              </w:rPr>
            </w:pPr>
            <w:r w:rsidRPr="00473D6E">
              <w:rPr>
                <w:rFonts w:ascii="Arial" w:hAnsi="Arial" w:cs="Arial"/>
              </w:rPr>
              <w:t>Member of a professional risk management, IT, assurance or accounting body.</w:t>
            </w:r>
          </w:p>
        </w:tc>
      </w:tr>
    </w:tbl>
    <w:p w14:paraId="5CBFD481" w14:textId="77777777" w:rsidR="00E85291" w:rsidRPr="00734230" w:rsidRDefault="00E85291" w:rsidP="00FC1548">
      <w:pPr>
        <w:spacing w:after="0"/>
        <w:rPr>
          <w:rFonts w:ascii="Arial" w:hAnsi="Arial" w:cs="Arial"/>
          <w:sz w:val="10"/>
          <w:szCs w:val="10"/>
        </w:rPr>
      </w:pPr>
    </w:p>
    <w:p w14:paraId="6E90E484" w14:textId="77777777" w:rsidR="005C6160" w:rsidRDefault="005C6160" w:rsidP="00F728B1">
      <w:pPr>
        <w:rPr>
          <w:rFonts w:ascii="Arial" w:hAnsi="Arial" w:cs="Arial"/>
          <w:b/>
          <w:bCs/>
          <w:color w:val="FFFFFF" w:themeColor="background1"/>
        </w:rPr>
      </w:pPr>
    </w:p>
    <w:p w14:paraId="4BB110F7" w14:textId="77777777" w:rsidR="00473D6E" w:rsidRDefault="00473D6E" w:rsidP="00F728B1">
      <w:pPr>
        <w:rPr>
          <w:rFonts w:ascii="Arial" w:hAnsi="Arial" w:cs="Arial"/>
          <w:b/>
          <w:bCs/>
          <w:color w:val="FFFFFF" w:themeColor="background1"/>
        </w:rPr>
      </w:pPr>
    </w:p>
    <w:p w14:paraId="46483998" w14:textId="32F7136D" w:rsidR="00473D6E" w:rsidRDefault="00473D6E" w:rsidP="00F728B1">
      <w:pPr>
        <w:rPr>
          <w:rFonts w:ascii="Arial" w:hAnsi="Arial" w:cs="Arial"/>
          <w:b/>
          <w:bCs/>
          <w:color w:val="FFFFFF" w:themeColor="background1"/>
        </w:rPr>
        <w:sectPr w:rsidR="00473D6E"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4B8D4E25" w14:textId="77777777" w:rsidTr="00734230">
        <w:trPr>
          <w:trHeight w:val="272"/>
        </w:trPr>
        <w:tc>
          <w:tcPr>
            <w:tcW w:w="10456" w:type="dxa"/>
            <w:shd w:val="clear" w:color="auto" w:fill="50003A"/>
          </w:tcPr>
          <w:p w14:paraId="5BD6692A"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lastRenderedPageBreak/>
              <w:t>Risk responsibility</w:t>
            </w:r>
          </w:p>
        </w:tc>
      </w:tr>
      <w:tr w:rsidR="00992E1C" w:rsidRPr="00734230" w14:paraId="7FF98598" w14:textId="77777777" w:rsidTr="00F728B1">
        <w:trPr>
          <w:trHeight w:val="905"/>
        </w:trPr>
        <w:tc>
          <w:tcPr>
            <w:tcW w:w="10456" w:type="dxa"/>
          </w:tcPr>
          <w:p w14:paraId="06FBABC6"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2287210A" w14:textId="62E4C1CC" w:rsidR="00992E1C" w:rsidRPr="00734230" w:rsidRDefault="00992E1C">
      <w:pPr>
        <w:rPr>
          <w:rFonts w:ascii="Arial" w:hAnsi="Arial" w:cs="Arial"/>
          <w:sz w:val="10"/>
          <w:szCs w:val="10"/>
        </w:rPr>
      </w:pPr>
    </w:p>
    <w:p w14:paraId="350B4A2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16BDF0D0" w14:textId="77777777" w:rsidTr="00852BF6">
        <w:trPr>
          <w:trHeight w:val="275"/>
        </w:trPr>
        <w:tc>
          <w:tcPr>
            <w:tcW w:w="10457" w:type="dxa"/>
            <w:shd w:val="clear" w:color="auto" w:fill="F04E58"/>
          </w:tcPr>
          <w:p w14:paraId="0D29C6D7"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0FCC12B7"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590E2D57" wp14:editId="0FEE552D">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22F69DF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0FC2B0BC" w14:textId="77777777" w:rsidTr="00734230">
        <w:tc>
          <w:tcPr>
            <w:tcW w:w="10485" w:type="dxa"/>
            <w:gridSpan w:val="2"/>
            <w:shd w:val="clear" w:color="auto" w:fill="50003A"/>
          </w:tcPr>
          <w:p w14:paraId="6A17025E"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5A2367CA" w14:textId="77777777" w:rsidTr="00F728B1">
        <w:trPr>
          <w:trHeight w:val="425"/>
        </w:trPr>
        <w:tc>
          <w:tcPr>
            <w:tcW w:w="5242" w:type="dxa"/>
            <w:vAlign w:val="center"/>
          </w:tcPr>
          <w:p w14:paraId="3B02D4F1" w14:textId="20D10616" w:rsidR="00825E92" w:rsidRPr="00734230" w:rsidRDefault="000D1FC0" w:rsidP="00F728B1">
            <w:pPr>
              <w:jc w:val="center"/>
              <w:rPr>
                <w:rFonts w:ascii="Arial" w:hAnsi="Arial" w:cs="Arial"/>
                <w:b/>
                <w:bCs/>
              </w:rPr>
            </w:pPr>
            <w:r>
              <w:rPr>
                <w:rFonts w:ascii="Arial" w:hAnsi="Arial" w:cs="Arial"/>
                <w:b/>
                <w:bCs/>
              </w:rPr>
              <w:t>Role Expertise</w:t>
            </w:r>
          </w:p>
        </w:tc>
        <w:tc>
          <w:tcPr>
            <w:tcW w:w="5243" w:type="dxa"/>
            <w:vAlign w:val="center"/>
          </w:tcPr>
          <w:p w14:paraId="76B007AD" w14:textId="40FB0BB2" w:rsidR="00825E92" w:rsidRPr="00734230" w:rsidRDefault="000D1FC0" w:rsidP="00F728B1">
            <w:pPr>
              <w:jc w:val="center"/>
              <w:rPr>
                <w:rFonts w:ascii="Arial" w:hAnsi="Arial" w:cs="Arial"/>
                <w:b/>
                <w:bCs/>
              </w:rPr>
            </w:pPr>
            <w:r>
              <w:rPr>
                <w:rFonts w:ascii="Arial" w:hAnsi="Arial" w:cs="Arial"/>
                <w:b/>
                <w:bCs/>
              </w:rPr>
              <w:t>Execution</w:t>
            </w:r>
          </w:p>
        </w:tc>
      </w:tr>
      <w:tr w:rsidR="00825E92" w:rsidRPr="00734230" w14:paraId="6E3C93A2" w14:textId="77777777" w:rsidTr="00F728B1">
        <w:trPr>
          <w:trHeight w:val="425"/>
        </w:trPr>
        <w:tc>
          <w:tcPr>
            <w:tcW w:w="5242" w:type="dxa"/>
            <w:vAlign w:val="center"/>
          </w:tcPr>
          <w:p w14:paraId="1B51989C" w14:textId="0577ABEC" w:rsidR="00825E92" w:rsidRPr="00734230" w:rsidRDefault="000D1FC0" w:rsidP="00F728B1">
            <w:pPr>
              <w:jc w:val="center"/>
              <w:rPr>
                <w:rFonts w:ascii="Arial" w:hAnsi="Arial" w:cs="Arial"/>
                <w:b/>
                <w:bCs/>
              </w:rPr>
            </w:pPr>
            <w:r>
              <w:rPr>
                <w:rFonts w:ascii="Arial" w:hAnsi="Arial" w:cs="Arial"/>
                <w:b/>
                <w:bCs/>
              </w:rPr>
              <w:t>Commerciality</w:t>
            </w:r>
          </w:p>
        </w:tc>
        <w:tc>
          <w:tcPr>
            <w:tcW w:w="5243" w:type="dxa"/>
            <w:vAlign w:val="center"/>
          </w:tcPr>
          <w:p w14:paraId="2458658D" w14:textId="7D7894E4" w:rsidR="00825E92" w:rsidRPr="00734230" w:rsidRDefault="000D1FC0" w:rsidP="00F728B1">
            <w:pPr>
              <w:jc w:val="center"/>
              <w:rPr>
                <w:rFonts w:ascii="Arial" w:hAnsi="Arial" w:cs="Arial"/>
                <w:b/>
                <w:bCs/>
              </w:rPr>
            </w:pPr>
            <w:r>
              <w:rPr>
                <w:rFonts w:ascii="Arial" w:hAnsi="Arial" w:cs="Arial"/>
                <w:b/>
                <w:bCs/>
              </w:rPr>
              <w:t>Relationships</w:t>
            </w:r>
          </w:p>
        </w:tc>
      </w:tr>
    </w:tbl>
    <w:p w14:paraId="24F89DA6" w14:textId="77777777" w:rsidR="00825E92" w:rsidRPr="00734230" w:rsidRDefault="00825E92" w:rsidP="00FC1548">
      <w:pPr>
        <w:spacing w:after="0"/>
        <w:rPr>
          <w:rFonts w:ascii="Arial" w:hAnsi="Arial" w:cs="Arial"/>
          <w:sz w:val="10"/>
          <w:szCs w:val="10"/>
        </w:rPr>
      </w:pPr>
    </w:p>
    <w:p w14:paraId="70C49D14"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2244F59F" w14:textId="77777777" w:rsidTr="005C6160">
        <w:trPr>
          <w:trHeight w:val="272"/>
        </w:trPr>
        <w:tc>
          <w:tcPr>
            <w:tcW w:w="10485" w:type="dxa"/>
            <w:gridSpan w:val="4"/>
            <w:shd w:val="clear" w:color="auto" w:fill="50003A"/>
          </w:tcPr>
          <w:p w14:paraId="41CAF5D0"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6F7DFB51" w14:textId="77777777" w:rsidTr="005C6160">
        <w:trPr>
          <w:trHeight w:val="283"/>
        </w:trPr>
        <w:tc>
          <w:tcPr>
            <w:tcW w:w="2621" w:type="dxa"/>
            <w:tcBorders>
              <w:bottom w:val="nil"/>
            </w:tcBorders>
            <w:shd w:val="clear" w:color="auto" w:fill="auto"/>
          </w:tcPr>
          <w:p w14:paraId="4A8F8C0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7FFCF73C"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26A5A632"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3BE58722"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148D1EEA" w14:textId="77777777" w:rsidTr="00473D6E">
        <w:trPr>
          <w:trHeight w:val="1417"/>
        </w:trPr>
        <w:tc>
          <w:tcPr>
            <w:tcW w:w="2621" w:type="dxa"/>
            <w:tcBorders>
              <w:top w:val="nil"/>
            </w:tcBorders>
            <w:shd w:val="clear" w:color="auto" w:fill="auto"/>
          </w:tcPr>
          <w:p w14:paraId="4F1F35B5"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7B5C2E27"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1A63805C"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76401C5D"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5F14E1" w:rsidRPr="00734230" w14:paraId="7C7ACC09" w14:textId="77777777" w:rsidTr="005C6160">
        <w:trPr>
          <w:trHeight w:val="283"/>
        </w:trPr>
        <w:tc>
          <w:tcPr>
            <w:tcW w:w="2621" w:type="dxa"/>
            <w:tcBorders>
              <w:bottom w:val="nil"/>
            </w:tcBorders>
            <w:shd w:val="clear" w:color="auto" w:fill="auto"/>
          </w:tcPr>
          <w:p w14:paraId="4BBF1FD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E364456"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02E89C6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30C479A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275B0387" w14:textId="77777777" w:rsidTr="005C6160">
        <w:trPr>
          <w:trHeight w:val="1814"/>
        </w:trPr>
        <w:tc>
          <w:tcPr>
            <w:tcW w:w="2621" w:type="dxa"/>
            <w:tcBorders>
              <w:top w:val="nil"/>
            </w:tcBorders>
            <w:shd w:val="clear" w:color="auto" w:fill="auto"/>
          </w:tcPr>
          <w:p w14:paraId="0DF26F1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289D1FC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2ED8B4E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4AA1418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638AB93D" w14:textId="77777777" w:rsidTr="005C6160">
        <w:trPr>
          <w:trHeight w:val="283"/>
        </w:trPr>
        <w:tc>
          <w:tcPr>
            <w:tcW w:w="2621" w:type="dxa"/>
            <w:tcBorders>
              <w:bottom w:val="nil"/>
            </w:tcBorders>
            <w:shd w:val="clear" w:color="auto" w:fill="auto"/>
          </w:tcPr>
          <w:p w14:paraId="3D1A5FE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37DDAAE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4DF1800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44C8B9B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14D643F3" w14:textId="77777777" w:rsidTr="005C6160">
        <w:trPr>
          <w:trHeight w:val="1814"/>
        </w:trPr>
        <w:tc>
          <w:tcPr>
            <w:tcW w:w="2621" w:type="dxa"/>
            <w:tcBorders>
              <w:top w:val="nil"/>
            </w:tcBorders>
            <w:shd w:val="clear" w:color="auto" w:fill="auto"/>
          </w:tcPr>
          <w:p w14:paraId="5BF145B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520CF85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56A0008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53418D4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bookmarkEnd w:id="2"/>
    </w:tbl>
    <w:p w14:paraId="196B7194" w14:textId="77777777" w:rsidR="00F6766A" w:rsidRPr="00734230" w:rsidRDefault="00F6766A" w:rsidP="00FC1548">
      <w:pPr>
        <w:spacing w:after="0"/>
        <w:rPr>
          <w:rFonts w:ascii="Arial" w:hAnsi="Arial" w:cs="Arial"/>
          <w:sz w:val="10"/>
          <w:szCs w:val="10"/>
        </w:rPr>
      </w:pPr>
    </w:p>
    <w:p w14:paraId="49F0F309"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p w14:paraId="32599358"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425A" w14:textId="77777777" w:rsidR="00E759EC" w:rsidRDefault="00E759EC" w:rsidP="00E5307F">
      <w:pPr>
        <w:spacing w:after="0" w:line="240" w:lineRule="auto"/>
      </w:pPr>
      <w:r>
        <w:separator/>
      </w:r>
    </w:p>
  </w:endnote>
  <w:endnote w:type="continuationSeparator" w:id="0">
    <w:p w14:paraId="2F441146" w14:textId="77777777" w:rsidR="00E759EC" w:rsidRDefault="00E759EC"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A0BA" w14:textId="2AB5FEE2"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6A33DF">
      <w:rPr>
        <w:rFonts w:ascii="Arial" w:hAnsi="Arial" w:cs="Arial"/>
        <w:noProof/>
        <w:sz w:val="18"/>
        <w:szCs w:val="18"/>
      </w:rPr>
      <w:t>3-Nov-23</w:t>
    </w:r>
    <w:r>
      <w:rPr>
        <w:rFonts w:ascii="Arial" w:hAnsi="Arial" w:cs="Arial"/>
        <w:sz w:val="18"/>
        <w:szCs w:val="18"/>
      </w:rPr>
      <w:fldChar w:fldCharType="end"/>
    </w:r>
  </w:p>
  <w:p w14:paraId="6E01E5EB"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AC4D" w14:textId="77777777" w:rsidR="00E759EC" w:rsidRDefault="00E759EC" w:rsidP="00E5307F">
      <w:pPr>
        <w:spacing w:after="0" w:line="240" w:lineRule="auto"/>
      </w:pPr>
      <w:r>
        <w:separator/>
      </w:r>
    </w:p>
  </w:footnote>
  <w:footnote w:type="continuationSeparator" w:id="0">
    <w:p w14:paraId="7EBB2588" w14:textId="77777777" w:rsidR="00E759EC" w:rsidRDefault="00E759EC"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57D2"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3266B462" wp14:editId="2922F4EF">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3D1B4CCA" wp14:editId="5B5DC4A9">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336"/>
    <w:multiLevelType w:val="hybridMultilevel"/>
    <w:tmpl w:val="4164E7E4"/>
    <w:lvl w:ilvl="0" w:tplc="EC78755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F427E8"/>
    <w:multiLevelType w:val="hybridMultilevel"/>
    <w:tmpl w:val="7676FA08"/>
    <w:lvl w:ilvl="0" w:tplc="B5A892DC">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4961DE"/>
    <w:multiLevelType w:val="hybridMultilevel"/>
    <w:tmpl w:val="93940E3C"/>
    <w:lvl w:ilvl="0" w:tplc="EC78755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0D6822"/>
    <w:multiLevelType w:val="hybridMultilevel"/>
    <w:tmpl w:val="32A0A0AA"/>
    <w:lvl w:ilvl="0" w:tplc="EC78755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12031"/>
    <w:multiLevelType w:val="hybridMultilevel"/>
    <w:tmpl w:val="426EE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1176488">
    <w:abstractNumId w:val="1"/>
  </w:num>
  <w:num w:numId="2" w16cid:durableId="1688404187">
    <w:abstractNumId w:val="4"/>
  </w:num>
  <w:num w:numId="3" w16cid:durableId="1991131987">
    <w:abstractNumId w:val="7"/>
  </w:num>
  <w:num w:numId="4" w16cid:durableId="801192838">
    <w:abstractNumId w:val="3"/>
  </w:num>
  <w:num w:numId="5" w16cid:durableId="1882015426">
    <w:abstractNumId w:val="5"/>
  </w:num>
  <w:num w:numId="6" w16cid:durableId="699864810">
    <w:abstractNumId w:val="9"/>
  </w:num>
  <w:num w:numId="7" w16cid:durableId="1156456867">
    <w:abstractNumId w:val="8"/>
  </w:num>
  <w:num w:numId="8" w16cid:durableId="1574119888">
    <w:abstractNumId w:val="6"/>
  </w:num>
  <w:num w:numId="9" w16cid:durableId="473528524">
    <w:abstractNumId w:val="0"/>
  </w:num>
  <w:num w:numId="10" w16cid:durableId="332687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EC"/>
    <w:rsid w:val="00004D57"/>
    <w:rsid w:val="00045F7F"/>
    <w:rsid w:val="00051E1B"/>
    <w:rsid w:val="000570D5"/>
    <w:rsid w:val="0006596E"/>
    <w:rsid w:val="000719BA"/>
    <w:rsid w:val="000840FF"/>
    <w:rsid w:val="00084843"/>
    <w:rsid w:val="000854FE"/>
    <w:rsid w:val="000929B8"/>
    <w:rsid w:val="000A2B3D"/>
    <w:rsid w:val="000B2D10"/>
    <w:rsid w:val="000D1FC0"/>
    <w:rsid w:val="000D5796"/>
    <w:rsid w:val="000F6A5A"/>
    <w:rsid w:val="0010623F"/>
    <w:rsid w:val="0019040A"/>
    <w:rsid w:val="00196B80"/>
    <w:rsid w:val="001E2072"/>
    <w:rsid w:val="001E7650"/>
    <w:rsid w:val="00242985"/>
    <w:rsid w:val="00265AA0"/>
    <w:rsid w:val="002927DC"/>
    <w:rsid w:val="00292A0A"/>
    <w:rsid w:val="00296665"/>
    <w:rsid w:val="002C385D"/>
    <w:rsid w:val="002D2FCD"/>
    <w:rsid w:val="002D7057"/>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050A6"/>
    <w:rsid w:val="00415A87"/>
    <w:rsid w:val="004418FD"/>
    <w:rsid w:val="00447F22"/>
    <w:rsid w:val="00473D6E"/>
    <w:rsid w:val="00474DBF"/>
    <w:rsid w:val="00483295"/>
    <w:rsid w:val="004833F4"/>
    <w:rsid w:val="00487E76"/>
    <w:rsid w:val="004B4E9F"/>
    <w:rsid w:val="004E588F"/>
    <w:rsid w:val="004F1A38"/>
    <w:rsid w:val="004F315F"/>
    <w:rsid w:val="004F4ABF"/>
    <w:rsid w:val="005047A8"/>
    <w:rsid w:val="005439F9"/>
    <w:rsid w:val="00553DA0"/>
    <w:rsid w:val="0055614C"/>
    <w:rsid w:val="005616C8"/>
    <w:rsid w:val="00570758"/>
    <w:rsid w:val="00573C5A"/>
    <w:rsid w:val="00590CA4"/>
    <w:rsid w:val="005B3B8F"/>
    <w:rsid w:val="005B7196"/>
    <w:rsid w:val="005C6160"/>
    <w:rsid w:val="005F14E1"/>
    <w:rsid w:val="0063273F"/>
    <w:rsid w:val="00643232"/>
    <w:rsid w:val="00654709"/>
    <w:rsid w:val="006641DC"/>
    <w:rsid w:val="00691606"/>
    <w:rsid w:val="006A33DF"/>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740CB"/>
    <w:rsid w:val="008819F5"/>
    <w:rsid w:val="0089720F"/>
    <w:rsid w:val="008A31CA"/>
    <w:rsid w:val="008B6203"/>
    <w:rsid w:val="00910AAE"/>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44B78"/>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A33DC"/>
    <w:rsid w:val="00BA3FD5"/>
    <w:rsid w:val="00BA411D"/>
    <w:rsid w:val="00BA7D75"/>
    <w:rsid w:val="00BB53B1"/>
    <w:rsid w:val="00BD53DA"/>
    <w:rsid w:val="00C150EE"/>
    <w:rsid w:val="00C25267"/>
    <w:rsid w:val="00C60FA3"/>
    <w:rsid w:val="00C725E0"/>
    <w:rsid w:val="00C91386"/>
    <w:rsid w:val="00CA49B2"/>
    <w:rsid w:val="00CB17DE"/>
    <w:rsid w:val="00CB7427"/>
    <w:rsid w:val="00CC02CB"/>
    <w:rsid w:val="00CF5F20"/>
    <w:rsid w:val="00CF7D6D"/>
    <w:rsid w:val="00CF7F5E"/>
    <w:rsid w:val="00D158DD"/>
    <w:rsid w:val="00D309E1"/>
    <w:rsid w:val="00D86AA8"/>
    <w:rsid w:val="00D87DC7"/>
    <w:rsid w:val="00DD6D85"/>
    <w:rsid w:val="00DE5C28"/>
    <w:rsid w:val="00E01768"/>
    <w:rsid w:val="00E0306F"/>
    <w:rsid w:val="00E04EB4"/>
    <w:rsid w:val="00E206AF"/>
    <w:rsid w:val="00E42ADC"/>
    <w:rsid w:val="00E5307F"/>
    <w:rsid w:val="00E759EC"/>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4BFDA"/>
  <w15:chartTrackingRefBased/>
  <w15:docId w15:val="{50492F71-7B17-4ED7-B029-5724624F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character" w:customStyle="1" w:styleId="MessageHeaderLabel">
    <w:name w:val="Message Header Label"/>
    <w:rsid w:val="00E759EC"/>
    <w:rPr>
      <w:rFonts w:ascii="Arial Black" w:hAnsi="Arial Black"/>
      <w:spacing w:val="-10"/>
      <w:sz w:val="18"/>
    </w:rPr>
  </w:style>
  <w:style w:type="paragraph" w:styleId="Revision">
    <w:name w:val="Revision"/>
    <w:hidden/>
    <w:uiPriority w:val="99"/>
    <w:semiHidden/>
    <w:rsid w:val="002D7057"/>
    <w:pPr>
      <w:spacing w:after="0" w:line="240" w:lineRule="auto"/>
    </w:pPr>
  </w:style>
  <w:style w:type="paragraph" w:styleId="BodyText">
    <w:name w:val="Body Text"/>
    <w:basedOn w:val="Normal"/>
    <w:link w:val="BodyTextChar"/>
    <w:rsid w:val="008740CB"/>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740CB"/>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Demartini</dc:creator>
  <cp:keywords/>
  <dc:description/>
  <cp:lastModifiedBy>Andrea Demartini</cp:lastModifiedBy>
  <cp:revision>2</cp:revision>
  <cp:lastPrinted>2020-01-29T00:43:00Z</cp:lastPrinted>
  <dcterms:created xsi:type="dcterms:W3CDTF">2023-11-02T22:17:00Z</dcterms:created>
  <dcterms:modified xsi:type="dcterms:W3CDTF">2023-11-02T22:17:00Z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