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0C3B" w14:textId="77777777" w:rsidR="00E337B8" w:rsidRDefault="00E337B8" w:rsidP="00E337B8">
      <w:pPr>
        <w:pStyle w:val="Heading1"/>
        <w:jc w:val="center"/>
      </w:pPr>
      <w:bookmarkStart w:id="0" w:name="_Toc160358825"/>
      <w:r>
        <w:t>Victims Support Services</w:t>
      </w:r>
    </w:p>
    <w:bookmarkEnd w:id="0"/>
    <w:p w14:paraId="664D888E" w14:textId="77777777" w:rsidR="00E337B8" w:rsidRDefault="00E337B8" w:rsidP="00E337B8">
      <w:pPr>
        <w:pStyle w:val="Heading2centre"/>
      </w:pPr>
      <w:r>
        <w:t xml:space="preserve">Assessment Officer </w:t>
      </w:r>
      <w:r w:rsidRPr="008F31D4">
        <w:t>–</w:t>
      </w:r>
      <w:r>
        <w:t xml:space="preserve"> </w:t>
      </w:r>
      <w:r w:rsidRPr="008F31D4">
        <w:t xml:space="preserve">Statement of Duties </w:t>
      </w:r>
    </w:p>
    <w:p w14:paraId="01D7572F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72BB7DF5" w14:textId="77777777" w:rsidR="00E337B8" w:rsidRDefault="00E337B8" w:rsidP="00E337B8">
      <w:r>
        <w:t xml:space="preserve">Victims Support Services was established to meet the needs of Victims of Crime within our community. </w:t>
      </w:r>
    </w:p>
    <w:p w14:paraId="1DDC054F" w14:textId="77777777" w:rsidR="00E337B8" w:rsidRPr="00EF2A69" w:rsidRDefault="00E337B8" w:rsidP="00E337B8">
      <w:r>
        <w:t xml:space="preserve">This position will be responsible for researching applications made under the </w:t>
      </w:r>
      <w:r>
        <w:rPr>
          <w:i/>
          <w:iCs/>
        </w:rPr>
        <w:t xml:space="preserve">Victims of Crime Assistance Act 1976 </w:t>
      </w:r>
      <w:r>
        <w:t xml:space="preserve">to ensure relevant information is provided to enable a decision to be made on the application. </w:t>
      </w:r>
    </w:p>
    <w:p w14:paraId="1CC4715B" w14:textId="77777777" w:rsidR="00E337B8" w:rsidRDefault="00E337B8" w:rsidP="00E337B8">
      <w:r w:rsidRPr="00CB3880">
        <w:t>This position is also responsible for the updating and further development of the web site for the Victims Support Service together with project work on a range of topics required by the Service.</w:t>
      </w:r>
    </w:p>
    <w:p w14:paraId="32CDEA8F" w14:textId="77777777" w:rsidR="00D40F47" w:rsidRPr="007E4689" w:rsidRDefault="00D40F47" w:rsidP="00D40F47">
      <w:pPr>
        <w:pStyle w:val="Heading1"/>
      </w:pPr>
      <w:r>
        <w:t>Duties</w:t>
      </w:r>
    </w:p>
    <w:p w14:paraId="470BB72A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 xml:space="preserve">Undertake the day-to-day operations of the applications for Victims of Crime Assistance including response to correspondence and liaison with applicants and/or solicitors. </w:t>
      </w:r>
    </w:p>
    <w:p w14:paraId="277EAA97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 xml:space="preserve">Assess applications made under the </w:t>
      </w:r>
      <w:r w:rsidRPr="005E3C16">
        <w:rPr>
          <w:rFonts w:asciiTheme="minorHAnsi" w:hAnsiTheme="minorHAnsi" w:cstheme="minorHAnsi"/>
          <w:i/>
          <w:iCs/>
        </w:rPr>
        <w:t xml:space="preserve">Victims of Crime Assistance Act </w:t>
      </w:r>
      <w:r w:rsidRPr="005E3C16">
        <w:rPr>
          <w:rFonts w:asciiTheme="minorHAnsi" w:hAnsiTheme="minorHAnsi" w:cstheme="minorHAnsi"/>
        </w:rPr>
        <w:t>and provide relevant information and advice as required.</w:t>
      </w:r>
    </w:p>
    <w:p w14:paraId="41631EA6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Finalise applications for hearing or decisions on paper, including preparing associated payment requests.</w:t>
      </w:r>
    </w:p>
    <w:p w14:paraId="129B9E33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Undertake all duties associated with the Victims Support Services website ensuring the information is current and easily understood.</w:t>
      </w:r>
    </w:p>
    <w:p w14:paraId="7710C079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Undertake research, either individually or in conjunction with other staff and put forward recommendations for consideration.</w:t>
      </w:r>
    </w:p>
    <w:p w14:paraId="58B4D9C4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Contribute to the development of the organisation’s policy, procedures and practices.</w:t>
      </w:r>
    </w:p>
    <w:p w14:paraId="2D131F21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Liaise with Government and non-Government organisations with a view to maximising their input to the delivery of services to victims of crime.</w:t>
      </w:r>
    </w:p>
    <w:p w14:paraId="519DF02E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Perform any other assigned duties for the Victims Assistance Unit at the classification level that are within the employee’s competence and training.</w:t>
      </w:r>
    </w:p>
    <w:p w14:paraId="0902A550" w14:textId="77777777" w:rsidR="00EA6A91" w:rsidRPr="007E4689" w:rsidRDefault="00D40F47" w:rsidP="00D40F47">
      <w:pPr>
        <w:pStyle w:val="Heading1"/>
      </w:pPr>
      <w:r>
        <w:t>Level of responsibility</w:t>
      </w:r>
    </w:p>
    <w:p w14:paraId="669F161A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 xml:space="preserve">Responsible for the effective and efficient delivery of the team’s services in accordance with departmental and Branch objectives within allocated resources and agreed timeframes. </w:t>
      </w:r>
    </w:p>
    <w:p w14:paraId="001FDB56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Responsible for maintaining current knowledge of relevant award, legislative and departmental/Government policies and procedures.</w:t>
      </w:r>
    </w:p>
    <w:p w14:paraId="612E1754" w14:textId="77777777" w:rsidR="005E3C16" w:rsidRPr="005E3C16" w:rsidRDefault="005E3C16" w:rsidP="005E3C16">
      <w:pPr>
        <w:numPr>
          <w:ilvl w:val="0"/>
          <w:numId w:val="20"/>
        </w:numPr>
        <w:spacing w:line="240" w:lineRule="auto"/>
        <w:rPr>
          <w:rFonts w:cstheme="minorHAnsi"/>
        </w:rPr>
      </w:pPr>
      <w:r w:rsidRPr="005E3C16">
        <w:rPr>
          <w:rFonts w:cstheme="minorHAnsi"/>
        </w:rPr>
        <w:lastRenderedPageBreak/>
        <w:t>Conduct your work in a safe manner such that it does not put yourself or others at risk.</w:t>
      </w:r>
    </w:p>
    <w:p w14:paraId="4041EE59" w14:textId="77777777" w:rsidR="005E3C16" w:rsidRPr="005E3C16" w:rsidRDefault="005E3C16" w:rsidP="005E3C16">
      <w:pPr>
        <w:numPr>
          <w:ilvl w:val="0"/>
          <w:numId w:val="20"/>
        </w:numPr>
        <w:spacing w:line="240" w:lineRule="auto"/>
        <w:rPr>
          <w:rFonts w:cstheme="minorHAnsi"/>
        </w:rPr>
      </w:pPr>
      <w:r w:rsidRPr="005E3C16">
        <w:rPr>
          <w:rFonts w:cstheme="minorHAnsi"/>
        </w:rPr>
        <w:t>Comply with any reasonable instruction contained in WHS policies, procedures and instructions and report hazards, near misses and incidents to your supervisors.</w:t>
      </w:r>
    </w:p>
    <w:p w14:paraId="458CAB5B" w14:textId="0BD8FCDE" w:rsidR="00FD5680" w:rsidRPr="005E3C16" w:rsidRDefault="005E3C16" w:rsidP="005E3C16">
      <w:pPr>
        <w:numPr>
          <w:ilvl w:val="0"/>
          <w:numId w:val="20"/>
        </w:numPr>
        <w:spacing w:line="240" w:lineRule="auto"/>
        <w:rPr>
          <w:rFonts w:cstheme="minorHAnsi"/>
        </w:rPr>
      </w:pPr>
      <w:r w:rsidRPr="005E3C16">
        <w:rPr>
          <w:rFonts w:cstheme="minorHAnsi"/>
        </w:rPr>
        <w:t xml:space="preserve">You are responsible for upholding the values of Integrity, Respect, Accountability and actively contributing to make our workplaces Inclusive and Collaborative. </w:t>
      </w:r>
    </w:p>
    <w:p w14:paraId="607CE234" w14:textId="77777777" w:rsidR="000221A3" w:rsidRPr="007E4689" w:rsidRDefault="000221A3" w:rsidP="000221A3">
      <w:pPr>
        <w:pStyle w:val="Heading1"/>
      </w:pPr>
      <w:r>
        <w:t>Direction and supervision received</w:t>
      </w:r>
    </w:p>
    <w:p w14:paraId="21437C8B" w14:textId="5A9D29DF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 xml:space="preserve">General direction and limited supervision received from the </w:t>
      </w:r>
      <w:r w:rsidR="00861FB4">
        <w:rPr>
          <w:rFonts w:asciiTheme="minorHAnsi" w:hAnsiTheme="minorHAnsi" w:cstheme="minorHAnsi"/>
        </w:rPr>
        <w:t>Team Leader</w:t>
      </w:r>
      <w:r w:rsidRPr="005E3C16">
        <w:rPr>
          <w:rFonts w:asciiTheme="minorHAnsi" w:hAnsiTheme="minorHAnsi" w:cstheme="minorHAnsi"/>
        </w:rPr>
        <w:t>, Victims Support Services. Expected to be able to use initiative and exercise discretion in resolving non-standard issues.</w:t>
      </w:r>
    </w:p>
    <w:p w14:paraId="350DAE46" w14:textId="77777777" w:rsidR="005E3C16" w:rsidRPr="005E3C16" w:rsidRDefault="005E3C16" w:rsidP="005E3C16">
      <w:pPr>
        <w:pStyle w:val="ListBullet"/>
        <w:rPr>
          <w:rFonts w:asciiTheme="minorHAnsi" w:hAnsiTheme="minorHAnsi" w:cstheme="minorHAnsi"/>
        </w:rPr>
      </w:pPr>
      <w:r w:rsidRPr="005E3C16">
        <w:rPr>
          <w:rFonts w:asciiTheme="minorHAnsi" w:hAnsiTheme="minorHAnsi" w:cstheme="minorHAnsi"/>
        </w:rPr>
        <w:t>Professional advice may also be provided by the Criminal Injuries Compensation Commissioner(s).</w:t>
      </w:r>
    </w:p>
    <w:p w14:paraId="15EAA8F9" w14:textId="77777777" w:rsidR="000221A3" w:rsidRPr="007E4689" w:rsidRDefault="000221A3" w:rsidP="000221A3">
      <w:pPr>
        <w:pStyle w:val="Heading1"/>
      </w:pPr>
      <w:r>
        <w:t>Selection criteria</w:t>
      </w:r>
    </w:p>
    <w:p w14:paraId="1DD2AB66" w14:textId="77777777" w:rsidR="005E3C16" w:rsidRPr="005E3C16" w:rsidRDefault="005E3C16" w:rsidP="005E3C16">
      <w:pPr>
        <w:pStyle w:val="ListParagraph"/>
        <w:numPr>
          <w:ilvl w:val="0"/>
          <w:numId w:val="21"/>
        </w:numPr>
        <w:spacing w:line="240" w:lineRule="auto"/>
        <w:contextualSpacing w:val="0"/>
        <w:jc w:val="both"/>
        <w:rPr>
          <w:rFonts w:cs="Arial"/>
          <w:sz w:val="24"/>
          <w:szCs w:val="24"/>
        </w:rPr>
      </w:pPr>
      <w:r w:rsidRPr="005E3C16">
        <w:rPr>
          <w:rFonts w:cs="Arial"/>
          <w:sz w:val="24"/>
          <w:szCs w:val="24"/>
        </w:rPr>
        <w:t>Comprehensive understanding of and/or practical experience in public administration, including an ability to understand and interpret legislation.</w:t>
      </w:r>
    </w:p>
    <w:p w14:paraId="36062DD0" w14:textId="77777777" w:rsidR="005E3C16" w:rsidRPr="005E3C16" w:rsidRDefault="005E3C16" w:rsidP="005E3C16">
      <w:pPr>
        <w:pStyle w:val="ListParagraph"/>
        <w:numPr>
          <w:ilvl w:val="0"/>
          <w:numId w:val="21"/>
        </w:numPr>
        <w:spacing w:line="240" w:lineRule="auto"/>
        <w:contextualSpacing w:val="0"/>
        <w:jc w:val="both"/>
        <w:rPr>
          <w:rFonts w:cs="Arial"/>
          <w:sz w:val="24"/>
          <w:szCs w:val="24"/>
        </w:rPr>
      </w:pPr>
      <w:r w:rsidRPr="005E3C16">
        <w:rPr>
          <w:rFonts w:cs="Arial"/>
          <w:sz w:val="24"/>
          <w:szCs w:val="24"/>
        </w:rPr>
        <w:t>High level written and oral communication, liaison, negotiation and conflict resolution skills, including the ability to effectively convey information and develop networks.</w:t>
      </w:r>
    </w:p>
    <w:p w14:paraId="26186286" w14:textId="77777777" w:rsidR="005E3C16" w:rsidRPr="005E3C16" w:rsidRDefault="005E3C16" w:rsidP="005E3C16">
      <w:pPr>
        <w:pStyle w:val="ListParagraph"/>
        <w:numPr>
          <w:ilvl w:val="0"/>
          <w:numId w:val="21"/>
        </w:numPr>
        <w:spacing w:line="240" w:lineRule="auto"/>
        <w:contextualSpacing w:val="0"/>
        <w:jc w:val="both"/>
        <w:rPr>
          <w:rFonts w:cs="Arial"/>
          <w:sz w:val="24"/>
          <w:szCs w:val="24"/>
        </w:rPr>
      </w:pPr>
      <w:r w:rsidRPr="005E3C16">
        <w:rPr>
          <w:rFonts w:cs="Arial"/>
          <w:sz w:val="24"/>
          <w:szCs w:val="24"/>
        </w:rPr>
        <w:t>Proven ability to undertake research and provide advice and recommendations.</w:t>
      </w:r>
    </w:p>
    <w:p w14:paraId="10887FFB" w14:textId="77777777" w:rsidR="005E3C16" w:rsidRPr="005E3C16" w:rsidRDefault="005E3C16" w:rsidP="005E3C16">
      <w:pPr>
        <w:pStyle w:val="ListParagraph"/>
        <w:numPr>
          <w:ilvl w:val="0"/>
          <w:numId w:val="21"/>
        </w:numPr>
        <w:spacing w:line="240" w:lineRule="auto"/>
        <w:contextualSpacing w:val="0"/>
        <w:jc w:val="both"/>
        <w:rPr>
          <w:rFonts w:cs="Arial"/>
          <w:sz w:val="24"/>
          <w:szCs w:val="24"/>
        </w:rPr>
      </w:pPr>
      <w:r w:rsidRPr="005E3C16">
        <w:rPr>
          <w:rFonts w:cs="Arial"/>
          <w:sz w:val="24"/>
          <w:szCs w:val="24"/>
        </w:rPr>
        <w:t>Experience in undertaking a range of administrative and clerical functions, in particular, experience in dealing with applications, and in the provision of advice and information to a wide range of clients.</w:t>
      </w:r>
    </w:p>
    <w:p w14:paraId="5FA276BB" w14:textId="77777777" w:rsidR="005E3C16" w:rsidRPr="005E3C16" w:rsidRDefault="005E3C16" w:rsidP="005E3C16">
      <w:pPr>
        <w:pStyle w:val="ListParagraph"/>
        <w:numPr>
          <w:ilvl w:val="0"/>
          <w:numId w:val="21"/>
        </w:numPr>
        <w:spacing w:line="240" w:lineRule="auto"/>
        <w:contextualSpacing w:val="0"/>
        <w:jc w:val="both"/>
        <w:rPr>
          <w:rFonts w:cs="Arial"/>
          <w:sz w:val="24"/>
          <w:szCs w:val="24"/>
        </w:rPr>
      </w:pPr>
      <w:r w:rsidRPr="005E3C16">
        <w:rPr>
          <w:rFonts w:cs="Arial"/>
          <w:sz w:val="24"/>
          <w:szCs w:val="24"/>
        </w:rPr>
        <w:t>Sound understanding of, and experience with, a range of computer applications and office technology including Microsoft products and database software.</w:t>
      </w:r>
    </w:p>
    <w:p w14:paraId="76B1C6C3" w14:textId="77777777" w:rsidR="005E3C16" w:rsidRPr="005E3C16" w:rsidRDefault="005E3C16" w:rsidP="005E3C16">
      <w:pPr>
        <w:pStyle w:val="ListParagraph"/>
        <w:numPr>
          <w:ilvl w:val="0"/>
          <w:numId w:val="21"/>
        </w:numPr>
        <w:spacing w:line="240" w:lineRule="auto"/>
        <w:contextualSpacing w:val="0"/>
        <w:jc w:val="both"/>
        <w:rPr>
          <w:rFonts w:cs="Arial"/>
          <w:sz w:val="24"/>
          <w:szCs w:val="24"/>
        </w:rPr>
      </w:pPr>
      <w:r w:rsidRPr="005E3C16">
        <w:rPr>
          <w:rFonts w:cs="Arial"/>
          <w:sz w:val="24"/>
          <w:szCs w:val="24"/>
        </w:rPr>
        <w:t>Organisational skills which enable the coordination and conduct of a variety of tasks at the same time, and the planning and completion of work activities within pre-determined timeframes and specified performance standards.</w:t>
      </w:r>
    </w:p>
    <w:p w14:paraId="3F33A7FD" w14:textId="77777777" w:rsidR="000221A3" w:rsidRPr="007E4689" w:rsidRDefault="000221A3" w:rsidP="000221A3">
      <w:pPr>
        <w:pStyle w:val="Heading1"/>
      </w:pPr>
      <w:r>
        <w:t>Essential requirements</w:t>
      </w:r>
    </w:p>
    <w:p w14:paraId="3BC062C3" w14:textId="033B4D14" w:rsidR="000221A3" w:rsidRDefault="005E3C16" w:rsidP="000221A3">
      <w:pPr>
        <w:pStyle w:val="BulletL1"/>
      </w:pPr>
      <w:r>
        <w:t>Nil</w:t>
      </w:r>
    </w:p>
    <w:p w14:paraId="5E99A21D" w14:textId="77777777" w:rsidR="000221A3" w:rsidRPr="007E4689" w:rsidRDefault="000221A3" w:rsidP="000221A3">
      <w:pPr>
        <w:pStyle w:val="Heading1"/>
      </w:pPr>
      <w:r>
        <w:t>Desirable requirements</w:t>
      </w:r>
    </w:p>
    <w:p w14:paraId="0C1D998C" w14:textId="77777777" w:rsidR="005E3C16" w:rsidRDefault="005E3C16" w:rsidP="005E3C16">
      <w:pPr>
        <w:pStyle w:val="BulletL1"/>
      </w:pPr>
      <w:r>
        <w:t>Possession of a current drivers licence</w:t>
      </w:r>
    </w:p>
    <w:p w14:paraId="46ED131E" w14:textId="33457EC8" w:rsidR="000221A3" w:rsidRDefault="000221A3" w:rsidP="005E3C16">
      <w:pPr>
        <w:pStyle w:val="BulletL1"/>
        <w:numPr>
          <w:ilvl w:val="0"/>
          <w:numId w:val="0"/>
        </w:numPr>
      </w:pPr>
    </w:p>
    <w:p w14:paraId="100344E9" w14:textId="46C99CCA" w:rsidR="000221A3" w:rsidRPr="007E4689" w:rsidRDefault="000221A3" w:rsidP="000221A3">
      <w:pPr>
        <w:pStyle w:val="Heading1"/>
      </w:pPr>
      <w:r w:rsidRPr="000221A3">
        <w:lastRenderedPageBreak/>
        <w:t>Pre-employment Checks</w:t>
      </w:r>
    </w:p>
    <w:p w14:paraId="68775E68" w14:textId="77777777" w:rsidR="00DF363A" w:rsidRDefault="00DF363A" w:rsidP="00DF363A">
      <w:r>
        <w:t xml:space="preserve">The Head of State Service has determined that the person nominated for this vacancy is to satisfy a pre-employment check before taking up the appointment, promotion or transfer. </w:t>
      </w:r>
    </w:p>
    <w:p w14:paraId="466DABB9" w14:textId="77777777" w:rsidR="00DF363A" w:rsidRDefault="00DF363A" w:rsidP="00DF363A">
      <w:r>
        <w:t>The following checks are to be conducted:</w:t>
      </w:r>
    </w:p>
    <w:p w14:paraId="7861C048" w14:textId="77777777" w:rsidR="00DF363A" w:rsidRPr="00DF363A" w:rsidRDefault="00DF363A" w:rsidP="00DF363A">
      <w:pPr>
        <w:pStyle w:val="ListNumber"/>
        <w:numPr>
          <w:ilvl w:val="0"/>
          <w:numId w:val="18"/>
        </w:numPr>
        <w:ind w:left="426" w:hanging="426"/>
      </w:pPr>
      <w:r w:rsidRPr="00DF363A">
        <w:t>Pre-employment checks</w:t>
      </w:r>
    </w:p>
    <w:p w14:paraId="591A6F75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Arson and fire setting</w:t>
      </w:r>
    </w:p>
    <w:p w14:paraId="6632CB85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Violent crimes and crimes against the person</w:t>
      </w:r>
    </w:p>
    <w:p w14:paraId="45B69C5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Sex-related offences</w:t>
      </w:r>
    </w:p>
    <w:p w14:paraId="0999569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Drug and alcohol related offences</w:t>
      </w:r>
    </w:p>
    <w:p w14:paraId="5A9C4256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involving dishonesty</w:t>
      </w:r>
    </w:p>
    <w:p w14:paraId="37A9C8C4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involving deception</w:t>
      </w:r>
    </w:p>
    <w:p w14:paraId="0787D3C9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Making false declarations</w:t>
      </w:r>
    </w:p>
    <w:p w14:paraId="00D46B90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Malicious damage and destruction to property</w:t>
      </w:r>
    </w:p>
    <w:p w14:paraId="702F26D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Serious traffic offences</w:t>
      </w:r>
    </w:p>
    <w:p w14:paraId="5BF2C4ED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public order or relating to the Administration of Law and Justice</w:t>
      </w:r>
    </w:p>
    <w:p w14:paraId="0B7998F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Executive or the Legislative Power</w:t>
      </w:r>
    </w:p>
    <w:p w14:paraId="52EEA9B4" w14:textId="77777777" w:rsidR="00DF363A" w:rsidRPr="00DF363A" w:rsidRDefault="00DF363A" w:rsidP="00DF363A">
      <w:pPr>
        <w:pStyle w:val="BulletL1"/>
        <w:ind w:left="709"/>
      </w:pPr>
      <w:r w:rsidRPr="00DF363A">
        <w:t>Crimes involving Conspiracy</w:t>
      </w:r>
    </w:p>
    <w:p w14:paraId="28F13409" w14:textId="77777777" w:rsidR="00DF363A" w:rsidRDefault="00DF363A" w:rsidP="00DF363A">
      <w:pPr>
        <w:pStyle w:val="ListNumber"/>
      </w:pPr>
      <w:r>
        <w:t>Disciplinary action in previous employment.</w:t>
      </w:r>
    </w:p>
    <w:p w14:paraId="48660859" w14:textId="77777777" w:rsidR="000221A3" w:rsidRDefault="00DF363A" w:rsidP="00DF363A">
      <w:pPr>
        <w:pStyle w:val="ListNumber"/>
      </w:pPr>
      <w:r>
        <w:t>Identification check.</w:t>
      </w:r>
    </w:p>
    <w:p w14:paraId="0D5B1853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5E3C16" w:rsidRPr="00005DBB" w14:paraId="46B3B4F1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AC0E165" w14:textId="77777777" w:rsidR="005E3C16" w:rsidRPr="00B9618A" w:rsidRDefault="005E3C16" w:rsidP="005E3C16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07FE0F3" w14:textId="36825C73" w:rsidR="005E3C16" w:rsidRPr="00005DBB" w:rsidRDefault="005E3C16" w:rsidP="005E3C16">
            <w:pPr>
              <w:pStyle w:val="Tablecopy"/>
            </w:pPr>
            <w:r>
              <w:t>Assessment Officer</w:t>
            </w:r>
          </w:p>
        </w:tc>
      </w:tr>
      <w:tr w:rsidR="005E3C16" w:rsidRPr="00005DBB" w14:paraId="15ADF522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7314D3A" w14:textId="77777777" w:rsidR="005E3C16" w:rsidRPr="00B9618A" w:rsidRDefault="005E3C16" w:rsidP="005E3C16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2BFEAAB" w14:textId="42217793" w:rsidR="005E3C16" w:rsidRPr="00005DBB" w:rsidRDefault="005E3C16" w:rsidP="005E3C16">
            <w:pPr>
              <w:pStyle w:val="Tablecopy"/>
            </w:pPr>
            <w:r>
              <w:t>357831</w:t>
            </w:r>
          </w:p>
        </w:tc>
      </w:tr>
      <w:tr w:rsidR="005E3C16" w:rsidRPr="00005DBB" w14:paraId="06EFEB79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A1CE1A" w14:textId="77777777" w:rsidR="005E3C16" w:rsidRPr="00B9618A" w:rsidRDefault="005E3C16" w:rsidP="005E3C16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9C0DE80" w14:textId="18F52D67" w:rsidR="005E3C16" w:rsidRPr="00005DBB" w:rsidRDefault="005E3C16" w:rsidP="005E3C16">
            <w:pPr>
              <w:pStyle w:val="Tablecopy"/>
            </w:pPr>
            <w:r>
              <w:t>Tasmanian State Service Award</w:t>
            </w:r>
          </w:p>
        </w:tc>
      </w:tr>
      <w:tr w:rsidR="005E3C16" w:rsidRPr="00005DBB" w14:paraId="6974B6AD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D292F30" w14:textId="77777777" w:rsidR="005E3C16" w:rsidRPr="00B9618A" w:rsidRDefault="005E3C16" w:rsidP="005E3C16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4F93483" w14:textId="10DB8A95" w:rsidR="005E3C16" w:rsidRPr="00005DBB" w:rsidRDefault="005E3C16" w:rsidP="005E3C16">
            <w:pPr>
              <w:pStyle w:val="Tablecopy"/>
            </w:pPr>
            <w:r>
              <w:t>General Stream Band 4</w:t>
            </w:r>
          </w:p>
        </w:tc>
      </w:tr>
      <w:tr w:rsidR="005E3C16" w:rsidRPr="00005DBB" w14:paraId="33C52235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D910BA6" w14:textId="77777777" w:rsidR="005E3C16" w:rsidRPr="00B9618A" w:rsidRDefault="005E3C16" w:rsidP="005E3C16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559C63C" w14:textId="51603884" w:rsidR="005E3C16" w:rsidRPr="00005DBB" w:rsidRDefault="005E3C16" w:rsidP="005E3C16">
            <w:pPr>
              <w:pStyle w:val="Tablecopy"/>
            </w:pPr>
            <w:r>
              <w:t>Regulation and Service Delivery</w:t>
            </w:r>
          </w:p>
        </w:tc>
      </w:tr>
      <w:tr w:rsidR="005E3C16" w:rsidRPr="00005DBB" w14:paraId="75820F70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CBE1C7B" w14:textId="77777777" w:rsidR="005E3C16" w:rsidRPr="00B9618A" w:rsidRDefault="005E3C16" w:rsidP="005E3C16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E7EB6E2" w14:textId="7364F73E" w:rsidR="005E3C16" w:rsidRPr="00005DBB" w:rsidRDefault="005E3C16" w:rsidP="005E3C16">
            <w:pPr>
              <w:pStyle w:val="Tablecopy"/>
            </w:pPr>
            <w:r>
              <w:t>1.0</w:t>
            </w:r>
          </w:p>
        </w:tc>
      </w:tr>
      <w:tr w:rsidR="005E3C16" w:rsidRPr="00005DBB" w14:paraId="2E7750EE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9972BF8" w14:textId="77777777" w:rsidR="005E3C16" w:rsidRPr="00B9618A" w:rsidRDefault="005E3C16" w:rsidP="005E3C16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7B77078" w14:textId="036DF6D2" w:rsidR="005E3C16" w:rsidRPr="00005DBB" w:rsidRDefault="005E3C16" w:rsidP="005E3C16">
            <w:pPr>
              <w:pStyle w:val="Tablecopy"/>
            </w:pPr>
            <w:r>
              <w:t>Victims Support Services</w:t>
            </w:r>
          </w:p>
        </w:tc>
      </w:tr>
      <w:tr w:rsidR="005E3C16" w:rsidRPr="00005DBB" w14:paraId="28609085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26892CD" w14:textId="77777777" w:rsidR="005E3C16" w:rsidRPr="00B9618A" w:rsidRDefault="005E3C16" w:rsidP="005E3C16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0112546" w14:textId="2CA27BFB" w:rsidR="005E3C16" w:rsidRPr="00005DBB" w:rsidRDefault="005E3C16" w:rsidP="005E3C16">
            <w:pPr>
              <w:pStyle w:val="Tablecopy"/>
            </w:pPr>
            <w:r>
              <w:t>Victims Assistance Unit</w:t>
            </w:r>
          </w:p>
        </w:tc>
      </w:tr>
      <w:tr w:rsidR="005E3C16" w:rsidRPr="00005DBB" w14:paraId="74B4FC0C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B950520" w14:textId="77777777" w:rsidR="005E3C16" w:rsidRPr="00B9618A" w:rsidRDefault="005E3C16" w:rsidP="005E3C16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6ADD9FE" w14:textId="489DB546" w:rsidR="005E3C16" w:rsidRPr="00EE50F8" w:rsidRDefault="00E303A0" w:rsidP="005E3C16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Team Leader</w:t>
            </w:r>
            <w:r w:rsidR="005E3C16">
              <w:rPr>
                <w:rFonts w:cs="Arial"/>
              </w:rPr>
              <w:t>, Victims Support Services</w:t>
            </w:r>
          </w:p>
        </w:tc>
      </w:tr>
      <w:tr w:rsidR="005E3C16" w:rsidRPr="00005DBB" w14:paraId="21E00F8B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E3660E1" w14:textId="77777777" w:rsidR="005E3C16" w:rsidRPr="00B9618A" w:rsidRDefault="005E3C16" w:rsidP="005E3C16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B7BFC23" w14:textId="3BC84FE2" w:rsidR="005E3C16" w:rsidRPr="00EE50F8" w:rsidRDefault="005E3C16" w:rsidP="005E3C16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Nil</w:t>
            </w:r>
          </w:p>
        </w:tc>
      </w:tr>
      <w:tr w:rsidR="005E3C16" w:rsidRPr="00005DBB" w14:paraId="322E63AC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BC110B4" w14:textId="77777777" w:rsidR="005E3C16" w:rsidRPr="00B9618A" w:rsidRDefault="005E3C16" w:rsidP="005E3C16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08FF9EE" w14:textId="0EAD6733" w:rsidR="005E3C16" w:rsidRPr="00EE50F8" w:rsidRDefault="005E3C16" w:rsidP="005E3C16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Hobart</w:t>
            </w:r>
          </w:p>
        </w:tc>
      </w:tr>
      <w:tr w:rsidR="005E3C16" w:rsidRPr="00005DBB" w14:paraId="6968F464" w14:textId="77777777" w:rsidTr="005E3C1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8B28544" w14:textId="77777777" w:rsidR="005E3C16" w:rsidRPr="00B9618A" w:rsidRDefault="005E3C16" w:rsidP="005E3C16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526AE94" w14:textId="2D5CB7B1" w:rsidR="005E3C16" w:rsidRPr="00995F4A" w:rsidRDefault="005E3C16" w:rsidP="005E3C16">
            <w:pPr>
              <w:pStyle w:val="Tablecopy"/>
            </w:pPr>
            <w:r>
              <w:t>A029-project code 0137</w:t>
            </w:r>
          </w:p>
        </w:tc>
      </w:tr>
    </w:tbl>
    <w:p w14:paraId="63797E88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5E32" w14:textId="77777777" w:rsidR="00CD5C2C" w:rsidRDefault="00CD5C2C" w:rsidP="004438C9">
      <w:r>
        <w:separator/>
      </w:r>
    </w:p>
    <w:p w14:paraId="51DC7144" w14:textId="77777777" w:rsidR="00CD5C2C" w:rsidRDefault="00CD5C2C"/>
  </w:endnote>
  <w:endnote w:type="continuationSeparator" w:id="0">
    <w:p w14:paraId="31F6E73F" w14:textId="77777777" w:rsidR="00CD5C2C" w:rsidRDefault="00CD5C2C" w:rsidP="004438C9">
      <w:r>
        <w:continuationSeparator/>
      </w:r>
    </w:p>
    <w:p w14:paraId="68123726" w14:textId="77777777" w:rsidR="00CD5C2C" w:rsidRDefault="00CD5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AE9D5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57798C16" w14:textId="38D67E05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="005E3C16">
          <w:t>September 2023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6CFFFD8F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F674" w14:textId="22E88FD9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5E3C16">
      <w:t>September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00037DBC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048B" w14:textId="77777777" w:rsidR="00CD5C2C" w:rsidRDefault="00CD5C2C" w:rsidP="004438C9">
      <w:r>
        <w:separator/>
      </w:r>
    </w:p>
    <w:p w14:paraId="33D319DF" w14:textId="77777777" w:rsidR="00CD5C2C" w:rsidRDefault="00CD5C2C"/>
  </w:footnote>
  <w:footnote w:type="continuationSeparator" w:id="0">
    <w:p w14:paraId="060942C2" w14:textId="77777777" w:rsidR="00CD5C2C" w:rsidRDefault="00CD5C2C" w:rsidP="004438C9">
      <w:r>
        <w:continuationSeparator/>
      </w:r>
    </w:p>
    <w:p w14:paraId="2C52B05E" w14:textId="77777777" w:rsidR="00CD5C2C" w:rsidRDefault="00CD5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AA6B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90A46E1" wp14:editId="1A4E2F9C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2F2809"/>
    <w:multiLevelType w:val="hybridMultilevel"/>
    <w:tmpl w:val="46360C6E"/>
    <w:lvl w:ilvl="0" w:tplc="1BD05A8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CA72E7"/>
    <w:multiLevelType w:val="hybridMultilevel"/>
    <w:tmpl w:val="CC7C4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4"/>
  </w:num>
  <w:num w:numId="2" w16cid:durableId="840971471">
    <w:abstractNumId w:val="6"/>
  </w:num>
  <w:num w:numId="3" w16cid:durableId="1738630552">
    <w:abstractNumId w:val="15"/>
  </w:num>
  <w:num w:numId="4" w16cid:durableId="1956597500">
    <w:abstractNumId w:val="5"/>
  </w:num>
  <w:num w:numId="5" w16cid:durableId="303001286">
    <w:abstractNumId w:val="12"/>
  </w:num>
  <w:num w:numId="6" w16cid:durableId="553349720">
    <w:abstractNumId w:val="7"/>
  </w:num>
  <w:num w:numId="7" w16cid:durableId="1048643758">
    <w:abstractNumId w:val="1"/>
  </w:num>
  <w:num w:numId="8" w16cid:durableId="201139373">
    <w:abstractNumId w:val="13"/>
  </w:num>
  <w:num w:numId="9" w16cid:durableId="286158930">
    <w:abstractNumId w:val="0"/>
  </w:num>
  <w:num w:numId="10" w16cid:durableId="43913803">
    <w:abstractNumId w:val="13"/>
  </w:num>
  <w:num w:numId="11" w16cid:durableId="2125879712">
    <w:abstractNumId w:val="2"/>
  </w:num>
  <w:num w:numId="12" w16cid:durableId="1948462496">
    <w:abstractNumId w:val="13"/>
  </w:num>
  <w:num w:numId="13" w16cid:durableId="6912274">
    <w:abstractNumId w:val="16"/>
  </w:num>
  <w:num w:numId="14" w16cid:durableId="1623803603">
    <w:abstractNumId w:val="8"/>
  </w:num>
  <w:num w:numId="15" w16cid:durableId="1591229665">
    <w:abstractNumId w:val="8"/>
  </w:num>
  <w:num w:numId="16" w16cid:durableId="1754278598">
    <w:abstractNumId w:val="3"/>
  </w:num>
  <w:num w:numId="17" w16cid:durableId="212665966">
    <w:abstractNumId w:val="10"/>
  </w:num>
  <w:num w:numId="18" w16cid:durableId="287712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6878122">
    <w:abstractNumId w:val="9"/>
  </w:num>
  <w:num w:numId="20" w16cid:durableId="1304311124">
    <w:abstractNumId w:val="11"/>
  </w:num>
  <w:num w:numId="21" w16cid:durableId="1058438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2C"/>
    <w:rsid w:val="000221A3"/>
    <w:rsid w:val="00043209"/>
    <w:rsid w:val="001314BC"/>
    <w:rsid w:val="001507F3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A535D"/>
    <w:rsid w:val="005B3569"/>
    <w:rsid w:val="005C0BEF"/>
    <w:rsid w:val="005E082F"/>
    <w:rsid w:val="005E3C16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74FCA"/>
    <w:rsid w:val="00781449"/>
    <w:rsid w:val="007C2716"/>
    <w:rsid w:val="007E4689"/>
    <w:rsid w:val="0083141A"/>
    <w:rsid w:val="00861FB4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D5C2C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303A0"/>
    <w:rsid w:val="00E337B8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9FFE"/>
  <w15:chartTrackingRefBased/>
  <w15:docId w15:val="{89045487-782C-4443-91E5-FE5D654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ind w:left="284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customStyle="1" w:styleId="Heading2centre">
    <w:name w:val="Heading 2+centre"/>
    <w:basedOn w:val="Heading2"/>
    <w:qFormat/>
    <w:rsid w:val="00E337B8"/>
    <w:pPr>
      <w:keepLines w:val="0"/>
      <w:spacing w:before="240"/>
      <w:jc w:val="center"/>
    </w:pPr>
    <w:rPr>
      <w:rFonts w:ascii="Gill Sans MT" w:eastAsia="Times New Roman" w:hAnsi="Gill Sans MT" w:cs="Arial"/>
      <w:b w:val="0"/>
      <w:bCs/>
      <w:color w:val="auto"/>
      <w:kern w:val="0"/>
      <w:sz w:val="32"/>
      <w:szCs w:val="24"/>
      <w14:ligatures w14:val="none"/>
    </w:rPr>
  </w:style>
  <w:style w:type="paragraph" w:styleId="ListBullet">
    <w:name w:val="List Bullet"/>
    <w:basedOn w:val="Normal"/>
    <w:autoRedefine/>
    <w:qFormat/>
    <w:rsid w:val="005E3C16"/>
    <w:pPr>
      <w:numPr>
        <w:numId w:val="19"/>
      </w:numPr>
      <w:spacing w:after="60" w:line="240" w:lineRule="auto"/>
    </w:pPr>
    <w:rPr>
      <w:rFonts w:ascii="Gill Sans MT" w:eastAsia="Times New Roman" w:hAnsi="Gill Sans MT" w:cs="Arial"/>
      <w:color w:val="auto"/>
      <w:kern w:val="0"/>
      <w14:ligatures w14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5E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11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Objective</vt:lpstr>
      <vt:lpstr>Duties</vt:lpstr>
      <vt:lpstr>Level of responsibility</vt:lpstr>
      <vt:lpstr>Direction and supervision received</vt:lpstr>
      <vt:lpstr>Selection criteria</vt:lpstr>
      <vt:lpstr>Essential requirements</vt:lpstr>
      <vt:lpstr>Desirable requirements</vt:lpstr>
      <vt:lpstr>Pre-employment Checks (remove if not required)</vt:lpstr>
      <vt:lpstr>Position Summary</vt:lpstr>
    </vt:vector>
  </TitlesOfParts>
  <Company>Department of Premier and Cabinet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Kasteel, Suzie</dc:creator>
  <cp:keywords/>
  <dc:description/>
  <cp:lastModifiedBy>Kasteel, Suzie</cp:lastModifiedBy>
  <cp:revision>6</cp:revision>
  <dcterms:created xsi:type="dcterms:W3CDTF">2024-10-15T23:52:00Z</dcterms:created>
  <dcterms:modified xsi:type="dcterms:W3CDTF">2024-10-17T21:10:00Z</dcterms:modified>
</cp:coreProperties>
</file>