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862979"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Program Facilitator</w:t>
                            </w:r>
                            <w:r w:rsidR="008A604A" w:rsidRPr="008A604A">
                              <w:rPr>
                                <w:rFonts w:ascii="Arial Bold" w:hAnsi="Arial Bold"/>
                                <w:b/>
                                <w:caps/>
                                <w:color w:val="FFFFFF" w:themeColor="background1"/>
                                <w:sz w:val="40"/>
                                <w:szCs w:val="40"/>
                              </w:rPr>
                              <w:t xml:space="preserve"> POSITION DESCRIPTION</w:t>
                            </w:r>
                          </w:p>
                          <w:p w:rsidR="008A604A" w:rsidRPr="008A604A" w:rsidRDefault="0086297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Tuning into respectful relationships</w:t>
                            </w:r>
                          </w:p>
                          <w:p w:rsidR="008A604A" w:rsidRPr="008A604A" w:rsidRDefault="0086297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Eastern 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862979"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Program Facilitator</w:t>
                      </w:r>
                      <w:r w:rsidR="008A604A" w:rsidRPr="008A604A">
                        <w:rPr>
                          <w:rFonts w:ascii="Arial Bold" w:hAnsi="Arial Bold"/>
                          <w:b/>
                          <w:caps/>
                          <w:color w:val="FFFFFF" w:themeColor="background1"/>
                          <w:sz w:val="40"/>
                          <w:szCs w:val="40"/>
                        </w:rPr>
                        <w:t xml:space="preserve"> POSITION DESCRIPTION</w:t>
                      </w:r>
                    </w:p>
                    <w:p w:rsidR="008A604A" w:rsidRPr="008A604A" w:rsidRDefault="0086297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Tuning into respectful relationships</w:t>
                      </w:r>
                    </w:p>
                    <w:p w:rsidR="008A604A" w:rsidRPr="008A604A" w:rsidRDefault="0086297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Eastern 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C100D7" w:rsidP="008A604A">
            <w:r>
              <w:t>Group Facilitator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862979" w:rsidP="008A604A">
            <w:r>
              <w:t xml:space="preserve">Tuning Into </w:t>
            </w:r>
            <w:r w:rsidR="005F4D12">
              <w:t>Respectful Relationships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B63041">
                  <w:rPr>
                    <w:rFonts w:eastAsia="Times New Roman" w:cs="Times New Roman"/>
                    <w:lang w:eastAsia="en-AU"/>
                  </w:rPr>
                  <w:t>Level 5 (Social Worker Class 2)</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F82672" w:rsidP="008A604A">
                <w:pPr>
                  <w:spacing w:before="120" w:after="120" w:line="259" w:lineRule="auto"/>
                  <w:jc w:val="both"/>
                  <w:rPr>
                    <w:rFonts w:eastAsia="Times New Roman"/>
                    <w:sz w:val="22"/>
                    <w:szCs w:val="22"/>
                    <w:lang w:val="en-US" w:eastAsia="en-AU"/>
                  </w:rPr>
                </w:pPr>
                <w:r>
                  <w:rPr>
                    <w:rFonts w:eastAsia="Times New Roman"/>
                    <w:lang w:eastAsia="en-AU"/>
                  </w:rPr>
                  <w:t>Part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C07E6D"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8A604A" w:rsidP="00C07E6D"/>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5F4D12" w:rsidP="008A604A">
                <w:pPr>
                  <w:rPr>
                    <w:lang w:val="en-US"/>
                  </w:rPr>
                </w:pPr>
                <w:r>
                  <w:t>Fixed Term</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C07E6D" w:rsidP="008A604A">
            <w:r>
              <w:t>30 June 2023</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05696E" w:rsidP="0005696E">
            <w:r>
              <w:t xml:space="preserve">(Office location- Box Hill- </w:t>
            </w:r>
            <w:r w:rsidR="00C07E6D">
              <w:t>program is delivered within 11 Prisons located: Deer Park, Lara, Ararat</w:t>
            </w:r>
            <w:r>
              <w:t>,</w:t>
            </w:r>
            <w:r w:rsidR="00C07E6D">
              <w:t xml:space="preserve"> Castlemaine, </w:t>
            </w:r>
            <w:proofErr w:type="gramStart"/>
            <w:r w:rsidR="00C07E6D">
              <w:t>Murchison</w:t>
            </w:r>
            <w:proofErr w:type="gramEnd"/>
            <w:r w:rsidR="00C07E6D">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C07E6D">
            <w:r w:rsidRPr="008A604A">
              <w:t xml:space="preserve">This position reports directly </w:t>
            </w:r>
            <w:r w:rsidR="005F4D12">
              <w:t xml:space="preserve">to the </w:t>
            </w:r>
            <w:r w:rsidR="00C07E6D">
              <w:t>Team Leader</w:t>
            </w:r>
            <w:r w:rsidR="005F4D12">
              <w:t xml:space="preserve"> for Respectful Relationships</w:t>
            </w:r>
          </w:p>
        </w:tc>
      </w:tr>
      <w:tr w:rsidR="008A604A" w:rsidRPr="00386E9B" w:rsidTr="005F4D12">
        <w:trPr>
          <w:trHeight w:val="946"/>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5-12T00:00:00Z">
                <w:dateFormat w:val="MMMM yyyy"/>
                <w:lid w:val="en-AU"/>
                <w:storeMappedDataAs w:val="dateTime"/>
                <w:calendar w:val="gregorian"/>
              </w:date>
            </w:sdtPr>
            <w:sdtEndPr/>
            <w:sdtContent>
              <w:p w:rsidR="008A604A" w:rsidRPr="008A604A" w:rsidRDefault="00C07E6D" w:rsidP="008A604A">
                <w:pPr>
                  <w:spacing w:before="120" w:after="120"/>
                  <w:jc w:val="both"/>
                  <w:rPr>
                    <w:rFonts w:eastAsia="Times New Roman" w:cs="Times New Roman"/>
                    <w:b/>
                    <w:sz w:val="22"/>
                    <w:lang w:val="en-US" w:eastAsia="en-AU"/>
                  </w:rPr>
                </w:pPr>
                <w:r>
                  <w:rPr>
                    <w:rFonts w:eastAsia="Times New Roman" w:cs="Times New Roman"/>
                    <w:lang w:eastAsia="en-AU"/>
                  </w:rPr>
                  <w:t>May 2022</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386E9B" w:rsidRPr="00361E1E" w:rsidRDefault="00177E46" w:rsidP="006B32A0">
      <w:pPr>
        <w:rPr>
          <w:b/>
          <w:sz w:val="32"/>
          <w:szCs w:val="32"/>
        </w:rPr>
      </w:pPr>
      <w:r>
        <w:rPr>
          <w:b/>
          <w:sz w:val="32"/>
          <w:szCs w:val="32"/>
        </w:rPr>
        <w:t>Overview of program</w:t>
      </w:r>
    </w:p>
    <w:p w:rsidR="0018557A" w:rsidRPr="00F82672" w:rsidRDefault="006E3B77" w:rsidP="00361E1E">
      <w:r w:rsidRPr="00F82672">
        <w:rPr>
          <w:rFonts w:cs="VIC"/>
          <w:i/>
          <w:iCs/>
          <w:color w:val="000000"/>
        </w:rPr>
        <w:t xml:space="preserve">Tuning </w:t>
      </w:r>
      <w:proofErr w:type="gramStart"/>
      <w:r w:rsidRPr="00F82672">
        <w:rPr>
          <w:rFonts w:cs="VIC"/>
          <w:i/>
          <w:iCs/>
          <w:color w:val="000000"/>
        </w:rPr>
        <w:t>Into</w:t>
      </w:r>
      <w:proofErr w:type="gramEnd"/>
      <w:r w:rsidRPr="00F82672">
        <w:rPr>
          <w:rFonts w:cs="VIC"/>
          <w:i/>
          <w:iCs/>
          <w:color w:val="000000"/>
        </w:rPr>
        <w:t xml:space="preserve"> Respectful Relationships </w:t>
      </w:r>
      <w:r w:rsidRPr="00F82672">
        <w:rPr>
          <w:rFonts w:cs="VIC"/>
          <w:iCs/>
          <w:color w:val="000000"/>
        </w:rPr>
        <w:t>is a</w:t>
      </w:r>
      <w:r w:rsidRPr="00F82672">
        <w:rPr>
          <w:rFonts w:cs="VIC"/>
          <w:color w:val="000000"/>
        </w:rPr>
        <w:t xml:space="preserve"> psychoeducational group program for prisoners, residing in correctional facilities. The program’s aims are to raise awareness of the elements of respectful relationships, impart practical knowledge and skills to help participants maintain, improve and develop relationships, and contribute to the participant’s self-development. The program is structured to be delivered over six contact hours, in two three hour modules by a pair of co-facilitators. The program is inclusive of all prisoners regardless of offence, sentence, gender, culture, or sexuality.</w:t>
      </w:r>
    </w:p>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Pr="00896778" w:rsidRDefault="008A604A" w:rsidP="00896778">
      <w:pPr>
        <w:spacing w:before="120" w:after="120" w:line="240" w:lineRule="auto"/>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896778" w:rsidRDefault="006E3B77" w:rsidP="00AF4064">
            <w:pPr>
              <w:autoSpaceDE w:val="0"/>
              <w:autoSpaceDN w:val="0"/>
              <w:adjustRightInd w:val="0"/>
              <w:rPr>
                <w:color w:val="000000"/>
                <w:sz w:val="22"/>
                <w:szCs w:val="18"/>
              </w:rPr>
            </w:pPr>
            <w:r w:rsidRPr="00896778">
              <w:rPr>
                <w:color w:val="000000"/>
                <w:sz w:val="22"/>
                <w:szCs w:val="18"/>
              </w:rPr>
              <w:t>To assist</w:t>
            </w:r>
            <w:r w:rsidR="00AF4064" w:rsidRPr="00896778">
              <w:rPr>
                <w:color w:val="000000"/>
                <w:sz w:val="22"/>
                <w:szCs w:val="18"/>
              </w:rPr>
              <w:t xml:space="preserve"> participants better understand the role of respect in their relationships </w:t>
            </w:r>
            <w:r w:rsidRPr="00896778">
              <w:rPr>
                <w:color w:val="000000"/>
                <w:sz w:val="22"/>
                <w:szCs w:val="18"/>
              </w:rPr>
              <w:t>through the facilitation of the Tuning Into Respectful Relationships program</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896778" w:rsidRDefault="00AF4064" w:rsidP="00AF4064">
            <w:pPr>
              <w:autoSpaceDE w:val="0"/>
              <w:autoSpaceDN w:val="0"/>
              <w:adjustRightInd w:val="0"/>
              <w:rPr>
                <w:color w:val="000000"/>
                <w:sz w:val="22"/>
                <w:szCs w:val="18"/>
              </w:rPr>
            </w:pPr>
            <w:r w:rsidRPr="00896778">
              <w:rPr>
                <w:color w:val="000000"/>
                <w:sz w:val="22"/>
                <w:szCs w:val="18"/>
              </w:rPr>
              <w:t>To equip participants with tools to make and improve respectful relationships</w:t>
            </w:r>
            <w:r w:rsidR="006E3B77" w:rsidRPr="00896778">
              <w:rPr>
                <w:color w:val="000000"/>
                <w:sz w:val="22"/>
                <w:szCs w:val="18"/>
              </w:rPr>
              <w:t xml:space="preserve"> through the facilitation of the Tuning Into Respectful Relationships program</w:t>
            </w:r>
            <w:r w:rsidRPr="00896778">
              <w:rPr>
                <w:color w:val="000000"/>
                <w:sz w:val="22"/>
                <w:szCs w:val="18"/>
              </w:rPr>
              <w:t xml:space="preserve"> </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896778" w:rsidRDefault="006E3B77" w:rsidP="00AF4064">
            <w:pPr>
              <w:autoSpaceDE w:val="0"/>
              <w:autoSpaceDN w:val="0"/>
              <w:adjustRightInd w:val="0"/>
              <w:rPr>
                <w:sz w:val="22"/>
                <w:szCs w:val="22"/>
              </w:rPr>
            </w:pPr>
            <w:r w:rsidRPr="00896778">
              <w:rPr>
                <w:color w:val="000000"/>
                <w:sz w:val="22"/>
                <w:szCs w:val="18"/>
              </w:rPr>
              <w:t>To enable participants to identify and pursue personal development needs in relation to their own attitudes or behaviours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896778" w:rsidRDefault="00AF4064" w:rsidP="00AF4064">
            <w:pPr>
              <w:autoSpaceDE w:val="0"/>
              <w:autoSpaceDN w:val="0"/>
              <w:adjustRightInd w:val="0"/>
              <w:rPr>
                <w:sz w:val="22"/>
                <w:szCs w:val="22"/>
              </w:rPr>
            </w:pPr>
            <w:r w:rsidRPr="00896778">
              <w:rPr>
                <w:color w:val="000000"/>
                <w:sz w:val="22"/>
                <w:szCs w:val="18"/>
              </w:rPr>
              <w:t xml:space="preserve">To provide a positive experience thus encouraging participants to seek and engage in further opportunities and programs for self-development. </w:t>
            </w:r>
          </w:p>
        </w:tc>
      </w:tr>
    </w:tbl>
    <w:p w:rsidR="0028037E" w:rsidRDefault="0028037E" w:rsidP="008A604A">
      <w:r>
        <w:br w:type="page"/>
      </w:r>
    </w:p>
    <w:p w:rsidR="00A82496" w:rsidRDefault="00052AFF" w:rsidP="006B32A0"/>
    <w:p w:rsidR="00386E9B" w:rsidRDefault="00386E9B" w:rsidP="006B32A0"/>
    <w:p w:rsidR="00386E9B" w:rsidRDefault="00386E9B" w:rsidP="006B32A0"/>
    <w:p w:rsidR="00386E9B" w:rsidRDefault="00386E9B" w:rsidP="006B32A0"/>
    <w:p w:rsidR="00F24EE7" w:rsidRPr="00F82672" w:rsidRDefault="00386E9B" w:rsidP="00F82672">
      <w:pPr>
        <w:rPr>
          <w:b/>
          <w:sz w:val="32"/>
          <w:szCs w:val="32"/>
        </w:rPr>
      </w:pPr>
      <w:r w:rsidRPr="00361E1E">
        <w:rPr>
          <w:b/>
          <w:sz w:val="32"/>
          <w:szCs w:val="32"/>
        </w:rPr>
        <w:t xml:space="preserve">Key responsibilities </w:t>
      </w: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E3B77" w:rsidP="00AF4064">
            <w:pPr>
              <w:rPr>
                <w:sz w:val="22"/>
                <w:szCs w:val="22"/>
              </w:rPr>
            </w:pPr>
            <w:r>
              <w:rPr>
                <w:sz w:val="22"/>
                <w:szCs w:val="22"/>
              </w:rPr>
              <w:t>Deliver effective group facilitation in line with the Tuning Into Respectful Relationships Program Manual</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E3B77" w:rsidP="00C07E6D">
            <w:pPr>
              <w:rPr>
                <w:sz w:val="22"/>
                <w:szCs w:val="22"/>
              </w:rPr>
            </w:pPr>
            <w:r>
              <w:rPr>
                <w:sz w:val="22"/>
                <w:szCs w:val="22"/>
              </w:rPr>
              <w:t>Maintain a solutions focused, strengths based approach to program delivery within a trauma informed practice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E3B77" w:rsidP="006D21E9">
            <w:pPr>
              <w:rPr>
                <w:sz w:val="22"/>
                <w:szCs w:val="22"/>
              </w:rPr>
            </w:pPr>
            <w:r>
              <w:rPr>
                <w:sz w:val="22"/>
                <w:szCs w:val="22"/>
              </w:rPr>
              <w:t>Adapt course content as required to meet the diverse needs of group participants</w:t>
            </w:r>
            <w:r w:rsidR="006D21E9">
              <w:rPr>
                <w:sz w:val="22"/>
                <w:szCs w:val="22"/>
              </w:rPr>
              <w:t xml:space="preserve"> and have a solid gender based understanding of family violence </w:t>
            </w:r>
          </w:p>
        </w:tc>
      </w:tr>
      <w:tr w:rsidR="00AF4064" w:rsidRPr="001E5751" w:rsidTr="00361E1E">
        <w:tc>
          <w:tcPr>
            <w:tcW w:w="846" w:type="dxa"/>
            <w:shd w:val="clear" w:color="auto" w:fill="A097C3"/>
          </w:tcPr>
          <w:p w:rsidR="00AF4064" w:rsidRPr="00361E1E" w:rsidRDefault="00AF4064" w:rsidP="00AF4064">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F4064" w:rsidRPr="00361E1E" w:rsidRDefault="006E3B77" w:rsidP="00AF4064">
            <w:pPr>
              <w:rPr>
                <w:sz w:val="22"/>
                <w:szCs w:val="22"/>
              </w:rPr>
            </w:pPr>
            <w:r>
              <w:rPr>
                <w:sz w:val="22"/>
                <w:szCs w:val="22"/>
              </w:rPr>
              <w:t>Build and maintain positive working relationships with</w:t>
            </w:r>
            <w:r>
              <w:rPr>
                <w:rFonts w:ascii="VIC" w:hAnsi="VIC" w:cs="VIC"/>
                <w:color w:val="000000"/>
                <w:sz w:val="18"/>
                <w:szCs w:val="18"/>
              </w:rPr>
              <w:t xml:space="preserve"> </w:t>
            </w:r>
            <w:r w:rsidRPr="00291CCF">
              <w:rPr>
                <w:rFonts w:ascii="VIC" w:hAnsi="VIC" w:cs="VIC"/>
                <w:color w:val="000000"/>
                <w:sz w:val="22"/>
                <w:szCs w:val="18"/>
              </w:rPr>
              <w:t xml:space="preserve">prison </w:t>
            </w:r>
            <w:r w:rsidR="0005696E">
              <w:rPr>
                <w:rFonts w:ascii="VIC" w:hAnsi="VIC" w:cs="VIC"/>
                <w:color w:val="000000"/>
                <w:sz w:val="22"/>
                <w:szCs w:val="18"/>
              </w:rPr>
              <w:t>staff,</w:t>
            </w:r>
            <w:r w:rsidR="006D21E9">
              <w:rPr>
                <w:rFonts w:ascii="VIC" w:hAnsi="VIC" w:cs="VIC"/>
                <w:color w:val="000000"/>
                <w:sz w:val="22"/>
                <w:szCs w:val="18"/>
              </w:rPr>
              <w:t xml:space="preserve"> inmates </w:t>
            </w:r>
            <w:r w:rsidRPr="00291CCF">
              <w:rPr>
                <w:rFonts w:ascii="VIC" w:hAnsi="VIC" w:cs="VIC"/>
                <w:color w:val="000000"/>
                <w:sz w:val="22"/>
                <w:szCs w:val="18"/>
              </w:rPr>
              <w:t>and Corrections Victoria staff</w:t>
            </w:r>
          </w:p>
        </w:tc>
      </w:tr>
      <w:tr w:rsidR="00AF4064" w:rsidRPr="001E5751" w:rsidTr="00361E1E">
        <w:tc>
          <w:tcPr>
            <w:tcW w:w="846" w:type="dxa"/>
            <w:shd w:val="clear" w:color="auto" w:fill="A097C3"/>
          </w:tcPr>
          <w:p w:rsidR="00AF4064" w:rsidRPr="00361E1E" w:rsidRDefault="00AF4064" w:rsidP="00AF4064">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F4064" w:rsidRPr="00361E1E" w:rsidRDefault="0005696E" w:rsidP="00B63041">
            <w:pPr>
              <w:rPr>
                <w:sz w:val="22"/>
                <w:szCs w:val="22"/>
              </w:rPr>
            </w:pPr>
            <w:r>
              <w:rPr>
                <w:sz w:val="22"/>
                <w:szCs w:val="22"/>
              </w:rPr>
              <w:t>Participate</w:t>
            </w:r>
            <w:r w:rsidR="00AF4064" w:rsidRPr="001551C1">
              <w:rPr>
                <w:sz w:val="22"/>
                <w:szCs w:val="22"/>
              </w:rPr>
              <w:t xml:space="preserve"> in regular </w:t>
            </w:r>
            <w:r>
              <w:rPr>
                <w:sz w:val="22"/>
                <w:szCs w:val="22"/>
              </w:rPr>
              <w:t>supervision</w:t>
            </w:r>
          </w:p>
        </w:tc>
      </w:tr>
      <w:tr w:rsidR="00AF4064" w:rsidRPr="001E5751" w:rsidTr="00361E1E">
        <w:tc>
          <w:tcPr>
            <w:tcW w:w="846" w:type="dxa"/>
            <w:shd w:val="clear" w:color="auto" w:fill="A097C3"/>
          </w:tcPr>
          <w:p w:rsidR="00AF4064" w:rsidRPr="00361E1E" w:rsidRDefault="00AF4064" w:rsidP="00AF4064">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F4064" w:rsidRPr="00361E1E" w:rsidRDefault="006D21E9" w:rsidP="0005696E">
            <w:r>
              <w:rPr>
                <w:sz w:val="22"/>
                <w:szCs w:val="22"/>
              </w:rPr>
              <w:t>Travel to and from metropolitan and regional prisons and an ability t</w:t>
            </w:r>
            <w:r w:rsidR="0005696E">
              <w:rPr>
                <w:sz w:val="22"/>
                <w:szCs w:val="22"/>
              </w:rPr>
              <w:t>o do overnight stays regionally.</w:t>
            </w:r>
            <w:r w:rsidR="00AF4064" w:rsidRPr="008F52C0">
              <w:rPr>
                <w:sz w:val="22"/>
                <w:szCs w:val="22"/>
              </w:rPr>
              <w:t xml:space="preserve"> </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776" w:type="dxa"/>
        <w:tblLayout w:type="fixed"/>
        <w:tblCellMar>
          <w:top w:w="284" w:type="dxa"/>
          <w:bottom w:w="284" w:type="dxa"/>
        </w:tblCellMar>
        <w:tblLook w:val="04A0" w:firstRow="1" w:lastRow="0" w:firstColumn="1" w:lastColumn="0" w:noHBand="0" w:noVBand="1"/>
      </w:tblPr>
      <w:tblGrid>
        <w:gridCol w:w="2263"/>
        <w:gridCol w:w="7513"/>
      </w:tblGrid>
      <w:tr w:rsidR="007D300E" w:rsidRPr="00A93EFB" w:rsidTr="0073699A">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602B984" wp14:editId="7193D30B">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73699A">
            <w:pPr>
              <w:rPr>
                <w:b/>
                <w:color w:val="FFFFFF" w:themeColor="background1"/>
              </w:rPr>
            </w:pPr>
          </w:p>
        </w:tc>
        <w:tc>
          <w:tcPr>
            <w:tcW w:w="7513" w:type="dxa"/>
            <w:shd w:val="clear" w:color="auto" w:fill="D9E2F3" w:themeFill="accent5" w:themeFillTint="33"/>
          </w:tcPr>
          <w:p w:rsidR="007D300E" w:rsidRPr="005F4D12" w:rsidRDefault="005F4D12" w:rsidP="006D21E9">
            <w:pPr>
              <w:pStyle w:val="Default"/>
              <w:numPr>
                <w:ilvl w:val="0"/>
                <w:numId w:val="16"/>
              </w:numPr>
              <w:rPr>
                <w:color w:val="auto"/>
              </w:rPr>
            </w:pPr>
            <w:r w:rsidRPr="00D54A6C">
              <w:rPr>
                <w:color w:val="auto"/>
                <w:sz w:val="22"/>
                <w:szCs w:val="22"/>
              </w:rPr>
              <w:t xml:space="preserve">A relevant tertiary qualification in Social Work, Psychology, or related behavioural sciences at degree level with substantial experience; or associate diploma level with substantial experience in the relevant service stream, or less formal qualifications with specialised skills sufficient to perform at this level. </w:t>
            </w:r>
          </w:p>
        </w:tc>
      </w:tr>
      <w:tr w:rsidR="007D300E" w:rsidRPr="00A93EFB" w:rsidTr="0073699A">
        <w:tc>
          <w:tcPr>
            <w:tcW w:w="2263" w:type="dxa"/>
            <w:vMerge/>
            <w:shd w:val="clear" w:color="auto" w:fill="auto"/>
          </w:tcPr>
          <w:p w:rsidR="007D300E" w:rsidRPr="00A93EFB" w:rsidRDefault="007D300E" w:rsidP="004C2086">
            <w:pPr>
              <w:ind w:left="170"/>
              <w:rPr>
                <w:b/>
                <w:color w:val="FFFFFF" w:themeColor="background1"/>
              </w:rPr>
            </w:pPr>
            <w:bookmarkStart w:id="0" w:name="_GoBack" w:colFirst="1" w:colLast="1"/>
          </w:p>
        </w:tc>
        <w:tc>
          <w:tcPr>
            <w:tcW w:w="7513" w:type="dxa"/>
            <w:shd w:val="clear" w:color="auto" w:fill="D9E2F3" w:themeFill="accent5" w:themeFillTint="33"/>
          </w:tcPr>
          <w:p w:rsidR="007D300E" w:rsidRPr="005F4D12" w:rsidRDefault="005F4D12" w:rsidP="005F4D12">
            <w:pPr>
              <w:pStyle w:val="Default"/>
              <w:numPr>
                <w:ilvl w:val="0"/>
                <w:numId w:val="16"/>
              </w:numPr>
              <w:rPr>
                <w:sz w:val="22"/>
                <w:szCs w:val="22"/>
              </w:rPr>
            </w:pPr>
            <w:r w:rsidRPr="00D31E5C">
              <w:rPr>
                <w:sz w:val="22"/>
                <w:szCs w:val="22"/>
              </w:rPr>
              <w:t>Experience</w:t>
            </w:r>
            <w:r>
              <w:rPr>
                <w:sz w:val="22"/>
                <w:szCs w:val="22"/>
              </w:rPr>
              <w:t xml:space="preserve"> and knowledge</w:t>
            </w:r>
            <w:r w:rsidRPr="00D31E5C">
              <w:rPr>
                <w:sz w:val="22"/>
                <w:szCs w:val="22"/>
              </w:rPr>
              <w:t xml:space="preserve"> in</w:t>
            </w:r>
            <w:r w:rsidR="006D21E9">
              <w:rPr>
                <w:sz w:val="22"/>
                <w:szCs w:val="22"/>
              </w:rPr>
              <w:t xml:space="preserve"> adult</w:t>
            </w:r>
            <w:r w:rsidRPr="00D31E5C">
              <w:rPr>
                <w:sz w:val="22"/>
                <w:szCs w:val="22"/>
              </w:rPr>
              <w:t xml:space="preserve"> </w:t>
            </w:r>
            <w:r>
              <w:rPr>
                <w:sz w:val="22"/>
                <w:szCs w:val="22"/>
              </w:rPr>
              <w:t>group facilitation</w:t>
            </w:r>
            <w:r w:rsidR="006D21E9">
              <w:rPr>
                <w:sz w:val="22"/>
                <w:szCs w:val="22"/>
              </w:rPr>
              <w:t xml:space="preserve">, desired experience in </w:t>
            </w:r>
            <w:r w:rsidR="00264116">
              <w:rPr>
                <w:sz w:val="22"/>
                <w:szCs w:val="22"/>
              </w:rPr>
              <w:t>Men’s</w:t>
            </w:r>
            <w:r w:rsidR="006D21E9">
              <w:rPr>
                <w:sz w:val="22"/>
                <w:szCs w:val="22"/>
              </w:rPr>
              <w:t xml:space="preserve"> Behaviour Change Program delivery or family violence specific group delivery. </w:t>
            </w:r>
          </w:p>
        </w:tc>
      </w:tr>
      <w:tr w:rsidR="006D21E9" w:rsidRPr="00A93EFB" w:rsidTr="0073699A">
        <w:tc>
          <w:tcPr>
            <w:tcW w:w="2263" w:type="dxa"/>
            <w:vMerge/>
            <w:shd w:val="clear" w:color="auto" w:fill="auto"/>
          </w:tcPr>
          <w:p w:rsidR="006D21E9" w:rsidRPr="00A93EFB" w:rsidRDefault="006D21E9" w:rsidP="004C2086">
            <w:pPr>
              <w:ind w:left="170"/>
              <w:rPr>
                <w:b/>
                <w:color w:val="FFFFFF" w:themeColor="background1"/>
              </w:rPr>
            </w:pPr>
          </w:p>
        </w:tc>
        <w:tc>
          <w:tcPr>
            <w:tcW w:w="7513" w:type="dxa"/>
            <w:shd w:val="clear" w:color="auto" w:fill="D9E2F3" w:themeFill="accent5" w:themeFillTint="33"/>
          </w:tcPr>
          <w:p w:rsidR="006D21E9" w:rsidRPr="00D31E5C" w:rsidRDefault="006D21E9" w:rsidP="006D21E9">
            <w:pPr>
              <w:pStyle w:val="Default"/>
              <w:numPr>
                <w:ilvl w:val="0"/>
                <w:numId w:val="16"/>
              </w:numPr>
              <w:rPr>
                <w:sz w:val="22"/>
                <w:szCs w:val="22"/>
              </w:rPr>
            </w:pPr>
            <w:r>
              <w:rPr>
                <w:sz w:val="22"/>
                <w:szCs w:val="22"/>
              </w:rPr>
              <w:t xml:space="preserve">Hold a solid understanding of gender based Family Violence as well as an understanding of the prison system. In addition, show an ability to reflect on inter-relational challenges within these environments such as collusion.  </w:t>
            </w:r>
          </w:p>
        </w:tc>
      </w:tr>
      <w:tr w:rsidR="007D300E" w:rsidRPr="00A93EFB" w:rsidTr="0073699A">
        <w:tc>
          <w:tcPr>
            <w:tcW w:w="2263" w:type="dxa"/>
            <w:vMerge/>
            <w:shd w:val="clear" w:color="auto" w:fill="auto"/>
          </w:tcPr>
          <w:p w:rsidR="007D300E" w:rsidRPr="00A93EFB" w:rsidRDefault="007D300E" w:rsidP="004C2086">
            <w:pPr>
              <w:ind w:left="170"/>
              <w:rPr>
                <w:b/>
                <w:color w:val="FFFFFF" w:themeColor="background1"/>
              </w:rPr>
            </w:pPr>
          </w:p>
        </w:tc>
        <w:tc>
          <w:tcPr>
            <w:tcW w:w="7513" w:type="dxa"/>
            <w:shd w:val="clear" w:color="auto" w:fill="D9E2F3" w:themeFill="accent5" w:themeFillTint="33"/>
          </w:tcPr>
          <w:p w:rsidR="007D300E" w:rsidRPr="005F4D12" w:rsidRDefault="005F4D12" w:rsidP="005F4D12">
            <w:pPr>
              <w:pStyle w:val="Default"/>
              <w:numPr>
                <w:ilvl w:val="0"/>
                <w:numId w:val="16"/>
              </w:numPr>
            </w:pPr>
            <w:r w:rsidRPr="009912FE">
              <w:rPr>
                <w:sz w:val="22"/>
                <w:szCs w:val="22"/>
              </w:rPr>
              <w:t>Ability to establish working relationships with all key stakeholders that demonstrate respect and honest communication, particularly in relation to building partnerships and collaboration</w:t>
            </w:r>
          </w:p>
        </w:tc>
      </w:tr>
      <w:tr w:rsidR="006D21E9" w:rsidRPr="00A93EFB" w:rsidTr="0073699A">
        <w:tc>
          <w:tcPr>
            <w:tcW w:w="2263" w:type="dxa"/>
            <w:vMerge/>
            <w:shd w:val="clear" w:color="auto" w:fill="auto"/>
          </w:tcPr>
          <w:p w:rsidR="006D21E9" w:rsidRPr="00A93EFB" w:rsidRDefault="006D21E9" w:rsidP="004C2086">
            <w:pPr>
              <w:ind w:left="170"/>
              <w:rPr>
                <w:b/>
                <w:color w:val="FFFFFF" w:themeColor="background1"/>
              </w:rPr>
            </w:pPr>
          </w:p>
        </w:tc>
        <w:tc>
          <w:tcPr>
            <w:tcW w:w="7513" w:type="dxa"/>
            <w:shd w:val="clear" w:color="auto" w:fill="D9E2F3" w:themeFill="accent5" w:themeFillTint="33"/>
          </w:tcPr>
          <w:p w:rsidR="006D21E9" w:rsidRPr="009912FE" w:rsidRDefault="0001710D" w:rsidP="006D21E9">
            <w:pPr>
              <w:pStyle w:val="Default"/>
              <w:numPr>
                <w:ilvl w:val="0"/>
                <w:numId w:val="16"/>
              </w:numPr>
              <w:rPr>
                <w:sz w:val="22"/>
                <w:szCs w:val="22"/>
              </w:rPr>
            </w:pPr>
            <w:r>
              <w:rPr>
                <w:sz w:val="22"/>
                <w:szCs w:val="22"/>
              </w:rPr>
              <w:t xml:space="preserve">Flexibility of availability due to the rostering of group programs </w:t>
            </w:r>
          </w:p>
        </w:tc>
      </w:tr>
      <w:bookmarkEnd w:id="0"/>
      <w:tr w:rsidR="00B63041" w:rsidRPr="00A93EFB" w:rsidTr="0073699A">
        <w:trPr>
          <w:gridAfter w:val="1"/>
          <w:wAfter w:w="7513" w:type="dxa"/>
          <w:trHeight w:hRule="exact" w:val="608"/>
        </w:trPr>
        <w:tc>
          <w:tcPr>
            <w:tcW w:w="2263" w:type="dxa"/>
            <w:vMerge/>
            <w:shd w:val="clear" w:color="auto" w:fill="auto"/>
          </w:tcPr>
          <w:p w:rsidR="00B63041" w:rsidRPr="00A93EFB" w:rsidRDefault="00B63041" w:rsidP="004C2086">
            <w:pPr>
              <w:ind w:left="170"/>
              <w:rPr>
                <w:b/>
                <w:color w:val="FFFFFF" w:themeColor="background1"/>
              </w:rPr>
            </w:pPr>
          </w:p>
        </w:tc>
      </w:tr>
      <w:tr w:rsidR="006E3B77" w:rsidRPr="00A93EFB" w:rsidTr="00F82672">
        <w:trPr>
          <w:gridAfter w:val="1"/>
          <w:wAfter w:w="7513" w:type="dxa"/>
          <w:trHeight w:val="230"/>
        </w:trPr>
        <w:tc>
          <w:tcPr>
            <w:tcW w:w="2263" w:type="dxa"/>
            <w:vMerge/>
            <w:shd w:val="clear" w:color="auto" w:fill="auto"/>
          </w:tcPr>
          <w:p w:rsidR="006E3B77" w:rsidRPr="00A93EFB" w:rsidRDefault="006E3B77" w:rsidP="004C2086">
            <w:pPr>
              <w:ind w:left="170"/>
              <w:rPr>
                <w:b/>
                <w:color w:val="FFFFFF" w:themeColor="background1"/>
              </w:rPr>
            </w:pPr>
          </w:p>
        </w:tc>
      </w:tr>
    </w:tbl>
    <w:p w:rsidR="001E5751" w:rsidRDefault="001E5751" w:rsidP="006B32A0"/>
    <w:p w:rsidR="0073699A" w:rsidRDefault="0073699A" w:rsidP="0001710D"/>
    <w:p w:rsidR="0073699A" w:rsidRDefault="0073699A" w:rsidP="0001710D">
      <w:pPr>
        <w:rPr>
          <w:b/>
          <w:bCs/>
          <w:sz w:val="32"/>
          <w:szCs w:val="32"/>
        </w:rPr>
      </w:pPr>
    </w:p>
    <w:p w:rsidR="0073699A" w:rsidRDefault="0073699A" w:rsidP="0001710D">
      <w:pPr>
        <w:rPr>
          <w:b/>
          <w:bCs/>
          <w:sz w:val="32"/>
          <w:szCs w:val="32"/>
        </w:rPr>
      </w:pPr>
    </w:p>
    <w:p w:rsidR="00F82672" w:rsidRDefault="00F82672" w:rsidP="0001710D">
      <w:pPr>
        <w:rPr>
          <w:b/>
          <w:bCs/>
          <w:sz w:val="32"/>
          <w:szCs w:val="32"/>
        </w:rPr>
      </w:pPr>
    </w:p>
    <w:p w:rsidR="00F82672" w:rsidRDefault="00F82672" w:rsidP="0001710D">
      <w:pPr>
        <w:rPr>
          <w:b/>
          <w:bCs/>
          <w:sz w:val="32"/>
          <w:szCs w:val="32"/>
        </w:rPr>
      </w:pPr>
    </w:p>
    <w:p w:rsidR="00F82672" w:rsidRDefault="00F82672" w:rsidP="0001710D">
      <w:pPr>
        <w:rPr>
          <w:b/>
          <w:bCs/>
          <w:sz w:val="32"/>
          <w:szCs w:val="32"/>
        </w:rPr>
      </w:pPr>
    </w:p>
    <w:p w:rsidR="0001710D" w:rsidRDefault="0001710D" w:rsidP="0001710D">
      <w:pPr>
        <w:rPr>
          <w:rFonts w:ascii="Calibri" w:hAnsi="Calibri" w:cs="Calibri"/>
          <w:b/>
          <w:bCs/>
          <w:sz w:val="32"/>
          <w:szCs w:val="32"/>
        </w:rPr>
      </w:pPr>
      <w:r>
        <w:rPr>
          <w:b/>
          <w:bCs/>
          <w:sz w:val="32"/>
          <w:szCs w:val="32"/>
        </w:rPr>
        <w:t>Child Safety</w:t>
      </w:r>
    </w:p>
    <w:p w:rsidR="0001710D" w:rsidRDefault="0001710D" w:rsidP="0001710D">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01710D" w:rsidRDefault="0001710D" w:rsidP="0001710D">
      <w:pPr>
        <w:rPr>
          <w:b/>
          <w:sz w:val="32"/>
          <w:szCs w:val="32"/>
        </w:rPr>
      </w:pPr>
    </w:p>
    <w:p w:rsidR="0001710D" w:rsidRPr="0001710D" w:rsidRDefault="0001710D" w:rsidP="0001710D">
      <w:pPr>
        <w:rPr>
          <w:b/>
          <w:sz w:val="32"/>
          <w:szCs w:val="32"/>
        </w:rPr>
      </w:pPr>
      <w:r w:rsidRPr="00E745DE">
        <w:rPr>
          <w:b/>
          <w:sz w:val="32"/>
          <w:szCs w:val="32"/>
        </w:rPr>
        <w:t>Occupational health &amp; safety (</w:t>
      </w:r>
      <w:r>
        <w:rPr>
          <w:b/>
          <w:sz w:val="32"/>
          <w:szCs w:val="32"/>
        </w:rPr>
        <w:t>OHS</w:t>
      </w:r>
      <w:r w:rsidRPr="00E745DE">
        <w:rPr>
          <w:b/>
          <w:sz w:val="32"/>
          <w:szCs w:val="32"/>
        </w:rPr>
        <w:t>)</w:t>
      </w:r>
    </w:p>
    <w:p w:rsidR="0001710D" w:rsidRDefault="0001710D" w:rsidP="0001710D">
      <w:pPr>
        <w:spacing w:before="120" w:after="120"/>
        <w:rPr>
          <w:lang w:eastAsia="en-AU"/>
        </w:rPr>
      </w:pPr>
      <w:r>
        <w:rPr>
          <w:lang w:eastAsia="en-AU"/>
        </w:rPr>
        <w:t xml:space="preserve">Anglicare Victoria is committed to ensuring the health and safety of its employees and any other individuals present in our workplaces. </w:t>
      </w:r>
    </w:p>
    <w:p w:rsidR="0001710D" w:rsidRDefault="0001710D" w:rsidP="0001710D">
      <w:pPr>
        <w:spacing w:before="120" w:after="120"/>
        <w:rPr>
          <w:lang w:eastAsia="en-AU"/>
        </w:rPr>
      </w:pPr>
      <w:r>
        <w:rPr>
          <w:lang w:eastAsia="en-AU"/>
        </w:rPr>
        <w:t>In achieving and maintaining workplace health and safety, Anglicare Victoria will apply best practice in OHS in accordance with statutory obligations at all times.</w:t>
      </w:r>
    </w:p>
    <w:p w:rsidR="0001710D" w:rsidRDefault="0001710D" w:rsidP="0001710D">
      <w:pPr>
        <w:spacing w:before="120" w:after="120"/>
        <w:rPr>
          <w:lang w:eastAsia="en-AU"/>
        </w:rPr>
      </w:pPr>
      <w:r>
        <w:rPr>
          <w:lang w:eastAsia="en-AU"/>
        </w:rPr>
        <w:t>All Anglicare Victoria employees, contractors and volunteers are required to:</w:t>
      </w:r>
    </w:p>
    <w:p w:rsidR="0001710D" w:rsidRDefault="0001710D" w:rsidP="0001710D">
      <w:pPr>
        <w:numPr>
          <w:ilvl w:val="0"/>
          <w:numId w:val="18"/>
        </w:numPr>
        <w:spacing w:before="120" w:after="120" w:line="240" w:lineRule="auto"/>
        <w:rPr>
          <w:lang w:eastAsia="en-AU"/>
        </w:rPr>
      </w:pPr>
      <w:r>
        <w:rPr>
          <w:lang w:val="en-GB" w:eastAsia="en-AU"/>
        </w:rPr>
        <w:t>take reasonable care for their own health and safety and for that of others in the workplace by working in accordance with legislative requirements and the company’s OHS policies and procedures</w:t>
      </w:r>
    </w:p>
    <w:p w:rsidR="0001710D" w:rsidRDefault="0001710D" w:rsidP="0001710D">
      <w:pPr>
        <w:numPr>
          <w:ilvl w:val="0"/>
          <w:numId w:val="18"/>
        </w:numPr>
        <w:spacing w:before="120" w:after="120" w:line="240" w:lineRule="auto"/>
        <w:rPr>
          <w:lang w:eastAsia="en-AU"/>
        </w:rPr>
      </w:pPr>
      <w:r>
        <w:rPr>
          <w:lang w:eastAsia="en-AU"/>
        </w:rPr>
        <w:t>take reasonable care their actions or omissions do not adversely affect the health and safety of themselves and others</w:t>
      </w:r>
    </w:p>
    <w:p w:rsidR="0001710D" w:rsidRDefault="0001710D" w:rsidP="0001710D">
      <w:pPr>
        <w:numPr>
          <w:ilvl w:val="0"/>
          <w:numId w:val="18"/>
        </w:numPr>
        <w:spacing w:before="120" w:after="120" w:line="240" w:lineRule="auto"/>
        <w:rPr>
          <w:lang w:eastAsia="en-AU"/>
        </w:rPr>
      </w:pPr>
      <w:r>
        <w:rPr>
          <w:lang w:eastAsia="en-AU"/>
        </w:rPr>
        <w:t>cooperate with any reasonable directions, policies and procedures relating to health and safety in the workplace</w:t>
      </w:r>
    </w:p>
    <w:p w:rsidR="0001710D" w:rsidRDefault="0001710D" w:rsidP="0001710D">
      <w:pPr>
        <w:numPr>
          <w:ilvl w:val="0"/>
          <w:numId w:val="18"/>
        </w:numPr>
        <w:spacing w:before="120" w:after="120" w:line="240" w:lineRule="auto"/>
        <w:rPr>
          <w:lang w:eastAsia="en-AU"/>
        </w:rPr>
      </w:pPr>
      <w:r>
        <w:rPr>
          <w:lang w:eastAsia="en-AU"/>
        </w:rPr>
        <w:t>report all injuries, illness or ‘near misses’ to their Supervisor or Manager</w:t>
      </w:r>
    </w:p>
    <w:p w:rsidR="0001710D" w:rsidRDefault="0001710D" w:rsidP="0001710D">
      <w:pPr>
        <w:numPr>
          <w:ilvl w:val="0"/>
          <w:numId w:val="18"/>
        </w:numPr>
        <w:spacing w:before="120" w:after="120" w:line="240" w:lineRule="auto"/>
        <w:rPr>
          <w:lang w:eastAsia="en-AU"/>
        </w:rPr>
      </w:pPr>
      <w:r>
        <w:rPr>
          <w:lang w:eastAsia="en-AU"/>
        </w:rPr>
        <w:t xml:space="preserve">participate in relevant health and safety training based on roles and responsibilities </w:t>
      </w:r>
    </w:p>
    <w:p w:rsidR="0001710D" w:rsidRDefault="0001710D" w:rsidP="0001710D">
      <w:pPr>
        <w:numPr>
          <w:ilvl w:val="0"/>
          <w:numId w:val="18"/>
        </w:numPr>
        <w:spacing w:before="120" w:after="120" w:line="240" w:lineRule="auto"/>
        <w:rPr>
          <w:lang w:eastAsia="en-AU"/>
        </w:rPr>
      </w:pPr>
      <w:r>
        <w:rPr>
          <w:lang w:eastAsia="en-AU"/>
        </w:rPr>
        <w:t>as required, participate in the development and implementation of specific OHS hazard and risk management strategies</w:t>
      </w:r>
    </w:p>
    <w:p w:rsidR="0001710D" w:rsidRDefault="0001710D" w:rsidP="0001710D">
      <w:pPr>
        <w:rPr>
          <w:b/>
          <w:bCs/>
          <w:sz w:val="32"/>
          <w:szCs w:val="32"/>
        </w:rPr>
      </w:pPr>
      <w:r>
        <w:rPr>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1710D" w:rsidRDefault="0001710D" w:rsidP="0001710D">
      <w:pPr>
        <w:rPr>
          <w:b/>
          <w:bCs/>
          <w:sz w:val="32"/>
          <w:szCs w:val="32"/>
        </w:rPr>
      </w:pPr>
      <w:r>
        <w:rPr>
          <w:b/>
          <w:bCs/>
          <w:sz w:val="32"/>
          <w:szCs w:val="32"/>
        </w:rPr>
        <w:br/>
        <w:t>Cultural Safety in the Workplace</w:t>
      </w:r>
    </w:p>
    <w:p w:rsidR="0001710D" w:rsidRDefault="0001710D" w:rsidP="0001710D">
      <w:r>
        <w:t>Anglicare Victoria recognizes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01710D" w:rsidRDefault="0001710D" w:rsidP="0001710D"/>
    <w:p w:rsidR="0001710D" w:rsidRDefault="0001710D" w:rsidP="0001710D"/>
    <w:p w:rsidR="0001710D" w:rsidRDefault="0001710D" w:rsidP="0001710D"/>
    <w:p w:rsidR="0001710D" w:rsidRDefault="0001710D" w:rsidP="0001710D"/>
    <w:p w:rsidR="0001710D" w:rsidRDefault="0001710D" w:rsidP="0001710D"/>
    <w:p w:rsidR="0001710D" w:rsidRDefault="0001710D" w:rsidP="0001710D">
      <w:pPr>
        <w:rPr>
          <w:b/>
          <w:bCs/>
          <w:sz w:val="32"/>
          <w:szCs w:val="32"/>
        </w:rPr>
      </w:pPr>
      <w:r>
        <w:t>Our Reconciliation Action Plan (RAP) and Workforce Strategy outlines Anglicare Victoria’s commitment to leading and facilitating sustainable employment, training, retention and career development opportunities for Aboriginal and Torres Strait Islanders people</w:t>
      </w:r>
    </w:p>
    <w:p w:rsidR="0001710D" w:rsidRDefault="0001710D" w:rsidP="0001710D">
      <w:pPr>
        <w:rPr>
          <w:b/>
          <w:bCs/>
          <w:sz w:val="32"/>
          <w:szCs w:val="32"/>
        </w:rPr>
      </w:pPr>
      <w:r>
        <w:rPr>
          <w:b/>
          <w:bCs/>
          <w:sz w:val="32"/>
          <w:szCs w:val="32"/>
        </w:rPr>
        <w:t>Conditions of employment</w:t>
      </w:r>
    </w:p>
    <w:p w:rsidR="0001710D" w:rsidRDefault="0001710D" w:rsidP="0001710D">
      <w:pPr>
        <w:numPr>
          <w:ilvl w:val="0"/>
          <w:numId w:val="19"/>
        </w:numPr>
        <w:spacing w:before="120" w:after="120" w:line="240" w:lineRule="auto"/>
        <w:jc w:val="both"/>
      </w:pPr>
      <w:r>
        <w:t xml:space="preserve">Salary and conditions are in accordance with the </w:t>
      </w:r>
      <w:sdt>
        <w:sdtPr>
          <w:rPr>
            <w:rStyle w:val="Style21"/>
          </w:rPr>
          <w:id w:val="-1730837415"/>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Style21"/>
          </w:rPr>
        </w:sdtEndPr>
        <w:sdtContent>
          <w:r>
            <w:rPr>
              <w:rStyle w:val="Style21"/>
            </w:rPr>
            <w:t>Social, Community, Home Care and Disability Services Industry Award (SCHADS) 2010</w:t>
          </w:r>
        </w:sdtContent>
      </w:sdt>
      <w:r>
        <w:t xml:space="preserve">. </w:t>
      </w:r>
      <w:r>
        <w:rPr>
          <w:rStyle w:val="PlaceholderText"/>
          <w:color w:val="000000"/>
        </w:rPr>
        <w:t> </w:t>
      </w:r>
      <w:r>
        <w:t>Salary packaging is offered with this position.</w:t>
      </w:r>
    </w:p>
    <w:p w:rsidR="0001710D" w:rsidRDefault="0001710D" w:rsidP="0001710D">
      <w:pPr>
        <w:numPr>
          <w:ilvl w:val="0"/>
          <w:numId w:val="19"/>
        </w:numPr>
        <w:spacing w:before="120" w:after="120" w:line="240" w:lineRule="auto"/>
        <w:jc w:val="both"/>
      </w:pPr>
      <w:r>
        <w:t>All offers of employment at Anglicare Victoria are subject to a six month probationary period. The staff member will be asked to participate in an annual performance review linked to objectives set out for the position.</w:t>
      </w:r>
    </w:p>
    <w:p w:rsidR="0001710D" w:rsidRDefault="0001710D" w:rsidP="0001710D">
      <w:pPr>
        <w:numPr>
          <w:ilvl w:val="0"/>
          <w:numId w:val="19"/>
        </w:numPr>
        <w:spacing w:before="120" w:after="120" w:line="240" w:lineRule="auto"/>
        <w:jc w:val="both"/>
      </w:pPr>
      <w:r>
        <w:t>All offers of employment are subject to a satisfactory Criminal History Check and an Employment Working with Children Check prior to commencement.</w:t>
      </w:r>
    </w:p>
    <w:p w:rsidR="0001710D" w:rsidRDefault="0001710D" w:rsidP="0001710D">
      <w:pPr>
        <w:pStyle w:val="ListParagraph"/>
        <w:numPr>
          <w:ilvl w:val="0"/>
          <w:numId w:val="19"/>
        </w:numPr>
        <w:spacing w:line="252" w:lineRule="auto"/>
        <w:ind w:left="357" w:hanging="357"/>
      </w:pPr>
      <w:r>
        <w:t>A current Victorian Driver’s license is essential.</w:t>
      </w:r>
    </w:p>
    <w:p w:rsidR="0001710D" w:rsidRDefault="0001710D" w:rsidP="0001710D">
      <w:pPr>
        <w:pStyle w:val="ListParagraph"/>
        <w:numPr>
          <w:ilvl w:val="0"/>
          <w:numId w:val="19"/>
        </w:numPr>
        <w:spacing w:line="252" w:lineRule="auto"/>
      </w:pPr>
      <w:r>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01710D" w:rsidRDefault="0001710D" w:rsidP="0001710D">
      <w:pPr>
        <w:spacing w:before="240" w:after="120"/>
        <w:rPr>
          <w:b/>
          <w:bCs/>
          <w:sz w:val="32"/>
          <w:szCs w:val="32"/>
          <w:lang w:val="en-AU"/>
        </w:rPr>
      </w:pPr>
      <w:r>
        <w:rPr>
          <w:b/>
          <w:bCs/>
          <w:sz w:val="32"/>
          <w:szCs w:val="32"/>
        </w:rPr>
        <w:t>Acceptance of Position Description requirements</w:t>
      </w:r>
    </w:p>
    <w:p w:rsidR="0001710D" w:rsidRDefault="0001710D" w:rsidP="0001710D">
      <w:pPr>
        <w:spacing w:before="120" w:after="120"/>
        <w:rPr>
          <w:lang w:eastAsia="en-AU"/>
        </w:rPr>
      </w:pPr>
    </w:p>
    <w:p w:rsidR="0001710D" w:rsidRDefault="0001710D" w:rsidP="0001710D">
      <w:pPr>
        <w:spacing w:before="120" w:after="120"/>
        <w:rPr>
          <w:lang w:eastAsia="en-AU"/>
        </w:rPr>
      </w:pPr>
      <w:r>
        <w:rPr>
          <w:lang w:eastAsia="en-AU"/>
        </w:rPr>
        <w:t>To be signed upon appointment</w:t>
      </w:r>
    </w:p>
    <w:p w:rsidR="0001710D" w:rsidRDefault="0001710D" w:rsidP="0001710D">
      <w:pPr>
        <w:spacing w:before="120" w:after="120"/>
        <w:rPr>
          <w:b/>
          <w:bCs/>
          <w:u w:val="single"/>
          <w:lang w:eastAsia="en-AU"/>
        </w:rPr>
      </w:pPr>
    </w:p>
    <w:p w:rsidR="0001710D" w:rsidRDefault="0001710D" w:rsidP="0001710D">
      <w:pPr>
        <w:spacing w:before="120" w:after="120"/>
        <w:rPr>
          <w:b/>
          <w:bCs/>
          <w:u w:val="single"/>
          <w:lang w:eastAsia="en-AU"/>
        </w:rPr>
      </w:pPr>
      <w:r>
        <w:rPr>
          <w:b/>
          <w:bCs/>
          <w:u w:val="single"/>
          <w:lang w:eastAsia="en-AU"/>
        </w:rPr>
        <w:t>Employee</w:t>
      </w:r>
    </w:p>
    <w:tbl>
      <w:tblPr>
        <w:tblW w:w="0" w:type="auto"/>
        <w:tblCellMar>
          <w:left w:w="0" w:type="dxa"/>
          <w:right w:w="0" w:type="dxa"/>
        </w:tblCellMar>
        <w:tblLook w:val="04A0" w:firstRow="1" w:lastRow="0" w:firstColumn="1" w:lastColumn="0" w:noHBand="0" w:noVBand="1"/>
      </w:tblPr>
      <w:tblGrid>
        <w:gridCol w:w="1384"/>
        <w:gridCol w:w="6379"/>
      </w:tblGrid>
      <w:tr w:rsidR="0001710D" w:rsidTr="0001710D">
        <w:tc>
          <w:tcPr>
            <w:tcW w:w="1384" w:type="dxa"/>
            <w:tcMar>
              <w:top w:w="0" w:type="dxa"/>
              <w:left w:w="108" w:type="dxa"/>
              <w:bottom w:w="0" w:type="dxa"/>
              <w:right w:w="108" w:type="dxa"/>
            </w:tcMar>
            <w:hideMark/>
          </w:tcPr>
          <w:p w:rsidR="0001710D" w:rsidRDefault="0001710D">
            <w:pPr>
              <w:spacing w:before="120" w:after="120"/>
              <w:ind w:right="-142"/>
              <w:rPr>
                <w:lang w:eastAsia="en-AU"/>
              </w:rPr>
            </w:pPr>
            <w:r>
              <w:rPr>
                <w:lang w:eastAsia="en-AU"/>
              </w:rPr>
              <w:t>Name:</w:t>
            </w:r>
          </w:p>
        </w:tc>
        <w:tc>
          <w:tcPr>
            <w:tcW w:w="6379" w:type="dxa"/>
            <w:tcBorders>
              <w:top w:val="nil"/>
              <w:left w:val="nil"/>
              <w:bottom w:val="single" w:sz="8" w:space="0" w:color="auto"/>
              <w:right w:val="nil"/>
            </w:tcBorders>
            <w:tcMar>
              <w:top w:w="0" w:type="dxa"/>
              <w:left w:w="108" w:type="dxa"/>
              <w:bottom w:w="0" w:type="dxa"/>
              <w:right w:w="108" w:type="dxa"/>
            </w:tcMar>
          </w:tcPr>
          <w:p w:rsidR="0001710D" w:rsidRDefault="0001710D">
            <w:pPr>
              <w:spacing w:before="120" w:after="120"/>
              <w:ind w:right="-142"/>
              <w:rPr>
                <w:lang w:eastAsia="en-AU"/>
              </w:rPr>
            </w:pPr>
          </w:p>
        </w:tc>
      </w:tr>
      <w:tr w:rsidR="0001710D" w:rsidTr="0001710D">
        <w:tc>
          <w:tcPr>
            <w:tcW w:w="1384" w:type="dxa"/>
            <w:tcMar>
              <w:top w:w="0" w:type="dxa"/>
              <w:left w:w="108" w:type="dxa"/>
              <w:bottom w:w="0" w:type="dxa"/>
              <w:right w:w="108" w:type="dxa"/>
            </w:tcMar>
            <w:hideMark/>
          </w:tcPr>
          <w:p w:rsidR="0001710D" w:rsidRDefault="0001710D">
            <w:pPr>
              <w:spacing w:before="120" w:after="120"/>
              <w:ind w:right="-142"/>
              <w:rPr>
                <w:lang w:eastAsia="en-AU"/>
              </w:rPr>
            </w:pPr>
            <w:r>
              <w:rPr>
                <w:lang w:eastAsia="en-AU"/>
              </w:rPr>
              <w:t>Signature:</w:t>
            </w:r>
          </w:p>
        </w:tc>
        <w:tc>
          <w:tcPr>
            <w:tcW w:w="6379" w:type="dxa"/>
            <w:tcBorders>
              <w:top w:val="nil"/>
              <w:left w:val="nil"/>
              <w:bottom w:val="single" w:sz="8" w:space="0" w:color="auto"/>
              <w:right w:val="nil"/>
            </w:tcBorders>
            <w:tcMar>
              <w:top w:w="0" w:type="dxa"/>
              <w:left w:w="108" w:type="dxa"/>
              <w:bottom w:w="0" w:type="dxa"/>
              <w:right w:w="108" w:type="dxa"/>
            </w:tcMar>
          </w:tcPr>
          <w:p w:rsidR="0001710D" w:rsidRDefault="0001710D">
            <w:pPr>
              <w:spacing w:before="120" w:after="120"/>
              <w:ind w:right="-142"/>
              <w:rPr>
                <w:lang w:eastAsia="en-AU"/>
              </w:rPr>
            </w:pPr>
          </w:p>
        </w:tc>
      </w:tr>
      <w:tr w:rsidR="0001710D" w:rsidTr="0001710D">
        <w:tc>
          <w:tcPr>
            <w:tcW w:w="1384" w:type="dxa"/>
            <w:tcMar>
              <w:top w:w="0" w:type="dxa"/>
              <w:left w:w="108" w:type="dxa"/>
              <w:bottom w:w="0" w:type="dxa"/>
              <w:right w:w="108" w:type="dxa"/>
            </w:tcMar>
            <w:hideMark/>
          </w:tcPr>
          <w:p w:rsidR="0001710D" w:rsidRDefault="0001710D">
            <w:pPr>
              <w:spacing w:before="120" w:after="120"/>
              <w:ind w:right="-142"/>
              <w:rPr>
                <w:lang w:eastAsia="en-AU"/>
              </w:rPr>
            </w:pPr>
            <w:r>
              <w:rPr>
                <w:lang w:eastAsia="en-AU"/>
              </w:rPr>
              <w:t>Date:</w:t>
            </w:r>
          </w:p>
        </w:tc>
        <w:tc>
          <w:tcPr>
            <w:tcW w:w="6379" w:type="dxa"/>
            <w:tcBorders>
              <w:top w:val="nil"/>
              <w:left w:val="nil"/>
              <w:bottom w:val="single" w:sz="8" w:space="0" w:color="auto"/>
              <w:right w:val="nil"/>
            </w:tcBorders>
            <w:tcMar>
              <w:top w:w="0" w:type="dxa"/>
              <w:left w:w="108" w:type="dxa"/>
              <w:bottom w:w="0" w:type="dxa"/>
              <w:right w:w="108" w:type="dxa"/>
            </w:tcMar>
          </w:tcPr>
          <w:p w:rsidR="0001710D" w:rsidRDefault="0001710D">
            <w:pPr>
              <w:spacing w:before="120" w:after="120"/>
              <w:ind w:right="-142"/>
              <w:rPr>
                <w:lang w:eastAsia="en-AU"/>
              </w:rPr>
            </w:pPr>
          </w:p>
        </w:tc>
      </w:tr>
    </w:tbl>
    <w:p w:rsidR="0001710D" w:rsidRDefault="0001710D" w:rsidP="0001710D"/>
    <w:p w:rsidR="0001710D" w:rsidRPr="0001710D" w:rsidRDefault="0001710D" w:rsidP="0001710D"/>
    <w:sectPr w:rsidR="0001710D" w:rsidRPr="0001710D" w:rsidSect="00190CAF">
      <w:headerReference w:type="default" r:id="rId12"/>
      <w:head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FF" w:rsidRDefault="00052AFF" w:rsidP="006B32A0">
      <w:r>
        <w:separator/>
      </w:r>
    </w:p>
  </w:endnote>
  <w:endnote w:type="continuationSeparator" w:id="0">
    <w:p w:rsidR="00052AFF" w:rsidRDefault="00052AF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IC">
    <w:altName w:val="V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896778">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896778">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FF" w:rsidRDefault="00052AFF" w:rsidP="006B32A0">
      <w:r>
        <w:separator/>
      </w:r>
    </w:p>
  </w:footnote>
  <w:footnote w:type="continuationSeparator" w:id="0">
    <w:p w:rsidR="00052AFF" w:rsidRDefault="00052AF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A95F98"/>
    <w:multiLevelType w:val="hybridMultilevel"/>
    <w:tmpl w:val="7CD43932"/>
    <w:lvl w:ilvl="0" w:tplc="8A6A8656">
      <w:start w:val="1"/>
      <w:numFmt w:val="decimal"/>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8"/>
  </w:num>
  <w:num w:numId="6">
    <w:abstractNumId w:val="6"/>
  </w:num>
  <w:num w:numId="7">
    <w:abstractNumId w:val="3"/>
  </w:num>
  <w:num w:numId="8">
    <w:abstractNumId w:val="10"/>
  </w:num>
  <w:num w:numId="9">
    <w:abstractNumId w:val="16"/>
  </w:num>
  <w:num w:numId="10">
    <w:abstractNumId w:val="1"/>
  </w:num>
  <w:num w:numId="11">
    <w:abstractNumId w:val="15"/>
  </w:num>
  <w:num w:numId="12">
    <w:abstractNumId w:val="13"/>
  </w:num>
  <w:num w:numId="13">
    <w:abstractNumId w:val="12"/>
  </w:num>
  <w:num w:numId="14">
    <w:abstractNumId w:val="7"/>
  </w:num>
  <w:num w:numId="15">
    <w:abstractNumId w:val="5"/>
  </w:num>
  <w:num w:numId="16">
    <w:abstractNumId w:val="0"/>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710D"/>
    <w:rsid w:val="00052AFF"/>
    <w:rsid w:val="0005696E"/>
    <w:rsid w:val="000A1EBC"/>
    <w:rsid w:val="000D31D4"/>
    <w:rsid w:val="00156F6A"/>
    <w:rsid w:val="00177E46"/>
    <w:rsid w:val="001804BB"/>
    <w:rsid w:val="0018557A"/>
    <w:rsid w:val="00190CAF"/>
    <w:rsid w:val="001D4E63"/>
    <w:rsid w:val="001E4B7A"/>
    <w:rsid w:val="001E5751"/>
    <w:rsid w:val="00205B40"/>
    <w:rsid w:val="00220F16"/>
    <w:rsid w:val="00263749"/>
    <w:rsid w:val="00264116"/>
    <w:rsid w:val="0028037E"/>
    <w:rsid w:val="002E702E"/>
    <w:rsid w:val="00355205"/>
    <w:rsid w:val="00361E1E"/>
    <w:rsid w:val="00365C53"/>
    <w:rsid w:val="00386E9B"/>
    <w:rsid w:val="00400C65"/>
    <w:rsid w:val="00443C2E"/>
    <w:rsid w:val="00494A12"/>
    <w:rsid w:val="004B6E21"/>
    <w:rsid w:val="00551E81"/>
    <w:rsid w:val="005D7C0B"/>
    <w:rsid w:val="005F4D12"/>
    <w:rsid w:val="006837F3"/>
    <w:rsid w:val="006B32A0"/>
    <w:rsid w:val="006D21E9"/>
    <w:rsid w:val="006E3B77"/>
    <w:rsid w:val="006F468D"/>
    <w:rsid w:val="007124EE"/>
    <w:rsid w:val="0073699A"/>
    <w:rsid w:val="0076375F"/>
    <w:rsid w:val="00784905"/>
    <w:rsid w:val="007D1AEE"/>
    <w:rsid w:val="007D300E"/>
    <w:rsid w:val="008011C9"/>
    <w:rsid w:val="008415AC"/>
    <w:rsid w:val="00862979"/>
    <w:rsid w:val="00896778"/>
    <w:rsid w:val="008A604A"/>
    <w:rsid w:val="008E2D3D"/>
    <w:rsid w:val="008F7F3E"/>
    <w:rsid w:val="00917703"/>
    <w:rsid w:val="009A3161"/>
    <w:rsid w:val="00A642C2"/>
    <w:rsid w:val="00AF3D46"/>
    <w:rsid w:val="00AF4064"/>
    <w:rsid w:val="00B63041"/>
    <w:rsid w:val="00BE7417"/>
    <w:rsid w:val="00C07E6D"/>
    <w:rsid w:val="00C100D7"/>
    <w:rsid w:val="00C3428A"/>
    <w:rsid w:val="00C77E19"/>
    <w:rsid w:val="00C9460D"/>
    <w:rsid w:val="00C96E18"/>
    <w:rsid w:val="00CB0683"/>
    <w:rsid w:val="00D36691"/>
    <w:rsid w:val="00D5621E"/>
    <w:rsid w:val="00D73E17"/>
    <w:rsid w:val="00DD3CE6"/>
    <w:rsid w:val="00E77F6D"/>
    <w:rsid w:val="00F24EE7"/>
    <w:rsid w:val="00F25595"/>
    <w:rsid w:val="00F77C89"/>
    <w:rsid w:val="00F8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IC">
    <w:altName w:val="V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2A39F1"/>
    <w:rsid w:val="00600AD5"/>
    <w:rsid w:val="00847FCD"/>
    <w:rsid w:val="00A425F9"/>
    <w:rsid w:val="00BC21DC"/>
    <w:rsid w:val="00E60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3</cp:revision>
  <dcterms:created xsi:type="dcterms:W3CDTF">2022-06-23T23:59:00Z</dcterms:created>
  <dcterms:modified xsi:type="dcterms:W3CDTF">2022-06-24T00:06:00Z</dcterms:modified>
</cp:coreProperties>
</file>