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ED33A9">
        <w:tc>
          <w:tcPr>
            <w:tcW w:w="4699" w:type="dxa"/>
            <w:shd w:val="clear" w:color="auto" w:fill="00428B"/>
            <w:vAlign w:val="bottom"/>
          </w:tcPr>
          <w:p w:rsidR="00F3361C" w:rsidRPr="0001592E" w:rsidRDefault="00F3361C" w:rsidP="00946F5F">
            <w:pPr>
              <w:spacing w:before="120"/>
              <w:rPr>
                <w:b/>
                <w:szCs w:val="20"/>
              </w:rPr>
            </w:pPr>
            <w:bookmarkStart w:id="0" w:name="_GoBack"/>
            <w:bookmarkEnd w:id="0"/>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rsidTr="00ED33A9">
        <w:trPr>
          <w:trHeight w:val="751"/>
        </w:trPr>
        <w:tc>
          <w:tcPr>
            <w:tcW w:w="4699" w:type="dxa"/>
          </w:tcPr>
          <w:p w:rsidR="00F3361C" w:rsidRPr="0001592E" w:rsidRDefault="00ED33A9" w:rsidP="005A6B90">
            <w:pPr>
              <w:spacing w:before="120"/>
              <w:rPr>
                <w:szCs w:val="20"/>
              </w:rPr>
            </w:pPr>
            <w:r>
              <w:rPr>
                <w:rFonts w:eastAsia="Verdana" w:cs="Verdana"/>
              </w:rPr>
              <w:t>Area Lead – Catchment and Land</w:t>
            </w:r>
          </w:p>
        </w:tc>
        <w:tc>
          <w:tcPr>
            <w:tcW w:w="5496" w:type="dxa"/>
            <w:gridSpan w:val="2"/>
          </w:tcPr>
          <w:p w:rsidR="00F3361C" w:rsidRPr="0001592E" w:rsidRDefault="00ED33A9" w:rsidP="00946F5F">
            <w:pPr>
              <w:spacing w:before="120"/>
              <w:jc w:val="both"/>
              <w:rPr>
                <w:szCs w:val="20"/>
              </w:rPr>
            </w:pPr>
            <w:r>
              <w:rPr>
                <w:szCs w:val="20"/>
              </w:rPr>
              <w:t>None</w:t>
            </w:r>
          </w:p>
        </w:tc>
      </w:tr>
      <w:tr w:rsidR="0001592E" w:rsidRPr="0001592E" w:rsidTr="00ED33A9">
        <w:tc>
          <w:tcPr>
            <w:tcW w:w="10195" w:type="dxa"/>
            <w:gridSpan w:val="3"/>
            <w:shd w:val="clear" w:color="auto" w:fill="00428B"/>
          </w:tcPr>
          <w:p w:rsidR="00F3361C" w:rsidRPr="0001592E" w:rsidRDefault="00F3361C" w:rsidP="00946F5F">
            <w:pPr>
              <w:spacing w:before="120"/>
              <w:jc w:val="both"/>
              <w:rPr>
                <w:b/>
                <w:szCs w:val="20"/>
              </w:rPr>
            </w:pPr>
            <w:r w:rsidRPr="0001592E">
              <w:rPr>
                <w:b/>
                <w:szCs w:val="20"/>
              </w:rPr>
              <w:t>THIS ROLE EXISTS TO: (PURPOSE)</w:t>
            </w:r>
          </w:p>
        </w:tc>
      </w:tr>
      <w:tr w:rsidR="0001592E" w:rsidRPr="0001592E" w:rsidTr="00ED33A9">
        <w:trPr>
          <w:trHeight w:val="1131"/>
        </w:trPr>
        <w:tc>
          <w:tcPr>
            <w:tcW w:w="10195" w:type="dxa"/>
            <w:gridSpan w:val="3"/>
          </w:tcPr>
          <w:p w:rsidR="00F3361C" w:rsidRPr="0001592E" w:rsidRDefault="00ED33A9" w:rsidP="005B2428">
            <w:pPr>
              <w:tabs>
                <w:tab w:val="clear" w:pos="9639"/>
              </w:tabs>
              <w:spacing w:after="0"/>
              <w:textAlignment w:val="baseline"/>
              <w:rPr>
                <w:szCs w:val="20"/>
              </w:rPr>
            </w:pPr>
            <w:r w:rsidRPr="00ED33A9">
              <w:rPr>
                <w:rFonts w:eastAsia="Verdana" w:cs="Verdana"/>
                <w:szCs w:val="20"/>
              </w:rPr>
              <w:t xml:space="preserve">Reporting to Melbourne Water's Area Lead, Catchment and Land, the incumbent will manage the program to protect Melbourne’s water supply catchments from unauthorised entry and provide broader compliance and enforcement subject matter expertise at Melbourne Water. The incumbent will apply best practice asset management in the development of integrated 3-5 year rolling investment programs to manage the risk to Melbourne’s drinking water quality from unauthorised entry.    </w:t>
            </w:r>
          </w:p>
        </w:tc>
      </w:tr>
      <w:tr w:rsidR="0001592E" w:rsidRPr="0001592E" w:rsidTr="00ED33A9">
        <w:tc>
          <w:tcPr>
            <w:tcW w:w="10195" w:type="dxa"/>
            <w:gridSpan w:val="3"/>
            <w:shd w:val="clear" w:color="auto" w:fill="00428B"/>
          </w:tcPr>
          <w:p w:rsidR="00F3361C" w:rsidRPr="0001592E" w:rsidRDefault="00F3361C" w:rsidP="00946F5F">
            <w:pPr>
              <w:spacing w:before="120"/>
              <w:jc w:val="both"/>
              <w:rPr>
                <w:b/>
                <w:caps/>
                <w:szCs w:val="20"/>
              </w:rPr>
            </w:pPr>
            <w:r w:rsidRPr="0001592E">
              <w:rPr>
                <w:b/>
                <w:caps/>
                <w:szCs w:val="20"/>
              </w:rPr>
              <w:t>Key accountabilities:</w:t>
            </w:r>
          </w:p>
        </w:tc>
      </w:tr>
      <w:tr w:rsidR="0001592E" w:rsidRPr="0001592E" w:rsidTr="00ED33A9">
        <w:trPr>
          <w:trHeight w:val="2164"/>
        </w:trPr>
        <w:tc>
          <w:tcPr>
            <w:tcW w:w="10195" w:type="dxa"/>
            <w:gridSpan w:val="3"/>
          </w:tcPr>
          <w:p w:rsidR="00ED33A9" w:rsidRDefault="00ED33A9" w:rsidP="00ED33A9">
            <w:pPr>
              <w:spacing w:after="129"/>
            </w:pPr>
            <w:r>
              <w:rPr>
                <w:rFonts w:eastAsia="Verdana" w:cs="Verdana"/>
              </w:rPr>
              <w:t xml:space="preserve">The key responsibilities for this role include, but are not limited to: </w:t>
            </w:r>
          </w:p>
          <w:p w:rsidR="00ED33A9" w:rsidRDefault="00ED33A9" w:rsidP="00ED33A9">
            <w:pPr>
              <w:pStyle w:val="ListParagraph"/>
            </w:pPr>
            <w:r w:rsidRPr="00056053">
              <w:t xml:space="preserve">Manage, coordinate and plan activities relating to managing unauthorised entry to the water supply catchments </w:t>
            </w:r>
            <w:r w:rsidRPr="00056053">
              <w:rPr>
                <w:rFonts w:eastAsia="Verdana"/>
              </w:rPr>
              <w:t xml:space="preserve">including exclusion fencing, </w:t>
            </w:r>
            <w:r>
              <w:rPr>
                <w:rFonts w:eastAsia="Verdana"/>
              </w:rPr>
              <w:t xml:space="preserve">gates and locks, </w:t>
            </w:r>
            <w:r w:rsidRPr="00056053">
              <w:rPr>
                <w:rFonts w:eastAsia="Verdana"/>
              </w:rPr>
              <w:t xml:space="preserve">surveillance, security patrolling, </w:t>
            </w:r>
            <w:r>
              <w:rPr>
                <w:rFonts w:eastAsia="Verdana"/>
              </w:rPr>
              <w:t xml:space="preserve">education </w:t>
            </w:r>
            <w:r w:rsidRPr="00056053">
              <w:rPr>
                <w:rFonts w:eastAsia="Verdana"/>
              </w:rPr>
              <w:t>and enforcement activities.</w:t>
            </w:r>
          </w:p>
          <w:p w:rsidR="00ED33A9" w:rsidRPr="000D1CA8" w:rsidRDefault="00ED33A9" w:rsidP="00ED33A9">
            <w:pPr>
              <w:pStyle w:val="ListParagraph"/>
            </w:pPr>
            <w:r>
              <w:rPr>
                <w:rFonts w:eastAsia="Verdana"/>
              </w:rPr>
              <w:t>Develop</w:t>
            </w:r>
            <w:r w:rsidRPr="0056372E">
              <w:rPr>
                <w:rFonts w:eastAsia="Verdana"/>
              </w:rPr>
              <w:t xml:space="preserve">, </w:t>
            </w:r>
            <w:r>
              <w:rPr>
                <w:rFonts w:eastAsia="Verdana"/>
              </w:rPr>
              <w:t xml:space="preserve">implement and maintain </w:t>
            </w:r>
            <w:r w:rsidRPr="0056372E">
              <w:rPr>
                <w:rFonts w:eastAsia="Verdana"/>
              </w:rPr>
              <w:t xml:space="preserve">policies, standards and procedures that will </w:t>
            </w:r>
            <w:r>
              <w:rPr>
                <w:rFonts w:eastAsia="Verdana"/>
              </w:rPr>
              <w:t>support the management of unauthorised entry to the catchments</w:t>
            </w:r>
          </w:p>
          <w:p w:rsidR="00ED33A9" w:rsidRPr="00056053" w:rsidRDefault="00ED33A9" w:rsidP="00ED33A9">
            <w:pPr>
              <w:pStyle w:val="ListParagraph"/>
            </w:pPr>
            <w:r>
              <w:rPr>
                <w:rFonts w:eastAsia="Verdana"/>
              </w:rPr>
              <w:t>Establish and maintain relationships with key land managers of the water supply catchments – Department of Environment, Water, Land and Planning (including the Office of the Conservation Regulator) and Parks Victoria.</w:t>
            </w:r>
          </w:p>
          <w:p w:rsidR="00ED33A9" w:rsidRPr="00AC53BE" w:rsidRDefault="00ED33A9" w:rsidP="00ED33A9">
            <w:pPr>
              <w:pStyle w:val="ListParagraph"/>
            </w:pPr>
            <w:r w:rsidRPr="00056053">
              <w:rPr>
                <w:rFonts w:eastAsia="Verdana"/>
              </w:rPr>
              <w:t xml:space="preserve">Establish policy and guidance for </w:t>
            </w:r>
            <w:r>
              <w:rPr>
                <w:rFonts w:eastAsia="Verdana"/>
              </w:rPr>
              <w:t xml:space="preserve">education, </w:t>
            </w:r>
            <w:r w:rsidRPr="00056053">
              <w:rPr>
                <w:rFonts w:eastAsia="Verdana"/>
              </w:rPr>
              <w:t xml:space="preserve">compliance and enforcement activities relating to </w:t>
            </w:r>
            <w:r>
              <w:rPr>
                <w:rFonts w:eastAsia="Verdana"/>
              </w:rPr>
              <w:t xml:space="preserve">Melbourne Water’s By-Law 1 and </w:t>
            </w:r>
            <w:r w:rsidRPr="00056053">
              <w:rPr>
                <w:rFonts w:eastAsia="Verdana"/>
              </w:rPr>
              <w:t>unauthorised entry into the water supply catchments</w:t>
            </w:r>
            <w:r>
              <w:rPr>
                <w:rFonts w:eastAsia="Verdana"/>
              </w:rPr>
              <w:t>.</w:t>
            </w:r>
            <w:r w:rsidRPr="00056053">
              <w:rPr>
                <w:rFonts w:eastAsia="Verdana"/>
              </w:rPr>
              <w:t xml:space="preserve"> </w:t>
            </w:r>
          </w:p>
          <w:p w:rsidR="00ED33A9" w:rsidRPr="000D1CA8" w:rsidRDefault="00ED33A9" w:rsidP="00ED33A9">
            <w:pPr>
              <w:pStyle w:val="ListParagraph"/>
            </w:pPr>
            <w:r>
              <w:rPr>
                <w:rFonts w:eastAsia="Verdana"/>
              </w:rPr>
              <w:t>Coordinate legal action where required.</w:t>
            </w:r>
          </w:p>
          <w:p w:rsidR="00ED33A9" w:rsidRPr="009A6BD8" w:rsidRDefault="00ED33A9" w:rsidP="00ED33A9">
            <w:pPr>
              <w:pStyle w:val="ListParagraph"/>
            </w:pPr>
            <w:r>
              <w:rPr>
                <w:rFonts w:eastAsia="Verdana"/>
              </w:rPr>
              <w:t xml:space="preserve">Provides </w:t>
            </w:r>
            <w:r w:rsidRPr="0056372E">
              <w:rPr>
                <w:rFonts w:eastAsia="Verdana"/>
              </w:rPr>
              <w:t xml:space="preserve">subject matter </w:t>
            </w:r>
            <w:r>
              <w:rPr>
                <w:rFonts w:eastAsia="Verdana"/>
              </w:rPr>
              <w:t xml:space="preserve">expertise </w:t>
            </w:r>
            <w:r w:rsidRPr="0056372E">
              <w:rPr>
                <w:rFonts w:eastAsia="Verdana"/>
              </w:rPr>
              <w:t xml:space="preserve">for </w:t>
            </w:r>
            <w:r>
              <w:rPr>
                <w:rFonts w:eastAsia="Verdana"/>
              </w:rPr>
              <w:t xml:space="preserve">compliance and enforcement </w:t>
            </w:r>
            <w:r w:rsidRPr="0056372E">
              <w:rPr>
                <w:rFonts w:eastAsia="Verdana"/>
              </w:rPr>
              <w:t xml:space="preserve">related matters at Melbourne Water </w:t>
            </w:r>
            <w:r>
              <w:rPr>
                <w:rFonts w:eastAsia="Verdana"/>
              </w:rPr>
              <w:t xml:space="preserve">and </w:t>
            </w:r>
            <w:r w:rsidRPr="0056372E">
              <w:rPr>
                <w:rFonts w:eastAsia="Verdana"/>
              </w:rPr>
              <w:t>whe</w:t>
            </w:r>
            <w:r>
              <w:rPr>
                <w:rFonts w:eastAsia="Verdana"/>
              </w:rPr>
              <w:t>n interacting with stakeholders.</w:t>
            </w:r>
          </w:p>
          <w:p w:rsidR="00ED33A9" w:rsidRPr="00636A1F" w:rsidRDefault="00ED33A9" w:rsidP="00ED33A9">
            <w:pPr>
              <w:pStyle w:val="ListParagraph"/>
              <w:rPr>
                <w:rFonts w:eastAsia="Verdana"/>
              </w:rPr>
            </w:pPr>
            <w:r w:rsidRPr="00636A1F">
              <w:rPr>
                <w:rFonts w:eastAsia="Verdana"/>
              </w:rPr>
              <w:t>Put in place processes to assess and report on asset performance, service capability and risk to service associated with Melbourne Water’s Water Supply Catchments</w:t>
            </w:r>
            <w:r>
              <w:rPr>
                <w:rFonts w:eastAsia="Verdana"/>
              </w:rPr>
              <w:t xml:space="preserve"> relating to unauthorised entry. </w:t>
            </w:r>
          </w:p>
          <w:p w:rsidR="00ED33A9" w:rsidRPr="00ED33A9" w:rsidRDefault="00ED33A9" w:rsidP="00ED33A9">
            <w:pPr>
              <w:pStyle w:val="ListParagraph"/>
            </w:pPr>
            <w:r w:rsidRPr="00636A1F">
              <w:rPr>
                <w:rFonts w:eastAsia="Verdana"/>
              </w:rPr>
              <w:t>In delivering all accountabilities, strive for a generative safety culture, taking care of own and colleague’s health and safety through active identification, elimination and management of safety risks.</w:t>
            </w:r>
          </w:p>
          <w:p w:rsidR="003F1715" w:rsidRPr="0001592E" w:rsidRDefault="003F1715" w:rsidP="00ED33A9">
            <w:pPr>
              <w:pStyle w:val="ListParagraph"/>
              <w:numPr>
                <w:ilvl w:val="0"/>
                <w:numId w:val="0"/>
              </w:numPr>
              <w:ind w:left="360"/>
            </w:pPr>
          </w:p>
        </w:tc>
      </w:tr>
      <w:tr w:rsidR="0001592E" w:rsidRPr="0001592E" w:rsidTr="00ED33A9">
        <w:tc>
          <w:tcPr>
            <w:tcW w:w="5991" w:type="dxa"/>
            <w:gridSpan w:val="2"/>
            <w:shd w:val="clear" w:color="auto" w:fill="00428B"/>
          </w:tcPr>
          <w:p w:rsidR="00F3361C" w:rsidRPr="0001592E" w:rsidRDefault="00F3361C" w:rsidP="00946F5F">
            <w:pPr>
              <w:spacing w:before="120"/>
              <w:jc w:val="both"/>
              <w:rPr>
                <w:b/>
                <w:szCs w:val="20"/>
              </w:rPr>
            </w:pPr>
            <w:r w:rsidRPr="0001592E">
              <w:rPr>
                <w:b/>
                <w:szCs w:val="20"/>
              </w:rPr>
              <w:t>KEY RESPONSIBILITIES</w:t>
            </w:r>
          </w:p>
        </w:tc>
        <w:tc>
          <w:tcPr>
            <w:tcW w:w="4204" w:type="dxa"/>
            <w:shd w:val="clear" w:color="auto" w:fill="00428B"/>
          </w:tcPr>
          <w:p w:rsidR="00F3361C" w:rsidRPr="0001592E" w:rsidRDefault="00F3361C" w:rsidP="00946F5F">
            <w:pPr>
              <w:spacing w:before="120"/>
              <w:jc w:val="both"/>
              <w:rPr>
                <w:b/>
                <w:szCs w:val="20"/>
              </w:rPr>
            </w:pPr>
            <w:r w:rsidRPr="0001592E">
              <w:rPr>
                <w:b/>
                <w:szCs w:val="20"/>
              </w:rPr>
              <w:t>KPIs</w:t>
            </w:r>
          </w:p>
        </w:tc>
      </w:tr>
      <w:tr w:rsidR="00ED33A9" w:rsidRPr="00073286" w:rsidTr="00ED33A9">
        <w:trPr>
          <w:trHeight w:val="1701"/>
        </w:trPr>
        <w:tc>
          <w:tcPr>
            <w:tcW w:w="5991" w:type="dxa"/>
            <w:gridSpan w:val="2"/>
          </w:tcPr>
          <w:p w:rsidR="00ED33A9" w:rsidRPr="00073286" w:rsidRDefault="00ED33A9" w:rsidP="002F2D99">
            <w:pPr>
              <w:pStyle w:val="Default"/>
              <w:ind w:left="36"/>
              <w:jc w:val="both"/>
              <w:rPr>
                <w:rStyle w:val="Emphasis"/>
              </w:rPr>
            </w:pPr>
            <w:r w:rsidRPr="00073286">
              <w:rPr>
                <w:rStyle w:val="Emphasis"/>
              </w:rPr>
              <w:t xml:space="preserve">Develop 3-5 year Investment program to deliver the agreed source drinking water protection service </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Works constructively with internal and external partners to develop a coordinated program</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 xml:space="preserve">Works with the Area Lead, Catchment and Land and team to ensure the program is realistic and effective. </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Develops effective management options and interventions to protect source drinking water from unauthorized entry</w:t>
            </w:r>
          </w:p>
        </w:tc>
        <w:tc>
          <w:tcPr>
            <w:tcW w:w="4204" w:type="dxa"/>
          </w:tcPr>
          <w:p w:rsidR="00ED33A9" w:rsidRPr="00073286" w:rsidRDefault="00ED33A9" w:rsidP="00ED33A9">
            <w:pPr>
              <w:numPr>
                <w:ilvl w:val="0"/>
                <w:numId w:val="19"/>
              </w:numPr>
              <w:tabs>
                <w:tab w:val="clear" w:pos="9639"/>
              </w:tabs>
              <w:spacing w:after="0"/>
              <w:rPr>
                <w:szCs w:val="20"/>
              </w:rPr>
            </w:pPr>
            <w:r w:rsidRPr="00073286">
              <w:rPr>
                <w:szCs w:val="20"/>
              </w:rPr>
              <w:t>An agreed 3-5 year investment program</w:t>
            </w:r>
          </w:p>
          <w:p w:rsidR="00ED33A9" w:rsidRPr="00073286" w:rsidRDefault="00ED33A9" w:rsidP="00ED33A9">
            <w:pPr>
              <w:numPr>
                <w:ilvl w:val="0"/>
                <w:numId w:val="19"/>
              </w:numPr>
              <w:tabs>
                <w:tab w:val="clear" w:pos="9639"/>
              </w:tabs>
              <w:spacing w:after="0"/>
              <w:rPr>
                <w:szCs w:val="20"/>
              </w:rPr>
            </w:pPr>
            <w:r w:rsidRPr="00073286">
              <w:rPr>
                <w:szCs w:val="20"/>
              </w:rPr>
              <w:t>An up to date 20 year capital program.</w:t>
            </w:r>
          </w:p>
          <w:p w:rsidR="00ED33A9" w:rsidRPr="00073286" w:rsidRDefault="00ED33A9" w:rsidP="00ED33A9">
            <w:pPr>
              <w:numPr>
                <w:ilvl w:val="0"/>
                <w:numId w:val="19"/>
              </w:numPr>
              <w:tabs>
                <w:tab w:val="clear" w:pos="9639"/>
              </w:tabs>
              <w:spacing w:after="0"/>
              <w:rPr>
                <w:szCs w:val="20"/>
              </w:rPr>
            </w:pPr>
            <w:r w:rsidRPr="00073286">
              <w:rPr>
                <w:szCs w:val="20"/>
              </w:rPr>
              <w:t xml:space="preserve">Provide, within the agreed timeframes, effective and appropriately scoped and options for the Program Team to initiate.   </w:t>
            </w:r>
          </w:p>
        </w:tc>
      </w:tr>
      <w:tr w:rsidR="00ED33A9" w:rsidRPr="00073286" w:rsidTr="00ED33A9">
        <w:trPr>
          <w:trHeight w:val="470"/>
        </w:trPr>
        <w:tc>
          <w:tcPr>
            <w:tcW w:w="5991" w:type="dxa"/>
            <w:gridSpan w:val="2"/>
          </w:tcPr>
          <w:p w:rsidR="00ED33A9" w:rsidRPr="00073286" w:rsidRDefault="00ED33A9" w:rsidP="002F2D99">
            <w:pPr>
              <w:pStyle w:val="Default"/>
              <w:ind w:left="36" w:hanging="3"/>
              <w:jc w:val="both"/>
              <w:rPr>
                <w:rFonts w:eastAsia="Verdana"/>
                <w:b/>
                <w:sz w:val="20"/>
                <w:szCs w:val="20"/>
              </w:rPr>
            </w:pPr>
            <w:r w:rsidRPr="00D63F0B">
              <w:rPr>
                <w:rFonts w:eastAsia="Verdana"/>
                <w:b/>
                <w:sz w:val="20"/>
                <w:szCs w:val="20"/>
              </w:rPr>
              <w:t xml:space="preserve">Provides subject matter compliance and enforcement expertise </w:t>
            </w:r>
            <w:r w:rsidRPr="00073286">
              <w:rPr>
                <w:rFonts w:eastAsia="Verdana"/>
                <w:b/>
                <w:sz w:val="20"/>
                <w:szCs w:val="20"/>
              </w:rPr>
              <w:t>at Melbourne Water</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Act as a subject matter expert when interacting with stakeholders to advise enforcement and compliance activities</w:t>
            </w:r>
          </w:p>
          <w:p w:rsidR="00ED33A9" w:rsidRPr="002D1F25" w:rsidRDefault="00ED33A9" w:rsidP="00ED33A9">
            <w:pPr>
              <w:pStyle w:val="ListParagraph"/>
              <w:numPr>
                <w:ilvl w:val="0"/>
                <w:numId w:val="21"/>
              </w:numPr>
              <w:tabs>
                <w:tab w:val="clear" w:pos="9639"/>
              </w:tabs>
              <w:spacing w:before="0" w:after="0"/>
              <w:ind w:left="426" w:hanging="284"/>
              <w:jc w:val="left"/>
              <w:rPr>
                <w:rStyle w:val="Emphasis"/>
                <w:b w:val="0"/>
                <w:bCs w:val="0"/>
              </w:rPr>
            </w:pPr>
            <w:r w:rsidRPr="00073286">
              <w:lastRenderedPageBreak/>
              <w:t>Provide advice and guidance across Melbourne Water on enforcement and compliance activities</w:t>
            </w:r>
          </w:p>
        </w:tc>
        <w:tc>
          <w:tcPr>
            <w:tcW w:w="4204" w:type="dxa"/>
          </w:tcPr>
          <w:p w:rsidR="00ED33A9" w:rsidRPr="00073286" w:rsidRDefault="00ED33A9" w:rsidP="00ED33A9">
            <w:pPr>
              <w:numPr>
                <w:ilvl w:val="0"/>
                <w:numId w:val="19"/>
              </w:numPr>
              <w:tabs>
                <w:tab w:val="clear" w:pos="9639"/>
              </w:tabs>
              <w:spacing w:after="0"/>
              <w:rPr>
                <w:szCs w:val="20"/>
              </w:rPr>
            </w:pPr>
            <w:r w:rsidRPr="00073286">
              <w:rPr>
                <w:szCs w:val="20"/>
              </w:rPr>
              <w:lastRenderedPageBreak/>
              <w:t>An agreed policy and procedure for managing compliance activities across Melbourne Water</w:t>
            </w:r>
          </w:p>
          <w:p w:rsidR="00ED33A9" w:rsidRPr="00073286" w:rsidRDefault="00ED33A9" w:rsidP="00ED33A9">
            <w:pPr>
              <w:numPr>
                <w:ilvl w:val="0"/>
                <w:numId w:val="19"/>
              </w:numPr>
              <w:tabs>
                <w:tab w:val="clear" w:pos="9639"/>
              </w:tabs>
              <w:spacing w:after="0"/>
              <w:rPr>
                <w:szCs w:val="20"/>
              </w:rPr>
            </w:pPr>
            <w:r w:rsidRPr="00073286">
              <w:rPr>
                <w:szCs w:val="20"/>
              </w:rPr>
              <w:t>Established process for entry and exit of water supply catchments</w:t>
            </w:r>
          </w:p>
        </w:tc>
      </w:tr>
      <w:tr w:rsidR="00ED33A9" w:rsidRPr="00073286" w:rsidTr="00ED33A9">
        <w:trPr>
          <w:trHeight w:val="470"/>
        </w:trPr>
        <w:tc>
          <w:tcPr>
            <w:tcW w:w="5991" w:type="dxa"/>
            <w:gridSpan w:val="2"/>
          </w:tcPr>
          <w:p w:rsidR="00ED33A9" w:rsidRPr="00073286" w:rsidRDefault="00ED33A9" w:rsidP="002F2D99">
            <w:pPr>
              <w:pStyle w:val="Default"/>
              <w:ind w:left="36"/>
              <w:jc w:val="both"/>
              <w:rPr>
                <w:rStyle w:val="Emphasis"/>
              </w:rPr>
            </w:pPr>
            <w:r w:rsidRPr="00073286">
              <w:rPr>
                <w:rStyle w:val="Emphasis"/>
              </w:rPr>
              <w:t xml:space="preserve">Asset Management </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Lead the application of asset management practice to protect source drinking water through managing entry to the water supply catchments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Contribute to assessing asset performance, service capability and risk around unauthorized entry to the water supply catchments.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Contribute to documenting best management practice, standards and maintenance regimes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 xml:space="preserve">Establish requisite standards and management regimes to manage source drinking water.  </w:t>
            </w:r>
          </w:p>
        </w:tc>
        <w:tc>
          <w:tcPr>
            <w:tcW w:w="4204" w:type="dxa"/>
          </w:tcPr>
          <w:p w:rsidR="00ED33A9" w:rsidRPr="00073286" w:rsidRDefault="00ED33A9" w:rsidP="00ED33A9">
            <w:pPr>
              <w:numPr>
                <w:ilvl w:val="0"/>
                <w:numId w:val="19"/>
              </w:numPr>
              <w:tabs>
                <w:tab w:val="clear" w:pos="9639"/>
              </w:tabs>
              <w:spacing w:after="0"/>
              <w:rPr>
                <w:szCs w:val="20"/>
              </w:rPr>
            </w:pPr>
            <w:r w:rsidRPr="00073286">
              <w:rPr>
                <w:szCs w:val="20"/>
              </w:rPr>
              <w:t xml:space="preserve">Our people are seen as world leaders in </w:t>
            </w:r>
            <w:r>
              <w:rPr>
                <w:szCs w:val="20"/>
              </w:rPr>
              <w:t>asset</w:t>
            </w:r>
            <w:r w:rsidRPr="00073286">
              <w:rPr>
                <w:szCs w:val="20"/>
              </w:rPr>
              <w:t xml:space="preserve"> management through industry benchmarking</w:t>
            </w:r>
          </w:p>
          <w:p w:rsidR="00ED33A9" w:rsidRPr="00073286" w:rsidRDefault="00ED33A9" w:rsidP="00ED33A9">
            <w:pPr>
              <w:numPr>
                <w:ilvl w:val="0"/>
                <w:numId w:val="19"/>
              </w:numPr>
              <w:tabs>
                <w:tab w:val="clear" w:pos="9639"/>
              </w:tabs>
              <w:spacing w:after="0"/>
              <w:rPr>
                <w:szCs w:val="20"/>
              </w:rPr>
            </w:pPr>
            <w:r w:rsidRPr="00073286">
              <w:rPr>
                <w:szCs w:val="20"/>
              </w:rPr>
              <w:t>Up to date understanding of the service capability and service risk to Melbourne’s water supply catchments and land portfolio</w:t>
            </w:r>
          </w:p>
          <w:p w:rsidR="00ED33A9" w:rsidRPr="00073286" w:rsidRDefault="00ED33A9" w:rsidP="00ED33A9">
            <w:pPr>
              <w:pStyle w:val="ListParagraph"/>
              <w:numPr>
                <w:ilvl w:val="0"/>
                <w:numId w:val="19"/>
              </w:numPr>
              <w:spacing w:before="0" w:after="0"/>
              <w:ind w:left="351"/>
              <w:jc w:val="left"/>
            </w:pPr>
            <w:r w:rsidRPr="00073286">
              <w:t>Agreed catchments unauthorised entry management standards, management regimes and guidelines are up to date and contemporary.</w:t>
            </w:r>
          </w:p>
        </w:tc>
      </w:tr>
      <w:tr w:rsidR="00ED33A9" w:rsidRPr="00073286" w:rsidTr="00ED33A9">
        <w:trPr>
          <w:trHeight w:val="1475"/>
        </w:trPr>
        <w:tc>
          <w:tcPr>
            <w:tcW w:w="5991" w:type="dxa"/>
            <w:gridSpan w:val="2"/>
          </w:tcPr>
          <w:p w:rsidR="00ED33A9" w:rsidRPr="00073286" w:rsidRDefault="00ED33A9" w:rsidP="002F2D99">
            <w:pPr>
              <w:pStyle w:val="Default"/>
              <w:ind w:left="36"/>
              <w:jc w:val="both"/>
              <w:rPr>
                <w:rStyle w:val="Emphasis"/>
              </w:rPr>
            </w:pPr>
            <w:r w:rsidRPr="00073286">
              <w:rPr>
                <w:rStyle w:val="Emphasis"/>
              </w:rPr>
              <w:t xml:space="preserve">Customer Service and relationship management  </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Understand customer needs and provide progressive and timely solutions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Build strong and productive relationships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Influence others to pursue a course of action</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Take accountability for delivering quality results.</w:t>
            </w:r>
          </w:p>
        </w:tc>
        <w:tc>
          <w:tcPr>
            <w:tcW w:w="4204" w:type="dxa"/>
          </w:tcPr>
          <w:p w:rsidR="00ED33A9" w:rsidRPr="00073286" w:rsidRDefault="00ED33A9" w:rsidP="00ED33A9">
            <w:pPr>
              <w:pStyle w:val="ListParagraph"/>
              <w:numPr>
                <w:ilvl w:val="0"/>
                <w:numId w:val="19"/>
              </w:numPr>
              <w:spacing w:before="0" w:after="0"/>
              <w:ind w:left="351"/>
              <w:jc w:val="left"/>
            </w:pPr>
            <w:r w:rsidRPr="00073286">
              <w:t>Reputation survey results</w:t>
            </w:r>
          </w:p>
          <w:p w:rsidR="00ED33A9" w:rsidRPr="00073286" w:rsidRDefault="00ED33A9" w:rsidP="00ED33A9">
            <w:pPr>
              <w:pStyle w:val="ListParagraph"/>
              <w:numPr>
                <w:ilvl w:val="0"/>
                <w:numId w:val="19"/>
              </w:numPr>
              <w:spacing w:before="0" w:after="0"/>
              <w:ind w:left="351"/>
              <w:jc w:val="left"/>
            </w:pPr>
            <w:r w:rsidRPr="00073286">
              <w:t>Act in accordance with the agreed Melbourne Water and team behaviors.</w:t>
            </w:r>
          </w:p>
        </w:tc>
      </w:tr>
      <w:tr w:rsidR="00ED33A9" w:rsidRPr="00073286" w:rsidTr="00ED33A9">
        <w:trPr>
          <w:trHeight w:val="1270"/>
        </w:trPr>
        <w:tc>
          <w:tcPr>
            <w:tcW w:w="5991" w:type="dxa"/>
            <w:gridSpan w:val="2"/>
          </w:tcPr>
          <w:p w:rsidR="00ED33A9" w:rsidRPr="00073286" w:rsidRDefault="00ED33A9" w:rsidP="007D5493">
            <w:pPr>
              <w:pStyle w:val="Default"/>
              <w:rPr>
                <w:b/>
                <w:bCs/>
                <w:sz w:val="20"/>
                <w:szCs w:val="20"/>
              </w:rPr>
            </w:pPr>
            <w:r w:rsidRPr="00073286">
              <w:rPr>
                <w:b/>
                <w:bCs/>
                <w:sz w:val="20"/>
                <w:szCs w:val="20"/>
              </w:rPr>
              <w:t xml:space="preserve">Generative Safety Culture </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Support the Area Lead in providing proactive Health and Safety Leadership in addition to a personal commitment to generating a safety culture involving all team members in team health and safety plans.</w:t>
            </w:r>
          </w:p>
        </w:tc>
        <w:tc>
          <w:tcPr>
            <w:tcW w:w="4204" w:type="dxa"/>
          </w:tcPr>
          <w:p w:rsidR="00ED33A9" w:rsidRPr="00073286" w:rsidRDefault="00ED33A9" w:rsidP="00ED33A9">
            <w:pPr>
              <w:pStyle w:val="ListParagraph"/>
              <w:numPr>
                <w:ilvl w:val="0"/>
                <w:numId w:val="19"/>
              </w:numPr>
              <w:spacing w:before="0" w:after="0"/>
              <w:ind w:left="351"/>
              <w:jc w:val="left"/>
            </w:pPr>
            <w:r w:rsidRPr="00073286">
              <w:t>Health and Safety team plan managed and all team members involved in safety initiatives.</w:t>
            </w:r>
          </w:p>
        </w:tc>
      </w:tr>
      <w:tr w:rsidR="00ED33A9" w:rsidRPr="00073286" w:rsidTr="00ED33A9">
        <w:trPr>
          <w:trHeight w:val="1701"/>
        </w:trPr>
        <w:tc>
          <w:tcPr>
            <w:tcW w:w="5991" w:type="dxa"/>
            <w:gridSpan w:val="2"/>
          </w:tcPr>
          <w:p w:rsidR="00ED33A9" w:rsidRPr="00073286" w:rsidRDefault="00ED33A9" w:rsidP="007D5493">
            <w:pPr>
              <w:pStyle w:val="Default"/>
              <w:rPr>
                <w:b/>
                <w:bCs/>
                <w:sz w:val="20"/>
                <w:szCs w:val="20"/>
              </w:rPr>
            </w:pPr>
            <w:r w:rsidRPr="00073286">
              <w:rPr>
                <w:b/>
                <w:bCs/>
                <w:sz w:val="20"/>
                <w:szCs w:val="20"/>
              </w:rPr>
              <w:t>Lead and support team members capability</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 xml:space="preserve">Take a lead role in the application of asset management practice to </w:t>
            </w:r>
            <w:r w:rsidRPr="00073286">
              <w:rPr>
                <w:lang w:val="en-AU"/>
              </w:rPr>
              <w:t>deliver Catchment Investment Programs</w:t>
            </w:r>
            <w:r w:rsidRPr="00073286">
              <w:t>, including directing the tasks and activities of the Asset Practitioners</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Effectively support team members in development of knowledge, experience and capability around asset management.</w:t>
            </w:r>
          </w:p>
          <w:p w:rsidR="00ED33A9" w:rsidRPr="00073286" w:rsidRDefault="00ED33A9" w:rsidP="00ED33A9">
            <w:pPr>
              <w:pStyle w:val="ListParagraph"/>
              <w:numPr>
                <w:ilvl w:val="0"/>
                <w:numId w:val="21"/>
              </w:numPr>
              <w:tabs>
                <w:tab w:val="clear" w:pos="9639"/>
              </w:tabs>
              <w:spacing w:before="0" w:after="0"/>
              <w:ind w:left="426" w:hanging="284"/>
              <w:jc w:val="left"/>
            </w:pPr>
            <w:r w:rsidRPr="00073286">
              <w:t xml:space="preserve">Support the Area Lead, Catchment and Land Services, building a high performing and engaged team </w:t>
            </w:r>
          </w:p>
        </w:tc>
        <w:tc>
          <w:tcPr>
            <w:tcW w:w="4204" w:type="dxa"/>
          </w:tcPr>
          <w:p w:rsidR="00ED33A9" w:rsidRPr="00073286" w:rsidRDefault="00ED33A9" w:rsidP="00ED33A9">
            <w:pPr>
              <w:pStyle w:val="ListParagraph"/>
              <w:numPr>
                <w:ilvl w:val="0"/>
                <w:numId w:val="19"/>
              </w:numPr>
              <w:spacing w:before="0" w:after="0"/>
              <w:ind w:left="351"/>
              <w:jc w:val="left"/>
            </w:pPr>
            <w:r w:rsidRPr="00073286">
              <w:t>Team members and stakeholders are aligned and proactively supporting the implementation of asset management strategies.</w:t>
            </w:r>
          </w:p>
          <w:p w:rsidR="00ED33A9" w:rsidRPr="00073286" w:rsidRDefault="00ED33A9" w:rsidP="00ED33A9">
            <w:pPr>
              <w:pStyle w:val="ListParagraph"/>
              <w:numPr>
                <w:ilvl w:val="0"/>
                <w:numId w:val="19"/>
              </w:numPr>
              <w:spacing w:before="0" w:after="0"/>
              <w:ind w:left="351"/>
              <w:jc w:val="left"/>
            </w:pPr>
            <w:r w:rsidRPr="00073286">
              <w:t>Engagement and Alignment Survey results.</w:t>
            </w:r>
          </w:p>
        </w:tc>
      </w:tr>
      <w:tr w:rsidR="0001592E" w:rsidRPr="0001592E" w:rsidTr="00ED33A9">
        <w:tc>
          <w:tcPr>
            <w:tcW w:w="10195" w:type="dxa"/>
            <w:gridSpan w:val="3"/>
            <w:shd w:val="clear" w:color="auto" w:fill="00428B"/>
          </w:tcPr>
          <w:p w:rsidR="00F3361C" w:rsidRPr="0001592E" w:rsidRDefault="00F3361C" w:rsidP="003751D1">
            <w:pPr>
              <w:keepNext/>
              <w:keepLines/>
              <w:spacing w:before="120"/>
              <w:rPr>
                <w:b/>
                <w:szCs w:val="20"/>
              </w:rPr>
            </w:pPr>
            <w:r w:rsidRPr="0001592E">
              <w:rPr>
                <w:b/>
                <w:szCs w:val="20"/>
              </w:rPr>
              <w:t>SKILLS, KNOWLEDGE AND EXPERIENCE REQUIRED:</w:t>
            </w:r>
          </w:p>
        </w:tc>
      </w:tr>
      <w:tr w:rsidR="0001592E" w:rsidRPr="0001592E" w:rsidTr="00ED33A9">
        <w:trPr>
          <w:trHeight w:val="470"/>
        </w:trPr>
        <w:tc>
          <w:tcPr>
            <w:tcW w:w="10195" w:type="dxa"/>
            <w:gridSpan w:val="3"/>
          </w:tcPr>
          <w:p w:rsidR="00ED33A9" w:rsidRPr="00073286" w:rsidRDefault="00ED33A9" w:rsidP="00ED33A9">
            <w:pPr>
              <w:pStyle w:val="ListParagraph"/>
              <w:numPr>
                <w:ilvl w:val="0"/>
                <w:numId w:val="19"/>
              </w:numPr>
            </w:pPr>
            <w:r w:rsidRPr="00073286">
              <w:t>Experience with compliance and enforcement activities</w:t>
            </w:r>
          </w:p>
          <w:p w:rsidR="00ED33A9" w:rsidRDefault="00ED33A9" w:rsidP="00ED33A9">
            <w:pPr>
              <w:pStyle w:val="ListParagraph"/>
              <w:numPr>
                <w:ilvl w:val="0"/>
                <w:numId w:val="19"/>
              </w:numPr>
            </w:pPr>
            <w:r>
              <w:t xml:space="preserve">Knowledge of managing natural and/or water resources </w:t>
            </w:r>
          </w:p>
          <w:p w:rsidR="00ED33A9" w:rsidRPr="00073286" w:rsidRDefault="00ED33A9" w:rsidP="00ED33A9">
            <w:pPr>
              <w:pStyle w:val="ListParagraph"/>
              <w:numPr>
                <w:ilvl w:val="0"/>
                <w:numId w:val="19"/>
              </w:numPr>
            </w:pPr>
            <w:r>
              <w:t>Experience in collaborative work both within a large organisation as well as across partner organisations</w:t>
            </w:r>
          </w:p>
          <w:p w:rsidR="00ED33A9" w:rsidRPr="00073286" w:rsidRDefault="00ED33A9" w:rsidP="00ED33A9">
            <w:pPr>
              <w:pStyle w:val="ListParagraph"/>
              <w:numPr>
                <w:ilvl w:val="0"/>
                <w:numId w:val="19"/>
              </w:numPr>
            </w:pPr>
            <w:r w:rsidRPr="00073286">
              <w:t xml:space="preserve">Good problem solving and analytical skills which adds value to business and customers. </w:t>
            </w:r>
          </w:p>
          <w:p w:rsidR="00ED33A9" w:rsidRPr="00073286" w:rsidRDefault="00ED33A9" w:rsidP="00ED33A9">
            <w:pPr>
              <w:pStyle w:val="ListParagraph"/>
              <w:numPr>
                <w:ilvl w:val="0"/>
                <w:numId w:val="19"/>
              </w:numPr>
            </w:pPr>
            <w:r w:rsidRPr="00073286">
              <w:t>Coordination, prioritisation and time management skills to deliver on long-term objectives while managing day-to-day challenges within tight timeframes and work unsupervised.</w:t>
            </w:r>
          </w:p>
          <w:p w:rsidR="00ED33A9" w:rsidRPr="00073286" w:rsidRDefault="00ED33A9" w:rsidP="00ED33A9">
            <w:pPr>
              <w:pStyle w:val="ListParagraph"/>
              <w:numPr>
                <w:ilvl w:val="0"/>
                <w:numId w:val="19"/>
              </w:numPr>
            </w:pPr>
            <w:r w:rsidRPr="00073286">
              <w:t>Ability to effectively communicate verbally and in writing with all stakeholders and to prepare and deliver information to an audience in a professional manner.</w:t>
            </w:r>
          </w:p>
          <w:p w:rsidR="00ED33A9" w:rsidRPr="00073286" w:rsidRDefault="00ED33A9" w:rsidP="00ED33A9">
            <w:pPr>
              <w:pStyle w:val="ListParagraph"/>
              <w:numPr>
                <w:ilvl w:val="0"/>
                <w:numId w:val="19"/>
              </w:numPr>
            </w:pPr>
            <w:r w:rsidRPr="00073286">
              <w:t xml:space="preserve">Experience in supporting a healthy, safe and supportive work environment </w:t>
            </w:r>
          </w:p>
          <w:p w:rsidR="005A6B90" w:rsidRPr="005A6B90" w:rsidRDefault="00ED33A9" w:rsidP="00ED33A9">
            <w:pPr>
              <w:pStyle w:val="ListParagraph"/>
              <w:numPr>
                <w:ilvl w:val="0"/>
                <w:numId w:val="19"/>
              </w:numPr>
            </w:pPr>
            <w:r w:rsidRPr="00073286">
              <w:t>A commitment to self-awareness, self-reflection and ongoing personal development.</w:t>
            </w:r>
          </w:p>
        </w:tc>
      </w:tr>
      <w:tr w:rsidR="0001592E" w:rsidRPr="0001592E" w:rsidTr="00ED33A9">
        <w:tc>
          <w:tcPr>
            <w:tcW w:w="10195" w:type="dxa"/>
            <w:gridSpan w:val="3"/>
            <w:shd w:val="clear" w:color="auto" w:fill="00428B"/>
          </w:tcPr>
          <w:p w:rsidR="00F3361C" w:rsidRPr="0001592E" w:rsidRDefault="00F3361C" w:rsidP="00D44CFB">
            <w:pPr>
              <w:keepNext/>
              <w:keepLines/>
              <w:spacing w:before="120"/>
              <w:rPr>
                <w:b/>
                <w:szCs w:val="20"/>
              </w:rPr>
            </w:pPr>
            <w:r w:rsidRPr="0001592E">
              <w:rPr>
                <w:b/>
                <w:szCs w:val="20"/>
              </w:rPr>
              <w:lastRenderedPageBreak/>
              <w:t>KEY RELATIONSHIPS:</w:t>
            </w:r>
          </w:p>
        </w:tc>
      </w:tr>
      <w:tr w:rsidR="0001592E" w:rsidRPr="0001592E" w:rsidTr="00ED33A9">
        <w:trPr>
          <w:trHeight w:val="2687"/>
        </w:trPr>
        <w:tc>
          <w:tcPr>
            <w:tcW w:w="10195" w:type="dxa"/>
            <w:gridSpan w:val="3"/>
          </w:tcPr>
          <w:p w:rsidR="00ED33A9" w:rsidRPr="00073286" w:rsidRDefault="00ED33A9" w:rsidP="00D44CFB">
            <w:pPr>
              <w:keepNext/>
              <w:keepLines/>
              <w:spacing w:before="120"/>
              <w:ind w:left="316"/>
              <w:rPr>
                <w:b/>
                <w:szCs w:val="20"/>
              </w:rPr>
            </w:pPr>
            <w:r w:rsidRPr="00073286">
              <w:rPr>
                <w:szCs w:val="20"/>
              </w:rPr>
              <w:t>All Melbourne Water employees are responsible for managing aspects of our customer/stakeholder relationships and service interactions, and will work proactively to deliver a consistent customer experience.</w:t>
            </w:r>
          </w:p>
          <w:p w:rsidR="00ED33A9" w:rsidRPr="00073286" w:rsidRDefault="00ED33A9" w:rsidP="00D44CFB">
            <w:pPr>
              <w:keepNext/>
              <w:keepLines/>
              <w:spacing w:before="120"/>
              <w:rPr>
                <w:b/>
                <w:szCs w:val="20"/>
              </w:rPr>
            </w:pPr>
            <w:r w:rsidRPr="00073286">
              <w:rPr>
                <w:b/>
                <w:szCs w:val="20"/>
              </w:rPr>
              <w:t>INTERNAL</w:t>
            </w:r>
          </w:p>
          <w:p w:rsidR="00ED33A9" w:rsidRPr="00073286" w:rsidRDefault="00ED33A9" w:rsidP="00D44CFB">
            <w:pPr>
              <w:pStyle w:val="ListParagraph"/>
              <w:keepNext/>
              <w:keepLines/>
              <w:numPr>
                <w:ilvl w:val="0"/>
                <w:numId w:val="19"/>
              </w:numPr>
              <w:ind w:left="720"/>
              <w:jc w:val="left"/>
            </w:pPr>
            <w:r w:rsidRPr="00073286">
              <w:t>Wholesale services – Water Supply</w:t>
            </w:r>
          </w:p>
          <w:p w:rsidR="00ED33A9" w:rsidRPr="00073286" w:rsidRDefault="00ED33A9" w:rsidP="00D44CFB">
            <w:pPr>
              <w:pStyle w:val="ListParagraph"/>
              <w:keepNext/>
              <w:keepLines/>
              <w:numPr>
                <w:ilvl w:val="0"/>
                <w:numId w:val="19"/>
              </w:numPr>
              <w:ind w:left="720"/>
              <w:jc w:val="left"/>
            </w:pPr>
            <w:r w:rsidRPr="00073286">
              <w:t>Waterways &amp; Land – Regional Services</w:t>
            </w:r>
          </w:p>
          <w:p w:rsidR="00ED33A9" w:rsidRPr="00073286" w:rsidRDefault="00ED33A9" w:rsidP="00D44CFB">
            <w:pPr>
              <w:pStyle w:val="ListParagraph"/>
              <w:keepNext/>
              <w:keepLines/>
              <w:numPr>
                <w:ilvl w:val="0"/>
                <w:numId w:val="19"/>
              </w:numPr>
              <w:ind w:left="720"/>
              <w:jc w:val="left"/>
            </w:pPr>
            <w:r w:rsidRPr="00073286">
              <w:t>Customer and Strategy</w:t>
            </w:r>
          </w:p>
          <w:p w:rsidR="00ED33A9" w:rsidRPr="00073286" w:rsidRDefault="00ED33A9" w:rsidP="00D44CFB">
            <w:pPr>
              <w:pStyle w:val="ListParagraph"/>
              <w:keepNext/>
              <w:keepLines/>
              <w:numPr>
                <w:ilvl w:val="0"/>
                <w:numId w:val="19"/>
              </w:numPr>
              <w:ind w:left="720"/>
              <w:jc w:val="left"/>
            </w:pPr>
            <w:r w:rsidRPr="00073286">
              <w:t>Integrated Planning</w:t>
            </w:r>
          </w:p>
          <w:p w:rsidR="00ED33A9" w:rsidRDefault="00ED33A9" w:rsidP="00D44CFB">
            <w:pPr>
              <w:pStyle w:val="ListParagraph"/>
              <w:keepNext/>
              <w:keepLines/>
              <w:numPr>
                <w:ilvl w:val="0"/>
                <w:numId w:val="19"/>
              </w:numPr>
              <w:ind w:left="720"/>
              <w:jc w:val="left"/>
            </w:pPr>
            <w:r w:rsidRPr="00073286">
              <w:t>Safety</w:t>
            </w:r>
          </w:p>
          <w:p w:rsidR="00ED33A9" w:rsidRPr="00073286" w:rsidRDefault="00ED33A9" w:rsidP="00D44CFB">
            <w:pPr>
              <w:pStyle w:val="ListParagraph"/>
              <w:keepNext/>
              <w:keepLines/>
              <w:numPr>
                <w:ilvl w:val="0"/>
                <w:numId w:val="19"/>
              </w:numPr>
              <w:ind w:left="720"/>
              <w:jc w:val="left"/>
            </w:pPr>
            <w:r>
              <w:t>General Counsel and Company Secretary</w:t>
            </w:r>
          </w:p>
          <w:p w:rsidR="00ED33A9" w:rsidRPr="00073286" w:rsidRDefault="00ED33A9" w:rsidP="00D44CFB">
            <w:pPr>
              <w:pStyle w:val="ListParagraph"/>
              <w:keepNext/>
              <w:keepLines/>
              <w:numPr>
                <w:ilvl w:val="0"/>
                <w:numId w:val="19"/>
              </w:numPr>
              <w:ind w:left="720"/>
              <w:jc w:val="left"/>
            </w:pPr>
            <w:r w:rsidRPr="00073286">
              <w:t>Commercial &amp; Technology Services</w:t>
            </w:r>
          </w:p>
          <w:p w:rsidR="00ED33A9" w:rsidRPr="00073286" w:rsidRDefault="00ED33A9" w:rsidP="00D44CFB">
            <w:pPr>
              <w:keepNext/>
              <w:keepLines/>
              <w:spacing w:before="120"/>
              <w:rPr>
                <w:b/>
                <w:szCs w:val="20"/>
              </w:rPr>
            </w:pPr>
            <w:r w:rsidRPr="00073286">
              <w:rPr>
                <w:b/>
                <w:szCs w:val="20"/>
              </w:rPr>
              <w:t>EXTERNAL</w:t>
            </w:r>
          </w:p>
          <w:p w:rsidR="00ED33A9" w:rsidRPr="00073286" w:rsidRDefault="00ED33A9" w:rsidP="00D44CFB">
            <w:pPr>
              <w:pStyle w:val="ListParagraph"/>
              <w:keepNext/>
              <w:keepLines/>
              <w:numPr>
                <w:ilvl w:val="0"/>
                <w:numId w:val="19"/>
              </w:numPr>
              <w:ind w:left="720"/>
              <w:jc w:val="left"/>
            </w:pPr>
            <w:r w:rsidRPr="00073286">
              <w:t>Department of Environment, Land, Water and Planning</w:t>
            </w:r>
          </w:p>
          <w:p w:rsidR="00ED33A9" w:rsidRPr="00073286" w:rsidRDefault="00ED33A9" w:rsidP="00D44CFB">
            <w:pPr>
              <w:pStyle w:val="ListParagraph"/>
              <w:keepNext/>
              <w:keepLines/>
              <w:numPr>
                <w:ilvl w:val="0"/>
                <w:numId w:val="19"/>
              </w:numPr>
              <w:ind w:left="720"/>
              <w:jc w:val="left"/>
            </w:pPr>
            <w:r w:rsidRPr="00073286">
              <w:t>Parks Victoria</w:t>
            </w:r>
          </w:p>
          <w:p w:rsidR="00ED33A9" w:rsidRPr="00073286" w:rsidRDefault="00ED33A9" w:rsidP="00D44CFB">
            <w:pPr>
              <w:pStyle w:val="ListParagraph"/>
              <w:keepNext/>
              <w:keepLines/>
              <w:numPr>
                <w:ilvl w:val="0"/>
                <w:numId w:val="19"/>
              </w:numPr>
              <w:ind w:left="720"/>
              <w:jc w:val="left"/>
            </w:pPr>
            <w:r w:rsidRPr="00073286">
              <w:t xml:space="preserve">Office of the Conservation Regulator </w:t>
            </w:r>
          </w:p>
          <w:p w:rsidR="00E80934" w:rsidRPr="005A6B90" w:rsidRDefault="00ED33A9" w:rsidP="00D44CFB">
            <w:pPr>
              <w:pStyle w:val="ListParagraph"/>
              <w:keepNext/>
              <w:keepLines/>
              <w:numPr>
                <w:ilvl w:val="0"/>
                <w:numId w:val="19"/>
              </w:numPr>
              <w:ind w:left="731" w:hanging="284"/>
            </w:pPr>
            <w:r w:rsidRPr="00073286">
              <w:t>Emergency Management Victoria (EMV)</w:t>
            </w:r>
          </w:p>
        </w:tc>
      </w:tr>
      <w:tr w:rsidR="0001592E" w:rsidRPr="0001592E" w:rsidTr="00ED33A9">
        <w:tc>
          <w:tcPr>
            <w:tcW w:w="10195" w:type="dxa"/>
            <w:gridSpan w:val="3"/>
            <w:shd w:val="clear" w:color="auto" w:fill="00428B"/>
          </w:tcPr>
          <w:p w:rsidR="00F3361C" w:rsidRPr="0001592E" w:rsidRDefault="00F3361C" w:rsidP="00946F5F">
            <w:pPr>
              <w:spacing w:before="120"/>
              <w:rPr>
                <w:b/>
                <w:szCs w:val="20"/>
              </w:rPr>
            </w:pPr>
            <w:r w:rsidRPr="0001592E">
              <w:rPr>
                <w:b/>
                <w:szCs w:val="20"/>
              </w:rPr>
              <w:t>SALARY RANGE:</w:t>
            </w:r>
          </w:p>
        </w:tc>
      </w:tr>
      <w:tr w:rsidR="0001592E" w:rsidRPr="0001592E" w:rsidTr="00ED33A9">
        <w:trPr>
          <w:trHeight w:val="70"/>
        </w:trPr>
        <w:tc>
          <w:tcPr>
            <w:tcW w:w="10195" w:type="dxa"/>
            <w:gridSpan w:val="3"/>
          </w:tcPr>
          <w:p w:rsidR="00946F5F" w:rsidRPr="0001592E" w:rsidRDefault="00946F5F" w:rsidP="00D44CFB">
            <w:pPr>
              <w:ind w:left="26"/>
            </w:pPr>
            <w:r w:rsidRPr="0001592E">
              <w:t>Melbourne Water reserves the right to remunerate people according to their ability to perform the functions of the role based on their qualifications, skills and experience.</w:t>
            </w:r>
            <w:r w:rsidR="009A070C" w:rsidRPr="0001592E">
              <w:t xml:space="preserve"> </w:t>
            </w:r>
          </w:p>
        </w:tc>
      </w:tr>
      <w:tr w:rsidR="0001592E" w:rsidRPr="0001592E" w:rsidTr="00ED33A9">
        <w:tc>
          <w:tcPr>
            <w:tcW w:w="10195" w:type="dxa"/>
            <w:gridSpan w:val="3"/>
            <w:shd w:val="clear" w:color="auto" w:fill="00428B"/>
          </w:tcPr>
          <w:p w:rsidR="00F3361C" w:rsidRPr="0001592E" w:rsidRDefault="00F3361C" w:rsidP="00946F5F">
            <w:pPr>
              <w:spacing w:before="120"/>
              <w:rPr>
                <w:b/>
                <w:szCs w:val="20"/>
              </w:rPr>
            </w:pPr>
            <w:r w:rsidRPr="0001592E">
              <w:rPr>
                <w:b/>
                <w:szCs w:val="20"/>
              </w:rPr>
              <w:t>OTHER COMMENTS:</w:t>
            </w:r>
          </w:p>
        </w:tc>
      </w:tr>
      <w:tr w:rsidR="00ED33A9" w:rsidRPr="0001592E" w:rsidTr="00ED33A9">
        <w:tc>
          <w:tcPr>
            <w:tcW w:w="10195" w:type="dxa"/>
            <w:gridSpan w:val="3"/>
          </w:tcPr>
          <w:p w:rsidR="00ED33A9" w:rsidRPr="00073286" w:rsidRDefault="00ED33A9" w:rsidP="00ED33A9">
            <w:pPr>
              <w:rPr>
                <w:szCs w:val="20"/>
              </w:rPr>
            </w:pPr>
            <w:r w:rsidRPr="00073286">
              <w:rPr>
                <w:szCs w:val="20"/>
              </w:rPr>
              <w:t>This role requires the following:</w:t>
            </w:r>
          </w:p>
          <w:p w:rsidR="00ED33A9" w:rsidRPr="00073286" w:rsidRDefault="00ED33A9" w:rsidP="00ED33A9">
            <w:pPr>
              <w:pStyle w:val="ListParagraph"/>
              <w:numPr>
                <w:ilvl w:val="0"/>
                <w:numId w:val="2"/>
              </w:numPr>
              <w:spacing w:before="0" w:after="0"/>
              <w:contextualSpacing w:val="0"/>
              <w:jc w:val="left"/>
            </w:pPr>
            <w:r>
              <w:t>E</w:t>
            </w:r>
            <w:r w:rsidRPr="00073286">
              <w:t>xperience in managing enforcement and compliance activities</w:t>
            </w:r>
          </w:p>
          <w:p w:rsidR="00ED33A9" w:rsidRPr="00073286" w:rsidRDefault="00ED33A9" w:rsidP="00ED33A9">
            <w:pPr>
              <w:pStyle w:val="ListParagraph"/>
              <w:numPr>
                <w:ilvl w:val="0"/>
                <w:numId w:val="2"/>
              </w:numPr>
              <w:spacing w:before="0" w:after="0"/>
              <w:contextualSpacing w:val="0"/>
              <w:jc w:val="left"/>
            </w:pPr>
            <w:r w:rsidRPr="00073286">
              <w:t>Experience in asset management and catchment and land management practice and principles</w:t>
            </w:r>
          </w:p>
          <w:p w:rsidR="00ED33A9" w:rsidRPr="00073286" w:rsidRDefault="00ED33A9" w:rsidP="00ED33A9">
            <w:pPr>
              <w:pStyle w:val="ListParagraph"/>
              <w:numPr>
                <w:ilvl w:val="0"/>
                <w:numId w:val="2"/>
              </w:numPr>
              <w:spacing w:before="0" w:after="0"/>
              <w:contextualSpacing w:val="0"/>
              <w:jc w:val="left"/>
            </w:pPr>
            <w:r w:rsidRPr="00073286">
              <w:t xml:space="preserve">Tertiary qualification in </w:t>
            </w:r>
            <w:r>
              <w:t>Forestry</w:t>
            </w:r>
            <w:r w:rsidRPr="00073286">
              <w:t>/Biological Sciences/Natural Resource Management</w:t>
            </w:r>
            <w:r>
              <w:t>/E</w:t>
            </w:r>
            <w:r w:rsidRPr="00073286">
              <w:t>ngineering or related technical discipline preferred.</w:t>
            </w:r>
          </w:p>
          <w:p w:rsidR="00ED33A9" w:rsidRPr="00073286" w:rsidRDefault="00ED33A9" w:rsidP="00ED33A9">
            <w:pPr>
              <w:numPr>
                <w:ilvl w:val="0"/>
                <w:numId w:val="2"/>
              </w:numPr>
              <w:tabs>
                <w:tab w:val="clear" w:pos="9639"/>
              </w:tabs>
              <w:spacing w:after="0"/>
              <w:rPr>
                <w:szCs w:val="20"/>
              </w:rPr>
            </w:pPr>
            <w:r w:rsidRPr="00073286">
              <w:rPr>
                <w:szCs w:val="20"/>
              </w:rPr>
              <w:t>This position is eligible for an operational vehicle in line with MW Motor Vehicle policy and procedures.</w:t>
            </w:r>
          </w:p>
          <w:p w:rsidR="00ED33A9" w:rsidRPr="00073286" w:rsidRDefault="00ED33A9" w:rsidP="00ED33A9">
            <w:pPr>
              <w:pStyle w:val="ListParagraph"/>
              <w:numPr>
                <w:ilvl w:val="0"/>
                <w:numId w:val="2"/>
              </w:numPr>
              <w:spacing w:before="0" w:after="0"/>
              <w:contextualSpacing w:val="0"/>
              <w:jc w:val="left"/>
            </w:pPr>
            <w:r w:rsidRPr="00073286">
              <w:t>Victorian Driver’s License</w:t>
            </w:r>
          </w:p>
          <w:p w:rsidR="00ED33A9" w:rsidRPr="00073286" w:rsidRDefault="00ED33A9" w:rsidP="00ED33A9">
            <w:pPr>
              <w:spacing w:before="120"/>
              <w:rPr>
                <w:szCs w:val="20"/>
              </w:rPr>
            </w:pPr>
            <w:r w:rsidRPr="00073286">
              <w:rPr>
                <w:szCs w:val="20"/>
              </w:rPr>
              <w:t>Location: 990 Latrobe St, Docklands/Healesville Office/Warburton Office</w:t>
            </w:r>
          </w:p>
        </w:tc>
      </w:tr>
    </w:tbl>
    <w:p w:rsidR="00946F5F" w:rsidRPr="00E80934" w:rsidRDefault="00946F5F">
      <w:pPr>
        <w:spacing w:before="120"/>
        <w:rPr>
          <w:szCs w:val="20"/>
        </w:rPr>
      </w:pPr>
    </w:p>
    <w:sectPr w:rsidR="00946F5F" w:rsidRPr="00E80934" w:rsidSect="00416FAD">
      <w:headerReference w:type="default" r:id="rId8"/>
      <w:footerReference w:type="default" r:id="rId9"/>
      <w:pgSz w:w="11907" w:h="16839" w:code="9"/>
      <w:pgMar w:top="851" w:right="851" w:bottom="851" w:left="851" w:header="34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F3" w:rsidRDefault="007B52F3" w:rsidP="00727219">
      <w:r>
        <w:separator/>
      </w:r>
    </w:p>
  </w:endnote>
  <w:endnote w:type="continuationSeparator" w:id="0">
    <w:p w:rsidR="007B52F3" w:rsidRDefault="007B52F3"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8" w:type="pct"/>
      <w:tblCellMar>
        <w:left w:w="57" w:type="dxa"/>
        <w:right w:w="57" w:type="dxa"/>
      </w:tblCellMar>
      <w:tblLook w:val="0000" w:firstRow="0" w:lastRow="0" w:firstColumn="0" w:lastColumn="0" w:noHBand="0" w:noVBand="0"/>
    </w:tblPr>
    <w:tblGrid>
      <w:gridCol w:w="1843"/>
      <w:gridCol w:w="6521"/>
    </w:tblGrid>
    <w:tr w:rsidR="00C300A8" w:rsidTr="00416FAD">
      <w:trPr>
        <w:trHeight w:val="170"/>
      </w:trPr>
      <w:tc>
        <w:tcPr>
          <w:tcW w:w="1102" w:type="pct"/>
          <w:vAlign w:val="bottom"/>
        </w:tcPr>
        <w:p w:rsidR="0038551F" w:rsidRPr="00370129" w:rsidRDefault="0038551F" w:rsidP="004E680C">
          <w:pPr>
            <w:pStyle w:val="Footer"/>
            <w:spacing w:after="60"/>
            <w:rPr>
              <w:sz w:val="16"/>
              <w:szCs w:val="16"/>
            </w:rPr>
          </w:pPr>
          <w:r>
            <w:rPr>
              <w:sz w:val="16"/>
              <w:szCs w:val="16"/>
            </w:rPr>
            <w:t>Job level:</w:t>
          </w:r>
        </w:p>
      </w:tc>
      <w:tc>
        <w:tcPr>
          <w:tcW w:w="3898" w:type="pct"/>
          <w:vAlign w:val="bottom"/>
        </w:tcPr>
        <w:p w:rsidR="00C300A8" w:rsidRPr="005414E3" w:rsidRDefault="00D44CFB" w:rsidP="004E680C">
          <w:pPr>
            <w:pStyle w:val="Footer"/>
            <w:spacing w:after="60"/>
            <w:rPr>
              <w:sz w:val="16"/>
            </w:rPr>
          </w:pPr>
          <w:r>
            <w:rPr>
              <w:sz w:val="16"/>
            </w:rPr>
            <w:t>EA 7</w:t>
          </w:r>
        </w:p>
      </w:tc>
    </w:tr>
    <w:tr w:rsidR="004E680C" w:rsidTr="00416FAD">
      <w:trPr>
        <w:trHeight w:val="170"/>
      </w:trPr>
      <w:tc>
        <w:tcPr>
          <w:tcW w:w="1102" w:type="pct"/>
          <w:vAlign w:val="bottom"/>
        </w:tcPr>
        <w:p w:rsidR="004E680C" w:rsidRDefault="004E680C" w:rsidP="004E680C">
          <w:pPr>
            <w:pStyle w:val="Footer"/>
            <w:spacing w:after="60"/>
            <w:rPr>
              <w:sz w:val="16"/>
              <w:szCs w:val="16"/>
            </w:rPr>
          </w:pPr>
          <w:r>
            <w:rPr>
              <w:sz w:val="16"/>
              <w:szCs w:val="16"/>
            </w:rPr>
            <w:t>Assessed by:</w:t>
          </w:r>
        </w:p>
      </w:tc>
      <w:tc>
        <w:tcPr>
          <w:tcW w:w="3898" w:type="pct"/>
          <w:vAlign w:val="bottom"/>
        </w:tcPr>
        <w:p w:rsidR="004E680C" w:rsidRPr="005414E3" w:rsidRDefault="00D44CFB" w:rsidP="004E680C">
          <w:pPr>
            <w:pStyle w:val="Footer"/>
            <w:spacing w:after="60"/>
            <w:rPr>
              <w:noProof/>
              <w:sz w:val="16"/>
              <w:lang w:val="en-AU" w:eastAsia="en-AU"/>
            </w:rPr>
          </w:pPr>
          <w:r>
            <w:rPr>
              <w:noProof/>
              <w:sz w:val="16"/>
              <w:lang w:val="en-AU" w:eastAsia="en-AU"/>
            </w:rPr>
            <w:t>P&amp;C</w:t>
          </w:r>
        </w:p>
      </w:tc>
    </w:tr>
    <w:tr w:rsidR="004E680C" w:rsidTr="00416FAD">
      <w:trPr>
        <w:trHeight w:val="170"/>
      </w:trPr>
      <w:tc>
        <w:tcPr>
          <w:tcW w:w="1102" w:type="pct"/>
          <w:vAlign w:val="bottom"/>
        </w:tcPr>
        <w:p w:rsidR="004E680C" w:rsidRDefault="004E680C" w:rsidP="004E680C">
          <w:pPr>
            <w:pStyle w:val="Footer"/>
            <w:spacing w:after="60"/>
            <w:rPr>
              <w:sz w:val="16"/>
              <w:szCs w:val="16"/>
            </w:rPr>
          </w:pPr>
          <w:r>
            <w:rPr>
              <w:sz w:val="16"/>
              <w:szCs w:val="16"/>
            </w:rPr>
            <w:t>Date</w:t>
          </w:r>
          <w:r w:rsidR="00416FAD">
            <w:rPr>
              <w:sz w:val="16"/>
              <w:szCs w:val="16"/>
            </w:rPr>
            <w:t xml:space="preserve"> Assessed</w:t>
          </w:r>
          <w:r>
            <w:rPr>
              <w:sz w:val="16"/>
              <w:szCs w:val="16"/>
            </w:rPr>
            <w:t>:</w:t>
          </w:r>
        </w:p>
      </w:tc>
      <w:tc>
        <w:tcPr>
          <w:tcW w:w="3898" w:type="pct"/>
          <w:vAlign w:val="bottom"/>
        </w:tcPr>
        <w:p w:rsidR="004E680C" w:rsidRPr="005414E3" w:rsidRDefault="00D44CFB" w:rsidP="004E680C">
          <w:pPr>
            <w:pStyle w:val="Footer"/>
            <w:spacing w:after="60"/>
            <w:rPr>
              <w:noProof/>
              <w:sz w:val="16"/>
              <w:lang w:val="en-AU" w:eastAsia="en-AU"/>
            </w:rPr>
          </w:pPr>
          <w:r>
            <w:rPr>
              <w:noProof/>
              <w:sz w:val="16"/>
              <w:lang w:val="en-AU" w:eastAsia="en-AU"/>
            </w:rPr>
            <w:t>December 2020</w:t>
          </w:r>
        </w:p>
      </w:tc>
    </w:tr>
    <w:tr w:rsidR="00416FAD" w:rsidTr="00416FAD">
      <w:trPr>
        <w:trHeight w:val="170"/>
      </w:trPr>
      <w:tc>
        <w:tcPr>
          <w:tcW w:w="1102" w:type="pct"/>
          <w:vAlign w:val="bottom"/>
        </w:tcPr>
        <w:p w:rsidR="00416FAD" w:rsidRDefault="00416FAD" w:rsidP="004E680C">
          <w:pPr>
            <w:pStyle w:val="Footer"/>
            <w:spacing w:after="60"/>
            <w:rPr>
              <w:sz w:val="16"/>
              <w:szCs w:val="16"/>
            </w:rPr>
          </w:pPr>
          <w:r>
            <w:rPr>
              <w:sz w:val="16"/>
              <w:szCs w:val="16"/>
            </w:rPr>
            <w:t>Last reviewed date:</w:t>
          </w:r>
        </w:p>
      </w:tc>
      <w:tc>
        <w:tcPr>
          <w:tcW w:w="3898" w:type="pct"/>
          <w:vAlign w:val="bottom"/>
        </w:tcPr>
        <w:p w:rsidR="00416FAD" w:rsidRPr="005414E3" w:rsidRDefault="00416FAD" w:rsidP="004E680C">
          <w:pPr>
            <w:pStyle w:val="Footer"/>
            <w:spacing w:after="60"/>
            <w:rPr>
              <w:noProof/>
              <w:sz w:val="16"/>
              <w:lang w:val="en-AU" w:eastAsia="en-AU"/>
            </w:rPr>
          </w:pP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F3" w:rsidRDefault="007B52F3" w:rsidP="00727219">
      <w:r>
        <w:separator/>
      </w:r>
    </w:p>
  </w:footnote>
  <w:footnote w:type="continuationSeparator" w:id="0">
    <w:p w:rsidR="007B52F3" w:rsidRDefault="007B52F3"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573AFB" w:rsidP="00FC2868">
    <w:pPr>
      <w:pStyle w:val="Heading2"/>
      <w:rPr>
        <w:b/>
        <w:color w:val="4D4F53" w:themeColor="accent5"/>
      </w:rPr>
    </w:pPr>
    <w:r>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C300A8" w:rsidRPr="0001592E" w:rsidRDefault="00ED33A9" w:rsidP="00ED33A9">
    <w:pPr>
      <w:pStyle w:val="Heading3"/>
      <w:rPr>
        <w:color w:val="auto"/>
      </w:rPr>
    </w:pPr>
    <w:r w:rsidRPr="00ED33A9">
      <w:rPr>
        <w:color w:val="auto"/>
      </w:rPr>
      <w:t xml:space="preserve">Senior Asset </w:t>
    </w:r>
    <w:r w:rsidR="00D44CFB">
      <w:rPr>
        <w:color w:val="auto"/>
      </w:rPr>
      <w:t>Practitioner</w:t>
    </w:r>
    <w:r w:rsidRPr="00ED33A9">
      <w:rPr>
        <w:color w:val="auto"/>
      </w:rPr>
      <w:t xml:space="preserve"> – Catchment Security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1"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2"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6644B"/>
    <w:multiLevelType w:val="hybridMultilevel"/>
    <w:tmpl w:val="B39CEE72"/>
    <w:lvl w:ilvl="0" w:tplc="0A98E9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0D02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603FD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0CCC5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A711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70E9F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0C28D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06EBC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CA835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8"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2"/>
  </w:num>
  <w:num w:numId="4">
    <w:abstractNumId w:val="5"/>
  </w:num>
  <w:num w:numId="5">
    <w:abstractNumId w:val="11"/>
  </w:num>
  <w:num w:numId="6">
    <w:abstractNumId w:val="1"/>
  </w:num>
  <w:num w:numId="7">
    <w:abstractNumId w:val="23"/>
  </w:num>
  <w:num w:numId="8">
    <w:abstractNumId w:val="0"/>
  </w:num>
  <w:num w:numId="9">
    <w:abstractNumId w:val="20"/>
  </w:num>
  <w:num w:numId="10">
    <w:abstractNumId w:val="14"/>
  </w:num>
  <w:num w:numId="11">
    <w:abstractNumId w:val="16"/>
  </w:num>
  <w:num w:numId="12">
    <w:abstractNumId w:val="10"/>
  </w:num>
  <w:num w:numId="13">
    <w:abstractNumId w:val="4"/>
  </w:num>
  <w:num w:numId="14">
    <w:abstractNumId w:val="7"/>
  </w:num>
  <w:num w:numId="15">
    <w:abstractNumId w:val="24"/>
  </w:num>
  <w:num w:numId="16">
    <w:abstractNumId w:val="17"/>
  </w:num>
  <w:num w:numId="17">
    <w:abstractNumId w:val="3"/>
  </w:num>
  <w:num w:numId="18">
    <w:abstractNumId w:val="16"/>
  </w:num>
  <w:num w:numId="19">
    <w:abstractNumId w:val="6"/>
  </w:num>
  <w:num w:numId="20">
    <w:abstractNumId w:val="9"/>
  </w:num>
  <w:num w:numId="21">
    <w:abstractNumId w:val="12"/>
  </w:num>
  <w:num w:numId="22">
    <w:abstractNumId w:val="2"/>
  </w:num>
  <w:num w:numId="23">
    <w:abstractNumId w:val="8"/>
  </w:num>
  <w:num w:numId="24">
    <w:abstractNumId w:val="21"/>
  </w:num>
  <w:num w:numId="25">
    <w:abstractNumId w:val="19"/>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74834"/>
    <w:rsid w:val="00081E9D"/>
    <w:rsid w:val="000B1550"/>
    <w:rsid w:val="000B3631"/>
    <w:rsid w:val="000C5B93"/>
    <w:rsid w:val="000E5AE3"/>
    <w:rsid w:val="000F01A1"/>
    <w:rsid w:val="000F593A"/>
    <w:rsid w:val="00114B15"/>
    <w:rsid w:val="00124310"/>
    <w:rsid w:val="0012496F"/>
    <w:rsid w:val="00156E1B"/>
    <w:rsid w:val="001674AE"/>
    <w:rsid w:val="0017028E"/>
    <w:rsid w:val="00171B3D"/>
    <w:rsid w:val="00182C0D"/>
    <w:rsid w:val="00192692"/>
    <w:rsid w:val="001B0528"/>
    <w:rsid w:val="001B6E13"/>
    <w:rsid w:val="001C4978"/>
    <w:rsid w:val="001F5AFE"/>
    <w:rsid w:val="00206FCB"/>
    <w:rsid w:val="002128CB"/>
    <w:rsid w:val="00213C02"/>
    <w:rsid w:val="00216987"/>
    <w:rsid w:val="00225D9D"/>
    <w:rsid w:val="002323A2"/>
    <w:rsid w:val="002361D0"/>
    <w:rsid w:val="002649AC"/>
    <w:rsid w:val="002B4851"/>
    <w:rsid w:val="002C4C00"/>
    <w:rsid w:val="002E2D9D"/>
    <w:rsid w:val="002F7701"/>
    <w:rsid w:val="00342B77"/>
    <w:rsid w:val="00370129"/>
    <w:rsid w:val="003751D1"/>
    <w:rsid w:val="0038551F"/>
    <w:rsid w:val="00390234"/>
    <w:rsid w:val="003A3A99"/>
    <w:rsid w:val="003A4A8D"/>
    <w:rsid w:val="003A568A"/>
    <w:rsid w:val="003C6CC7"/>
    <w:rsid w:val="003F1715"/>
    <w:rsid w:val="00402A5B"/>
    <w:rsid w:val="00407991"/>
    <w:rsid w:val="00416FAD"/>
    <w:rsid w:val="00426B74"/>
    <w:rsid w:val="00432643"/>
    <w:rsid w:val="00482BE6"/>
    <w:rsid w:val="004A5B5B"/>
    <w:rsid w:val="004B4912"/>
    <w:rsid w:val="004C0121"/>
    <w:rsid w:val="004D1B7B"/>
    <w:rsid w:val="004E680C"/>
    <w:rsid w:val="00504896"/>
    <w:rsid w:val="0051137E"/>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809A5"/>
    <w:rsid w:val="00795F82"/>
    <w:rsid w:val="007B41EC"/>
    <w:rsid w:val="007B52F3"/>
    <w:rsid w:val="007D5493"/>
    <w:rsid w:val="007D5731"/>
    <w:rsid w:val="007E0484"/>
    <w:rsid w:val="007F6490"/>
    <w:rsid w:val="00810971"/>
    <w:rsid w:val="00814F8C"/>
    <w:rsid w:val="0082433B"/>
    <w:rsid w:val="0084572F"/>
    <w:rsid w:val="00857492"/>
    <w:rsid w:val="008706BA"/>
    <w:rsid w:val="00870FE5"/>
    <w:rsid w:val="0087720B"/>
    <w:rsid w:val="008838A8"/>
    <w:rsid w:val="008A1872"/>
    <w:rsid w:val="008B6206"/>
    <w:rsid w:val="008D1920"/>
    <w:rsid w:val="00901C7C"/>
    <w:rsid w:val="00932893"/>
    <w:rsid w:val="0093699E"/>
    <w:rsid w:val="00941A8B"/>
    <w:rsid w:val="00946F5F"/>
    <w:rsid w:val="009510DE"/>
    <w:rsid w:val="009777B4"/>
    <w:rsid w:val="009A070C"/>
    <w:rsid w:val="009E6071"/>
    <w:rsid w:val="00A00DA9"/>
    <w:rsid w:val="00A01D21"/>
    <w:rsid w:val="00A17013"/>
    <w:rsid w:val="00A43A71"/>
    <w:rsid w:val="00A454B5"/>
    <w:rsid w:val="00A54333"/>
    <w:rsid w:val="00A60070"/>
    <w:rsid w:val="00A648CF"/>
    <w:rsid w:val="00A67705"/>
    <w:rsid w:val="00AE7DB7"/>
    <w:rsid w:val="00B22A72"/>
    <w:rsid w:val="00B428F8"/>
    <w:rsid w:val="00B4540E"/>
    <w:rsid w:val="00B6706D"/>
    <w:rsid w:val="00B80C70"/>
    <w:rsid w:val="00B97DC8"/>
    <w:rsid w:val="00BE5EFC"/>
    <w:rsid w:val="00BF4480"/>
    <w:rsid w:val="00C256FC"/>
    <w:rsid w:val="00C270B8"/>
    <w:rsid w:val="00C300A8"/>
    <w:rsid w:val="00C64682"/>
    <w:rsid w:val="00C726AD"/>
    <w:rsid w:val="00C96E2D"/>
    <w:rsid w:val="00CA3B57"/>
    <w:rsid w:val="00CE088A"/>
    <w:rsid w:val="00D24517"/>
    <w:rsid w:val="00D327ED"/>
    <w:rsid w:val="00D44CFB"/>
    <w:rsid w:val="00D507B7"/>
    <w:rsid w:val="00D56505"/>
    <w:rsid w:val="00D60348"/>
    <w:rsid w:val="00D6553E"/>
    <w:rsid w:val="00D80CF8"/>
    <w:rsid w:val="00DD29EF"/>
    <w:rsid w:val="00DD45EC"/>
    <w:rsid w:val="00E5589B"/>
    <w:rsid w:val="00E72801"/>
    <w:rsid w:val="00E80934"/>
    <w:rsid w:val="00E8567C"/>
    <w:rsid w:val="00E94727"/>
    <w:rsid w:val="00E957E4"/>
    <w:rsid w:val="00ED33A9"/>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paragraph" w:customStyle="1" w:styleId="Default">
    <w:name w:val="Default"/>
    <w:rsid w:val="00ED33A9"/>
    <w:pPr>
      <w:autoSpaceDE w:val="0"/>
      <w:autoSpaceDN w:val="0"/>
      <w:adjustRightInd w:val="0"/>
      <w:spacing w:before="0"/>
      <w:ind w:left="0" w:firstLine="0"/>
    </w:pPr>
    <w:rPr>
      <w:rFonts w:ascii="Verdana" w:hAnsi="Verdana" w:cs="Verdana"/>
      <w:color w:val="000000"/>
      <w:sz w:val="24"/>
      <w:szCs w:val="24"/>
      <w:lang w:val="en-AU"/>
    </w:rPr>
  </w:style>
  <w:style w:type="character" w:styleId="Emphasis">
    <w:name w:val="Emphasis"/>
    <w:uiPriority w:val="20"/>
    <w:qFormat/>
    <w:rsid w:val="00ED33A9"/>
    <w:rPr>
      <w:b/>
      <w:bCs/>
      <w:sz w:val="20"/>
      <w:szCs w:val="20"/>
      <w:lang w:val="en-US"/>
    </w:rPr>
  </w:style>
  <w:style w:type="paragraph" w:styleId="BodyText">
    <w:name w:val="Body Text"/>
    <w:basedOn w:val="Normal"/>
    <w:link w:val="BodyTextChar"/>
    <w:rsid w:val="00ED33A9"/>
    <w:pPr>
      <w:tabs>
        <w:tab w:val="clear" w:pos="9639"/>
      </w:tabs>
      <w:spacing w:after="0"/>
      <w:jc w:val="both"/>
    </w:pPr>
    <w:rPr>
      <w:rFonts w:ascii="Times New Roman" w:hAnsi="Times New Roman"/>
      <w:sz w:val="24"/>
      <w:szCs w:val="20"/>
      <w:lang w:val="en-GB"/>
    </w:rPr>
  </w:style>
  <w:style w:type="character" w:customStyle="1" w:styleId="BodyTextChar">
    <w:name w:val="Body Text Char"/>
    <w:basedOn w:val="DefaultParagraphFont"/>
    <w:link w:val="BodyText"/>
    <w:rsid w:val="00ED33A9"/>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5520-CD40-48E4-B6D0-923F694A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Wells</cp:lastModifiedBy>
  <cp:revision>2</cp:revision>
  <cp:lastPrinted>2019-09-09T06:34:00Z</cp:lastPrinted>
  <dcterms:created xsi:type="dcterms:W3CDTF">2021-02-17T07:37:00Z</dcterms:created>
  <dcterms:modified xsi:type="dcterms:W3CDTF">2021-02-17T07:37:00Z</dcterms:modified>
</cp:coreProperties>
</file>