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spacing w:after="240" w:before="24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240" w:before="24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pStyle w:val="Title"/>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Lecturer</w:t>
      </w:r>
    </w:p>
    <w:tbl>
      <w:tblPr>
        <w:tblStyle w:val="Table1"/>
        <w:tblW w:w="9709.0" w:type="dxa"/>
        <w:jc w:val="left"/>
        <w:tblInd w:w="-71.0" w:type="dxa"/>
        <w:tblLayout w:type="fixed"/>
        <w:tblLook w:val="0000"/>
      </w:tblPr>
      <w:tblGrid>
        <w:gridCol w:w="3756"/>
        <w:gridCol w:w="5953"/>
        <w:tblGridChange w:id="0">
          <w:tblGrid>
            <w:gridCol w:w="3756"/>
            <w:gridCol w:w="5953"/>
          </w:tblGrid>
        </w:tblGridChange>
      </w:tblGrid>
      <w:tr>
        <w:trPr>
          <w:cantSplit w:val="0"/>
          <w:trHeight w:val="150" w:hRule="atLeast"/>
          <w:tblHeader w:val="0"/>
        </w:trPr>
        <w:tc>
          <w:tcPr>
            <w:vAlign w:val="center"/>
          </w:tcPr>
          <w:p w:rsidR="00000000" w:rsidDel="00000000" w:rsidP="00000000" w:rsidRDefault="00000000" w:rsidRPr="00000000" w14:paraId="0000000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SCHOOL/UNIT</w:t>
            </w:r>
          </w:p>
        </w:tc>
        <w:tc>
          <w:tcPr>
            <w:vAlign w:val="center"/>
          </w:tcPr>
          <w:p w:rsidR="00000000" w:rsidDel="00000000" w:rsidP="00000000" w:rsidRDefault="00000000" w:rsidRPr="00000000" w14:paraId="00000007">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of Business </w:t>
            </w:r>
          </w:p>
        </w:tc>
      </w:tr>
      <w:tr>
        <w:trPr>
          <w:cantSplit w:val="0"/>
          <w:trHeight w:val="306" w:hRule="atLeast"/>
          <w:tblHeader w:val="0"/>
        </w:trPr>
        <w:tc>
          <w:tcPr>
            <w:vAlign w:val="center"/>
          </w:tcPr>
          <w:p w:rsidR="00000000" w:rsidDel="00000000" w:rsidP="00000000" w:rsidRDefault="00000000" w:rsidRPr="00000000" w14:paraId="0000000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SPECIALISATION</w:t>
            </w:r>
          </w:p>
        </w:tc>
        <w:tc>
          <w:tcPr>
            <w:vAlign w:val="center"/>
          </w:tcPr>
          <w:p w:rsidR="00000000" w:rsidDel="00000000" w:rsidP="00000000" w:rsidRDefault="00000000" w:rsidRPr="00000000" w14:paraId="00000009">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Management, Operations Management, Digital and International Business</w:t>
            </w:r>
          </w:p>
        </w:tc>
      </w:tr>
      <w:tr>
        <w:trPr>
          <w:cantSplit w:val="0"/>
          <w:trHeight w:val="306" w:hRule="atLeast"/>
          <w:tblHeader w:val="0"/>
        </w:trPr>
        <w:tc>
          <w:tcPr>
            <w:vAlign w:val="center"/>
          </w:tcPr>
          <w:p w:rsidR="00000000" w:rsidDel="00000000" w:rsidP="00000000" w:rsidRDefault="00000000" w:rsidRPr="00000000" w14:paraId="0000000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CLASSIFICATION</w:t>
            </w:r>
          </w:p>
        </w:tc>
        <w:tc>
          <w:tcPr>
            <w:vAlign w:val="center"/>
          </w:tcPr>
          <w:p w:rsidR="00000000" w:rsidDel="00000000" w:rsidP="00000000" w:rsidRDefault="00000000" w:rsidRPr="00000000" w14:paraId="0000000B">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Level B</w:t>
            </w:r>
          </w:p>
        </w:tc>
      </w:tr>
      <w:tr>
        <w:trPr>
          <w:cantSplit w:val="0"/>
          <w:trHeight w:val="306" w:hRule="atLeast"/>
          <w:tblHeader w:val="0"/>
        </w:trPr>
        <w:tc>
          <w:tcPr>
            <w:vAlign w:val="center"/>
          </w:tcPr>
          <w:p w:rsidR="00000000" w:rsidDel="00000000" w:rsidP="00000000" w:rsidRDefault="00000000" w:rsidRPr="00000000" w14:paraId="0000000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WORK LOCATION</w:t>
            </w:r>
          </w:p>
        </w:tc>
        <w:tc>
          <w:tcPr>
            <w:vAlign w:val="center"/>
          </w:tcPr>
          <w:p w:rsidR="00000000" w:rsidDel="00000000" w:rsidP="00000000" w:rsidRDefault="00000000" w:rsidRPr="00000000" w14:paraId="0000000D">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 campus</w:t>
            </w:r>
          </w:p>
        </w:tc>
      </w:tr>
    </w:tbl>
    <w:p w:rsidR="00000000" w:rsidDel="00000000" w:rsidP="00000000" w:rsidRDefault="00000000" w:rsidRPr="00000000" w14:paraId="0000000E">
      <w:pPr>
        <w:pStyle w:val="Heading2"/>
        <w:jc w:val="both"/>
        <w:rPr>
          <w:rFonts w:ascii="Arial" w:cs="Arial" w:eastAsia="Arial" w:hAnsi="Arial"/>
        </w:rPr>
      </w:pPr>
      <w:r w:rsidDel="00000000" w:rsidR="00000000" w:rsidRPr="00000000">
        <w:rPr>
          <w:rtl w:val="0"/>
        </w:rPr>
      </w:r>
    </w:p>
    <w:p w:rsidR="00000000" w:rsidDel="00000000" w:rsidP="00000000" w:rsidRDefault="00000000" w:rsidRPr="00000000" w14:paraId="0000000F">
      <w:pPr>
        <w:pStyle w:val="Heading2"/>
        <w:jc w:val="both"/>
        <w:rPr>
          <w:rFonts w:ascii="Arial" w:cs="Arial" w:eastAsia="Arial" w:hAnsi="Arial"/>
        </w:rPr>
      </w:pPr>
      <w:r w:rsidDel="00000000" w:rsidR="00000000" w:rsidRPr="00000000">
        <w:rPr>
          <w:rFonts w:ascii="Arial" w:cs="Arial" w:eastAsia="Arial" w:hAnsi="Arial"/>
          <w:rtl w:val="0"/>
        </w:rPr>
        <w:t xml:space="preserve">Organisational context</w:t>
      </w:r>
    </w:p>
    <w:p w:rsidR="00000000" w:rsidDel="00000000" w:rsidP="00000000" w:rsidRDefault="00000000" w:rsidRPr="00000000" w14:paraId="00000010">
      <w:pPr>
        <w:spacing w:after="0" w:line="240" w:lineRule="auto"/>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Monash University is a modern, global, research-intensive university, delivering education and research excellence in Australia and across the Indo-Pacific. We are making a positive impact on today's global challenges – whether by mitigating climate change, easing geopolitical insecurity or fostering healthy communities. </w:t>
      </w:r>
      <w:r w:rsidDel="00000000" w:rsidR="00000000" w:rsidRPr="00000000">
        <w:rPr>
          <w:rFonts w:ascii="Arial" w:cs="Arial" w:eastAsia="Arial" w:hAnsi="Arial"/>
          <w:sz w:val="22"/>
          <w:szCs w:val="22"/>
          <w:rtl w:val="0"/>
        </w:rPr>
        <w:t xml:space="preserve">Monash University is Australia’s largest university and a member of the prestigious Group of Eight, a group of Australia's eight leading research universities. We have been consistently ranked among the world’s top universities, at 42nd globally in the QS World University Rankings and 54th in the Times Higher Education World University Rankings in 2024,  reflecting our strong commitment to academic and research excellence.</w:t>
      </w:r>
    </w:p>
    <w:p w:rsidR="00000000" w:rsidDel="00000000" w:rsidP="00000000" w:rsidRDefault="00000000" w:rsidRPr="00000000" w14:paraId="00000011">
      <w:pPr>
        <w:spacing w:after="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Monash University is a global university with four campuses in Australia and a campus in Malaysia and Indonesia. </w:t>
      </w:r>
      <w:r w:rsidDel="00000000" w:rsidR="00000000" w:rsidRPr="00000000">
        <w:rPr>
          <w:rFonts w:ascii="Arial" w:cs="Arial" w:eastAsia="Arial" w:hAnsi="Arial"/>
          <w:sz w:val="22"/>
          <w:szCs w:val="22"/>
          <w:highlight w:val="white"/>
          <w:rtl w:val="0"/>
        </w:rPr>
        <w:t xml:space="preserve">In India, Monash Research Academy is a postgraduate research and PhD training partnership with the Indian Institute of Technology Bombay, whilst Monash-Suzhou is a partnership between Monash University and Southeast University focused on world-class research and training in China</w:t>
      </w:r>
      <w:r w:rsidDel="00000000" w:rsidR="00000000" w:rsidRPr="00000000">
        <w:rPr>
          <w:rFonts w:ascii="Arial" w:cs="Arial" w:eastAsia="Arial" w:hAnsi="Arial"/>
          <w:sz w:val="22"/>
          <w:szCs w:val="22"/>
          <w:rtl w:val="0"/>
        </w:rPr>
        <w:t xml:space="preserve">. The Monash University Prato Centre meanwhile provides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European base for international research and education. Additionally, Monash has extensive international partnerships and study abroad programs with more than 100+ partner universities around the world.</w:t>
      </w:r>
    </w:p>
    <w:p w:rsidR="00000000" w:rsidDel="00000000" w:rsidP="00000000" w:rsidRDefault="00000000" w:rsidRPr="00000000" w14:paraId="00000013">
      <w:pPr>
        <w:spacing w:after="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Established in 1998, Monash University Malaysia is Monash’s third-largest campus and one of Malaysia’s most respected higher education institutions. More than 9,700 students representing approximately 77 nationalities are currently enrolled at Monash Malaysia, and they enjoy a quality study experience supported by committed staff members. We place a strong emphasis on student experience and strive to produce graduates who can lead and contribute to their local and regional communities. Our graduates can be found in positions of importance all over the world. Since welcoming our first cohort of 417 students, we have graduated more than 27,500 students, including 800 PhDs.</w:t>
      </w:r>
    </w:p>
    <w:p w:rsidR="00000000" w:rsidDel="00000000" w:rsidP="00000000" w:rsidRDefault="00000000" w:rsidRPr="00000000" w14:paraId="00000015">
      <w:pPr>
        <w:spacing w:after="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pride ourselves in educational excellence, offering degrees in arts and social sciences, business, engineering, information technology, medicine, psychology and health sciences, pharmacy, and science across seven schools. New courses in emerging areas, including artificial intelligence, data science, digital business and pharmaceutical science, expand our range of internationally-recognised degrees for a changing world. We invest in constantly upgrading our facilities to incorporate cutting-edge teaching and learning technology to enhance our students’ and staff’s experience.</w:t>
      </w:r>
    </w:p>
    <w:p w:rsidR="00000000" w:rsidDel="00000000" w:rsidP="00000000" w:rsidRDefault="00000000" w:rsidRPr="00000000" w14:paraId="00000017">
      <w:pPr>
        <w:spacing w:after="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line with Monash University’s strategic plan, Impact 2030, our research focuses on issues of national and global significance. We strive to formulate and implement solutions that could mitigate the effects of climate change,  promote geopolitical security in the ASEAN region and  improve health and wellbeing to enable communities to thrive. Our </w:t>
      </w:r>
      <w:hyperlink r:id="rId7">
        <w:r w:rsidDel="00000000" w:rsidR="00000000" w:rsidRPr="00000000">
          <w:rPr>
            <w:rFonts w:ascii="Arial" w:cs="Arial" w:eastAsia="Arial" w:hAnsi="Arial"/>
            <w:color w:val="1155cc"/>
            <w:sz w:val="22"/>
            <w:szCs w:val="22"/>
            <w:u w:val="single"/>
            <w:rtl w:val="0"/>
          </w:rPr>
          <w:t xml:space="preserve">research projects</w:t>
        </w:r>
      </w:hyperlink>
      <w:r w:rsidDel="00000000" w:rsidR="00000000" w:rsidRPr="00000000">
        <w:rPr>
          <w:rFonts w:ascii="Arial" w:cs="Arial" w:eastAsia="Arial" w:hAnsi="Arial"/>
          <w:sz w:val="22"/>
          <w:szCs w:val="22"/>
          <w:rtl w:val="0"/>
        </w:rPr>
        <w:t xml:space="preserve"> and </w:t>
      </w:r>
      <w:hyperlink r:id="rId8">
        <w:r w:rsidDel="00000000" w:rsidR="00000000" w:rsidRPr="00000000">
          <w:rPr>
            <w:rFonts w:ascii="Arial" w:cs="Arial" w:eastAsia="Arial" w:hAnsi="Arial"/>
            <w:color w:val="1155cc"/>
            <w:sz w:val="22"/>
            <w:szCs w:val="22"/>
            <w:u w:val="single"/>
            <w:rtl w:val="0"/>
          </w:rPr>
          <w:t xml:space="preserve">researchers</w:t>
        </w:r>
      </w:hyperlink>
      <w:r w:rsidDel="00000000" w:rsidR="00000000" w:rsidRPr="00000000">
        <w:rPr>
          <w:rFonts w:ascii="Arial" w:cs="Arial" w:eastAsia="Arial" w:hAnsi="Arial"/>
          <w:sz w:val="22"/>
          <w:szCs w:val="22"/>
          <w:rtl w:val="0"/>
        </w:rPr>
        <w:t xml:space="preserve"> are making long-term and sustainable impact across health, economics, policy, technology, the environment and society at large. We also offer a broad range of </w:t>
      </w:r>
      <w:hyperlink r:id="rId9">
        <w:r w:rsidDel="00000000" w:rsidR="00000000" w:rsidRPr="00000000">
          <w:rPr>
            <w:rFonts w:ascii="Arial" w:cs="Arial" w:eastAsia="Arial" w:hAnsi="Arial"/>
            <w:color w:val="1155cc"/>
            <w:sz w:val="22"/>
            <w:szCs w:val="22"/>
            <w:u w:val="single"/>
            <w:rtl w:val="0"/>
          </w:rPr>
          <w:t xml:space="preserve">world-class infrastructure and services</w:t>
        </w:r>
      </w:hyperlink>
      <w:r w:rsidDel="00000000" w:rsidR="00000000" w:rsidRPr="00000000">
        <w:rPr>
          <w:rFonts w:ascii="Arial" w:cs="Arial" w:eastAsia="Arial" w:hAnsi="Arial"/>
          <w:sz w:val="22"/>
          <w:szCs w:val="22"/>
          <w:rtl w:val="0"/>
        </w:rPr>
        <w:t xml:space="preserve"> to support the needs of the research community and industry.</w:t>
      </w:r>
    </w:p>
    <w:p w:rsidR="00000000" w:rsidDel="00000000" w:rsidP="00000000" w:rsidRDefault="00000000" w:rsidRPr="00000000" w14:paraId="00000019">
      <w:pPr>
        <w:spacing w:after="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Our campus is located in Greater Kuala Lumpur, one of the region’s industrial hotspots. We sit in the heart of the rapidly developing economic corridor linking Singapore, Kuala Lumpur, Bangkok and beyond. Our education and research are oriented towards deep engagement with this dynamic socio-economic and industrial landscape.</w:t>
      </w:r>
    </w:p>
    <w:p w:rsidR="00000000" w:rsidDel="00000000" w:rsidP="00000000" w:rsidRDefault="00000000" w:rsidRPr="00000000" w14:paraId="0000001B">
      <w:pPr>
        <w:spacing w:after="0" w:line="240" w:lineRule="auto"/>
        <w:jc w:val="both"/>
        <w:rPr>
          <w:rFonts w:ascii="Arial" w:cs="Arial" w:eastAsia="Arial" w:hAnsi="Arial"/>
          <w:color w:val="512da8"/>
          <w:sz w:val="22"/>
          <w:szCs w:val="22"/>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Monash University Malaysia is committed to delivering quality education and research to address the global challenges of our time, and we have ambitious plans to reach our goals. Join us as we make a positive difference for the betterment of communities worldwide</w:t>
      </w:r>
      <w:r w:rsidDel="00000000" w:rsidR="00000000" w:rsidRPr="00000000">
        <w:rPr>
          <w:rFonts w:ascii="Arial" w:cs="Arial" w:eastAsia="Arial" w:hAnsi="Arial"/>
          <w:color w:val="512da8"/>
          <w:sz w:val="22"/>
          <w:szCs w:val="22"/>
          <w:rtl w:val="0"/>
        </w:rPr>
        <w:t xml:space="preserve">.</w:t>
      </w: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Fonts w:ascii="Arial" w:cs="Arial" w:eastAsia="Arial" w:hAnsi="Arial"/>
          <w:sz w:val="22"/>
          <w:szCs w:val="22"/>
          <w:rtl w:val="0"/>
        </w:rPr>
        <w:t xml:space="preserve">For further information, please visit </w:t>
      </w:r>
      <w:hyperlink r:id="rId10">
        <w:r w:rsidDel="00000000" w:rsidR="00000000" w:rsidRPr="00000000">
          <w:rPr>
            <w:rFonts w:ascii="Arial" w:cs="Arial" w:eastAsia="Arial" w:hAnsi="Arial"/>
            <w:color w:val="1155cc"/>
            <w:sz w:val="22"/>
            <w:szCs w:val="22"/>
            <w:u w:val="single"/>
            <w:rtl w:val="0"/>
          </w:rPr>
          <w:t xml:space="preserve">www.monash.edu.my</w:t>
        </w:r>
      </w:hyperlink>
      <w:r w:rsidDel="00000000" w:rsidR="00000000" w:rsidRPr="00000000">
        <w:rPr>
          <w:rFonts w:ascii="Arial" w:cs="Arial" w:eastAsia="Arial" w:hAnsi="Arial"/>
          <w:rtl w:val="0"/>
        </w:rPr>
        <w:t xml:space="preserve">.</w:t>
      </w:r>
    </w:p>
    <w:p w:rsidR="00000000" w:rsidDel="00000000" w:rsidP="00000000" w:rsidRDefault="00000000" w:rsidRPr="00000000" w14:paraId="0000001F">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jc w:val="both"/>
        <w:rPr>
          <w:rFonts w:ascii="Arial" w:cs="Arial" w:eastAsia="Arial" w:hAnsi="Arial"/>
          <w:color w:val="000000"/>
        </w:rPr>
      </w:pPr>
      <w:r w:rsidDel="00000000" w:rsidR="00000000" w:rsidRPr="00000000">
        <w:rPr>
          <w:rFonts w:ascii="Arial" w:cs="Arial" w:eastAsia="Arial" w:hAnsi="Arial"/>
          <w:color w:val="000000"/>
          <w:rtl w:val="0"/>
        </w:rPr>
        <w:t xml:space="preserve">The School of Business is the largest school at Monash University Malaysia with about 2,900 students and 90 staff. The School is structured into seven departments: Accounting, Finance, Business Law and Taxation, Strategic Marketing, Management, Economics, and Econometrics and Business Statistics. The School is part of Monash University’s Faculty of Business and Economics.</w:t>
      </w:r>
    </w:p>
    <w:p w:rsidR="00000000" w:rsidDel="00000000" w:rsidP="00000000" w:rsidRDefault="00000000" w:rsidRPr="00000000" w14:paraId="00000021">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jc w:val="both"/>
        <w:rPr>
          <w:rFonts w:ascii="Arial" w:cs="Arial" w:eastAsia="Arial" w:hAnsi="Arial"/>
          <w:color w:val="000000"/>
        </w:rPr>
      </w:pPr>
      <w:r w:rsidDel="00000000" w:rsidR="00000000" w:rsidRPr="00000000">
        <w:rPr>
          <w:rFonts w:ascii="Arial" w:cs="Arial" w:eastAsia="Arial" w:hAnsi="Arial"/>
          <w:color w:val="000000"/>
          <w:rtl w:val="0"/>
        </w:rPr>
        <w:t xml:space="preserve">The School of Business is an innovative, entrepreneurial and culturally diverse organisation. Its mission is to have an impact on the way business is conducted through high quality research, educational excellence and engagement with stakeholders</w:t>
      </w:r>
    </w:p>
    <w:p w:rsidR="00000000" w:rsidDel="00000000" w:rsidP="00000000" w:rsidRDefault="00000000" w:rsidRPr="00000000" w14:paraId="00000023">
      <w:pPr>
        <w:jc w:val="both"/>
        <w:rPr>
          <w:rFonts w:ascii="Arial" w:cs="Arial" w:eastAsia="Arial" w:hAnsi="Arial"/>
          <w:color w:val="000000"/>
        </w:rPr>
      </w:pPr>
      <w:r w:rsidDel="00000000" w:rsidR="00000000" w:rsidRPr="00000000">
        <w:rPr>
          <w:rFonts w:ascii="Arial" w:cs="Arial" w:eastAsia="Arial" w:hAnsi="Arial"/>
          <w:color w:val="000000"/>
          <w:rtl w:val="0"/>
        </w:rPr>
        <w:t xml:space="preserve">For more information, please visit: </w:t>
      </w:r>
      <w:hyperlink r:id="rId11">
        <w:r w:rsidDel="00000000" w:rsidR="00000000" w:rsidRPr="00000000">
          <w:rPr>
            <w:rFonts w:ascii="Arial" w:cs="Arial" w:eastAsia="Arial" w:hAnsi="Arial"/>
            <w:color w:val="000000"/>
            <w:u w:val="single"/>
            <w:rtl w:val="0"/>
          </w:rPr>
          <w:t xml:space="preserve">https://www.monash.edu.my/business</w:t>
        </w:r>
      </w:hyperlink>
      <w:r w:rsidDel="00000000" w:rsidR="00000000" w:rsidRPr="00000000">
        <w:rPr>
          <w:rtl w:val="0"/>
        </w:rPr>
      </w:r>
    </w:p>
    <w:p w:rsidR="00000000" w:rsidDel="00000000" w:rsidP="00000000" w:rsidRDefault="00000000" w:rsidRPr="00000000" w14:paraId="00000024">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25">
      <w:pPr>
        <w:pStyle w:val="Heading2"/>
        <w:jc w:val="both"/>
        <w:rPr>
          <w:rFonts w:ascii="Arial" w:cs="Arial" w:eastAsia="Arial" w:hAnsi="Arial"/>
        </w:rPr>
      </w:pPr>
      <w:bookmarkStart w:colFirst="0" w:colLast="0" w:name="_heading=h.j0qcc7aswad" w:id="1"/>
      <w:bookmarkEnd w:id="1"/>
      <w:r w:rsidDel="00000000" w:rsidR="00000000" w:rsidRPr="00000000">
        <w:rPr>
          <w:rFonts w:ascii="Arial" w:cs="Arial" w:eastAsia="Arial" w:hAnsi="Arial"/>
          <w:rtl w:val="0"/>
        </w:rPr>
        <w:t xml:space="preserve">Position purpose</w:t>
      </w:r>
    </w:p>
    <w:p w:rsidR="00000000" w:rsidDel="00000000" w:rsidP="00000000" w:rsidRDefault="00000000" w:rsidRPr="00000000" w14:paraId="00000026">
      <w:pPr>
        <w:spacing w:after="12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Level B academic is expected to make contributions to the teaching effort of the university and to carry out activities to maintain and develop her/his scholarly, research and/or professional activities relevant to the profession or discipline.</w:t>
      </w:r>
    </w:p>
    <w:p w:rsidR="00000000" w:rsidDel="00000000" w:rsidP="00000000" w:rsidRDefault="00000000" w:rsidRPr="00000000" w14:paraId="00000027">
      <w:pPr>
        <w:spacing w:after="12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academic will be responsible in teaching and administration of undergraduate, postgraduate and executive education programs in the area of Management, Operations Management, Supply Chain Management, Organisational Behaviour, International Business and Digital Transformation within the School. The academic will also be responsible for undertaking activities that maintain and develop scholarly research and the professional activities that are related to the discipline.</w:t>
      </w:r>
    </w:p>
    <w:p w:rsidR="00000000" w:rsidDel="00000000" w:rsidP="00000000" w:rsidRDefault="00000000" w:rsidRPr="00000000" w14:paraId="00000028">
      <w:pPr>
        <w:spacing w:after="12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role contributes primarily to teaching of management, operations management, supply chain management, organisational behaviour, international business and digital transformation related units at undergraduate and graduate levels and conducting competitive industry focused research on business. The areas of interest include but not limited to human resource management, strategic management, international management, organisational change, digital business and business sustainability.</w:t>
      </w:r>
    </w:p>
    <w:p w:rsidR="00000000" w:rsidDel="00000000" w:rsidP="00000000" w:rsidRDefault="00000000" w:rsidRPr="00000000" w14:paraId="00000029">
      <w:pPr>
        <w:spacing w:after="120" w:line="240" w:lineRule="auto"/>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A">
      <w:pPr>
        <w:spacing w:after="12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after="12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Reporting line:</w:t>
      </w:r>
      <w:r w:rsidDel="00000000" w:rsidR="00000000" w:rsidRPr="00000000">
        <w:rPr>
          <w:rFonts w:ascii="Arial" w:cs="Arial" w:eastAsia="Arial" w:hAnsi="Arial"/>
          <w:color w:val="000000"/>
          <w:sz w:val="22"/>
          <w:szCs w:val="22"/>
          <w:rtl w:val="0"/>
        </w:rPr>
        <w:t xml:space="preserve"> The position reports to Head of Department, Department of Management</w:t>
      </w:r>
    </w:p>
    <w:p w:rsidR="00000000" w:rsidDel="00000000" w:rsidP="00000000" w:rsidRDefault="00000000" w:rsidRPr="00000000" w14:paraId="0000002C">
      <w:pPr>
        <w:spacing w:after="120" w:line="24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Supervisory responsibilities:</w:t>
      </w:r>
      <w:r w:rsidDel="00000000" w:rsidR="00000000" w:rsidRPr="00000000">
        <w:rPr>
          <w:rFonts w:ascii="Arial" w:cs="Arial" w:eastAsia="Arial" w:hAnsi="Arial"/>
          <w:color w:val="000000"/>
          <w:sz w:val="22"/>
          <w:szCs w:val="22"/>
          <w:rtl w:val="0"/>
        </w:rPr>
        <w:t xml:space="preserve"> Not applicable</w:t>
      </w:r>
    </w:p>
    <w:p w:rsidR="00000000" w:rsidDel="00000000" w:rsidP="00000000" w:rsidRDefault="00000000" w:rsidRPr="00000000" w14:paraId="0000002D">
      <w:pPr>
        <w:spacing w:after="240" w:line="240"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Financial delegation and/or budget responsibilities:</w:t>
      </w:r>
      <w:r w:rsidDel="00000000" w:rsidR="00000000" w:rsidRPr="00000000">
        <w:rPr>
          <w:rFonts w:ascii="Arial" w:cs="Arial" w:eastAsia="Arial" w:hAnsi="Arial"/>
          <w:color w:val="000000"/>
          <w:sz w:val="22"/>
          <w:szCs w:val="22"/>
          <w:rtl w:val="0"/>
        </w:rPr>
        <w:t xml:space="preserve"> Not applicable</w:t>
      </w:r>
    </w:p>
    <w:p w:rsidR="00000000" w:rsidDel="00000000" w:rsidP="00000000" w:rsidRDefault="00000000" w:rsidRPr="00000000" w14:paraId="0000002E">
      <w:pPr>
        <w:pStyle w:val="Heading2"/>
        <w:jc w:val="both"/>
        <w:rPr>
          <w:rFonts w:ascii="Arial" w:cs="Arial" w:eastAsia="Arial" w:hAnsi="Arial"/>
        </w:rPr>
      </w:pPr>
      <w:r w:rsidDel="00000000" w:rsidR="00000000" w:rsidRPr="00000000">
        <w:rPr>
          <w:rFonts w:ascii="Arial" w:cs="Arial" w:eastAsia="Arial" w:hAnsi="Arial"/>
          <w:rtl w:val="0"/>
        </w:rPr>
        <w:t xml:space="preserve">Key responsibilities</w:t>
      </w:r>
    </w:p>
    <w:p w:rsidR="00000000" w:rsidDel="00000000" w:rsidP="00000000" w:rsidRDefault="00000000" w:rsidRPr="00000000" w14:paraId="0000002F">
      <w:pPr>
        <w:numPr>
          <w:ilvl w:val="0"/>
          <w:numId w:val="2"/>
        </w:numPr>
        <w:tabs>
          <w:tab w:val="left" w:leader="none" w:pos="397"/>
        </w:tabs>
        <w:spacing w:after="0"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Contribute to curriculum development, innovation, enhancement and quality assurance in the undergraduate and postgraduate units</w:t>
      </w:r>
    </w:p>
    <w:p w:rsidR="00000000" w:rsidDel="00000000" w:rsidP="00000000" w:rsidRDefault="00000000" w:rsidRPr="00000000" w14:paraId="00000030">
      <w:pPr>
        <w:numPr>
          <w:ilvl w:val="0"/>
          <w:numId w:val="2"/>
        </w:numPr>
        <w:tabs>
          <w:tab w:val="left" w:leader="none" w:pos="397"/>
        </w:tabs>
        <w:spacing w:after="0"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Deliver innovative and excellent teaching, learning and assessment experiences for undergraduate and postgraduate students</w:t>
      </w:r>
    </w:p>
    <w:p w:rsidR="00000000" w:rsidDel="00000000" w:rsidP="00000000" w:rsidRDefault="00000000" w:rsidRPr="00000000" w14:paraId="00000031">
      <w:pPr>
        <w:numPr>
          <w:ilvl w:val="0"/>
          <w:numId w:val="2"/>
        </w:numPr>
        <w:tabs>
          <w:tab w:val="left" w:leader="none" w:pos="397"/>
        </w:tabs>
        <w:spacing w:after="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Conduct original research, developing an active record of publication and starting to build a profile </w:t>
      </w:r>
      <w:r w:rsidDel="00000000" w:rsidR="00000000" w:rsidRPr="00000000">
        <w:rPr>
          <w:rFonts w:ascii="Arial" w:cs="Arial" w:eastAsia="Arial" w:hAnsi="Arial"/>
          <w:color w:val="000000"/>
          <w:sz w:val="22"/>
          <w:szCs w:val="22"/>
          <w:rtl w:val="0"/>
        </w:rPr>
        <w:t xml:space="preserve">of grants and supervision</w:t>
      </w:r>
    </w:p>
    <w:p w:rsidR="00000000" w:rsidDel="00000000" w:rsidP="00000000" w:rsidRDefault="00000000" w:rsidRPr="00000000" w14:paraId="00000032">
      <w:pPr>
        <w:numPr>
          <w:ilvl w:val="0"/>
          <w:numId w:val="2"/>
        </w:numPr>
        <w:tabs>
          <w:tab w:val="left" w:leader="none" w:pos="397"/>
        </w:tabs>
        <w:spacing w:after="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Participate in collaborations with other universities and with government, industry and/or civil society to drive research impact and educational excellence</w:t>
      </w:r>
    </w:p>
    <w:p w:rsidR="00000000" w:rsidDel="00000000" w:rsidP="00000000" w:rsidRDefault="00000000" w:rsidRPr="00000000" w14:paraId="00000033">
      <w:pPr>
        <w:numPr>
          <w:ilvl w:val="0"/>
          <w:numId w:val="2"/>
        </w:numPr>
        <w:tabs>
          <w:tab w:val="left" w:leader="none" w:pos="397"/>
        </w:tabs>
        <w:spacing w:after="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Support the management of education, research and/or administration in the School through, for example, participation in committees</w:t>
      </w:r>
    </w:p>
    <w:p w:rsidR="00000000" w:rsidDel="00000000" w:rsidP="00000000" w:rsidRDefault="00000000" w:rsidRPr="00000000" w14:paraId="00000034">
      <w:pPr>
        <w:numPr>
          <w:ilvl w:val="0"/>
          <w:numId w:val="2"/>
        </w:numPr>
        <w:tabs>
          <w:tab w:val="left" w:leader="none" w:pos="397"/>
        </w:tabs>
        <w:spacing w:after="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Participate in collaborations with other universities and with government, industry and/or civil society to drive research impact and educational excellence</w:t>
      </w:r>
    </w:p>
    <w:p w:rsidR="00000000" w:rsidDel="00000000" w:rsidP="00000000" w:rsidRDefault="00000000" w:rsidRPr="00000000" w14:paraId="00000035">
      <w:pPr>
        <w:numPr>
          <w:ilvl w:val="0"/>
          <w:numId w:val="2"/>
        </w:numPr>
        <w:tabs>
          <w:tab w:val="left" w:leader="none" w:pos="397"/>
        </w:tabs>
        <w:spacing w:after="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Support the management of education, research and/or administration in the School through, for example, participation in committees</w:t>
      </w:r>
    </w:p>
    <w:p w:rsidR="00000000" w:rsidDel="00000000" w:rsidP="00000000" w:rsidRDefault="00000000" w:rsidRPr="00000000" w14:paraId="00000036">
      <w:pPr>
        <w:pStyle w:val="Heading2"/>
        <w:jc w:val="both"/>
        <w:rPr>
          <w:rFonts w:ascii="Arial" w:cs="Arial" w:eastAsia="Arial" w:hAnsi="Arial"/>
        </w:rPr>
      </w:pPr>
      <w:r w:rsidDel="00000000" w:rsidR="00000000" w:rsidRPr="00000000">
        <w:rPr>
          <w:rFonts w:ascii="Arial" w:cs="Arial" w:eastAsia="Arial" w:hAnsi="Arial"/>
          <w:rtl w:val="0"/>
        </w:rPr>
        <w:t xml:space="preserve">Key selection criteria</w:t>
      </w:r>
    </w:p>
    <w:p w:rsidR="00000000" w:rsidDel="00000000" w:rsidP="00000000" w:rsidRDefault="00000000" w:rsidRPr="00000000" w14:paraId="00000037">
      <w:pPr>
        <w:keepNext w:val="1"/>
        <w:spacing w:after="120" w:before="120"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Education/Qualifications</w:t>
      </w:r>
      <w:r w:rsidDel="00000000" w:rsidR="00000000" w:rsidRPr="00000000">
        <w:rPr>
          <w:rtl w:val="0"/>
        </w:rPr>
      </w:r>
    </w:p>
    <w:p w:rsidR="00000000" w:rsidDel="00000000" w:rsidP="00000000" w:rsidRDefault="00000000" w:rsidRPr="00000000" w14:paraId="00000038">
      <w:pPr>
        <w:numPr>
          <w:ilvl w:val="0"/>
          <w:numId w:val="1"/>
        </w:numPr>
        <w:spacing w:after="0"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doctoral qualification (PhD) or equivalent qualification</w:t>
      </w:r>
    </w:p>
    <w:p w:rsidR="00000000" w:rsidDel="00000000" w:rsidP="00000000" w:rsidRDefault="00000000" w:rsidRPr="00000000" w14:paraId="00000039">
      <w:pPr>
        <w:numPr>
          <w:ilvl w:val="0"/>
          <w:numId w:val="1"/>
        </w:numPr>
        <w:spacing w:after="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Demonstrated experience in the development of curriculum content</w:t>
      </w:r>
    </w:p>
    <w:p w:rsidR="00000000" w:rsidDel="00000000" w:rsidP="00000000" w:rsidRDefault="00000000" w:rsidRPr="00000000" w14:paraId="0000003A">
      <w:pPr>
        <w:numPr>
          <w:ilvl w:val="0"/>
          <w:numId w:val="1"/>
        </w:numPr>
        <w:spacing w:after="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strong record of teaching which demonstrates a commitment to educational innovation</w:t>
      </w:r>
    </w:p>
    <w:p w:rsidR="00000000" w:rsidDel="00000000" w:rsidP="00000000" w:rsidRDefault="00000000" w:rsidRPr="00000000" w14:paraId="0000003B">
      <w:pPr>
        <w:numPr>
          <w:ilvl w:val="0"/>
          <w:numId w:val="1"/>
        </w:numPr>
        <w:spacing w:after="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Demonstrated ability to teach in a university environment</w:t>
      </w:r>
    </w:p>
    <w:p w:rsidR="00000000" w:rsidDel="00000000" w:rsidP="00000000" w:rsidRDefault="00000000" w:rsidRPr="00000000" w14:paraId="0000003C">
      <w:pPr>
        <w:numPr>
          <w:ilvl w:val="0"/>
          <w:numId w:val="1"/>
        </w:numPr>
        <w:spacing w:after="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Demonstrated ability to produce excellent research and supervision of Undergraduate/Honours students</w:t>
      </w:r>
    </w:p>
    <w:p w:rsidR="00000000" w:rsidDel="00000000" w:rsidP="00000000" w:rsidRDefault="00000000" w:rsidRPr="00000000" w14:paraId="0000003D">
      <w:pPr>
        <w:numPr>
          <w:ilvl w:val="0"/>
          <w:numId w:val="1"/>
        </w:numPr>
        <w:spacing w:after="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Demonstrated ability to work with partners in universities, government and/or civil society</w:t>
      </w:r>
    </w:p>
    <w:p w:rsidR="00000000" w:rsidDel="00000000" w:rsidP="00000000" w:rsidRDefault="00000000" w:rsidRPr="00000000" w14:paraId="0000003E">
      <w:pPr>
        <w:numPr>
          <w:ilvl w:val="0"/>
          <w:numId w:val="1"/>
        </w:numPr>
        <w:spacing w:after="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Demonstrated skills and experience in collaboration and teamwork</w:t>
      </w:r>
    </w:p>
    <w:p w:rsidR="00000000" w:rsidDel="00000000" w:rsidP="00000000" w:rsidRDefault="00000000" w:rsidRPr="00000000" w14:paraId="0000003F">
      <w:pPr>
        <w:numPr>
          <w:ilvl w:val="0"/>
          <w:numId w:val="1"/>
        </w:numPr>
        <w:spacing w:after="0" w:line="2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Research agenda must show high translational impact and must align with the Department’s research focus areas of i) Entrepreneurship in Emerging Markets; and ii) People and Work</w:t>
      </w:r>
    </w:p>
    <w:p w:rsidR="00000000" w:rsidDel="00000000" w:rsidP="00000000" w:rsidRDefault="00000000" w:rsidRPr="00000000" w14:paraId="00000040">
      <w:pPr>
        <w:pStyle w:val="Heading2"/>
        <w:jc w:val="both"/>
        <w:rPr>
          <w:rFonts w:ascii="Arial" w:cs="Arial" w:eastAsia="Arial" w:hAnsi="Arial"/>
        </w:rPr>
      </w:pPr>
      <w:r w:rsidDel="00000000" w:rsidR="00000000" w:rsidRPr="00000000">
        <w:rPr>
          <w:rFonts w:ascii="Arial" w:cs="Arial" w:eastAsia="Arial" w:hAnsi="Arial"/>
          <w:rtl w:val="0"/>
        </w:rPr>
        <w:t xml:space="preserve">Legal compliance</w:t>
      </w:r>
    </w:p>
    <w:p w:rsidR="00000000" w:rsidDel="00000000" w:rsidP="00000000" w:rsidRDefault="00000000" w:rsidRPr="00000000" w14:paraId="00000041">
      <w:pPr>
        <w:spacing w:after="12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Ensure you are aware of and adhere to legislation and University policy relevant to the duties undertaken, including: Equal Employment Opportunity, supporting equity and fairness; Occupational Health and Safety, supporting a safe workplace; Conflict of Interest (including Conflict of Interest in Research); Paid Outside Work; Privacy; Personal Data Protection; Research Conduct; and Staff/Student Relationships.</w:t>
      </w:r>
    </w:p>
    <w:p w:rsidR="00000000" w:rsidDel="00000000" w:rsidP="00000000" w:rsidRDefault="00000000" w:rsidRPr="00000000" w14:paraId="00000042">
      <w:pPr>
        <w:jc w:val="both"/>
        <w:rPr>
          <w:rFonts w:ascii="Arial" w:cs="Arial" w:eastAsia="Arial" w:hAnsi="Arial"/>
        </w:rPr>
      </w:pPr>
      <w:r w:rsidDel="00000000" w:rsidR="00000000" w:rsidRPr="00000000">
        <w:rPr>
          <w:rtl w:val="0"/>
        </w:rPr>
      </w:r>
    </w:p>
    <w:sectPr>
      <w:headerReference r:id="rId12" w:type="first"/>
      <w:footerReference r:id="rId13" w:type="default"/>
      <w:footerReference r:id="rId14" w:type="first"/>
      <w:pgSz w:h="16833" w:w="11909"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widowControl w:val="0"/>
      <w:spacing w:after="0" w:line="240" w:lineRule="auto"/>
      <w:jc w:val="right"/>
      <w:rPr>
        <w:rFonts w:ascii="Arial" w:cs="Arial" w:eastAsia="Arial" w:hAnsi="Arial"/>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drawing>
        <wp:anchor allowOverlap="1" behindDoc="1" distB="0" distT="0" distL="0" distR="0" hidden="0" layoutInCell="1" locked="0" relativeHeight="0" simplePos="0">
          <wp:simplePos x="0" y="0"/>
          <wp:positionH relativeFrom="page">
            <wp:posOffset>-25235</wp:posOffset>
          </wp:positionH>
          <wp:positionV relativeFrom="page">
            <wp:posOffset>-9523</wp:posOffset>
          </wp:positionV>
          <wp:extent cx="7605713" cy="2259668"/>
          <wp:effectExtent b="0" l="0" r="0" t="0"/>
          <wp:wrapNone/>
          <wp:docPr descr="C:\Users\kellyth\Downloads\HR-Recruitment-Rebranding-word-template-successful-applicant (3).jpg" id="224" name="image1.jpg"/>
          <a:graphic>
            <a:graphicData uri="http://schemas.openxmlformats.org/drawingml/2006/picture">
              <pic:pic>
                <pic:nvPicPr>
                  <pic:cNvPr descr="C:\Users\kellyth\Downloads\HR-Recruitment-Rebranding-word-template-successful-applicant (3).jpg" id="0" name="image1.jpg"/>
                  <pic:cNvPicPr preferRelativeResize="0"/>
                </pic:nvPicPr>
                <pic:blipFill>
                  <a:blip r:embed="rId1"/>
                  <a:srcRect b="7257" l="0" r="0" t="18985"/>
                  <a:stretch>
                    <a:fillRect/>
                  </a:stretch>
                </pic:blipFill>
                <pic:spPr>
                  <a:xfrm>
                    <a:off x="0" y="0"/>
                    <a:ext cx="7605713" cy="2259668"/>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-228598</wp:posOffset>
          </wp:positionV>
          <wp:extent cx="1480516" cy="681038"/>
          <wp:effectExtent b="0" l="0" r="0" t="0"/>
          <wp:wrapNone/>
          <wp:docPr id="22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80516" cy="681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Bdr>
        <w:bottom w:color="000000" w:space="1" w:sz="8" w:val="single"/>
      </w:pBdr>
      <w:spacing w:after="80" w:before="100" w:lineRule="auto"/>
    </w:pPr>
    <w:rPr>
      <w:b w:val="1"/>
      <w:smallCaps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60" w:before="160" w:line="240" w:lineRule="auto"/>
    </w:pPr>
    <w:rPr>
      <w:b w:val="1"/>
      <w:smallCaps w:val="1"/>
      <w:sz w:val="53"/>
      <w:szCs w:val="53"/>
    </w:rPr>
  </w:style>
  <w:style w:type="paragraph" w:styleId="Normal" w:default="1">
    <w:name w:val="Normal"/>
    <w:qFormat w:val="1"/>
    <w:rsid w:val="002201F6"/>
  </w:style>
  <w:style w:type="paragraph" w:styleId="Heading1">
    <w:name w:val="heading 1"/>
    <w:basedOn w:val="Normal"/>
    <w:next w:val="Normal"/>
    <w:link w:val="Heading1Char"/>
    <w:uiPriority w:val="9"/>
    <w:qFormat w:val="1"/>
    <w:rsid w:val="002201F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2201F6"/>
    <w:pPr>
      <w:keepNext w:val="1"/>
      <w:keepLines w:val="1"/>
      <w:pBdr>
        <w:bottom w:color="auto" w:space="1" w:sz="8" w:val="single"/>
      </w:pBdr>
      <w:spacing w:after="80" w:before="100" w:line="600" w:lineRule="atLeast"/>
      <w:outlineLvl w:val="1"/>
    </w:pPr>
    <w:rPr>
      <w:rFonts w:cstheme="majorBidi" w:eastAsiaTheme="majorEastAsia"/>
      <w:b w:val="1"/>
      <w:caps w:val="1"/>
      <w:sz w:val="28"/>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2201F6"/>
    <w:pPr>
      <w:spacing w:after="260" w:before="160" w:line="240" w:lineRule="auto"/>
      <w:contextualSpacing w:val="1"/>
    </w:pPr>
    <w:rPr>
      <w:b w:val="1"/>
      <w:bCs w:val="1"/>
      <w:caps w:val="1"/>
      <w:spacing w:val="-10"/>
      <w:kern w:val="28"/>
      <w:sz w:val="53"/>
      <w:szCs w:val="56"/>
    </w:rPr>
  </w:style>
  <w:style w:type="paragraph" w:styleId="BalloonText">
    <w:name w:val="Balloon Text"/>
    <w:basedOn w:val="Normal"/>
    <w:link w:val="BalloonTextChar"/>
    <w:uiPriority w:val="99"/>
    <w:semiHidden w:val="1"/>
    <w:unhideWhenUsed w:val="1"/>
    <w:rsid w:val="002201F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201F6"/>
    <w:rPr>
      <w:rFonts w:ascii="Segoe UI" w:cs="Segoe UI" w:hAnsi="Segoe UI"/>
      <w:sz w:val="18"/>
      <w:szCs w:val="18"/>
    </w:rPr>
  </w:style>
  <w:style w:type="paragraph" w:styleId="BodyText">
    <w:name w:val="Body Text"/>
    <w:basedOn w:val="Normal"/>
    <w:link w:val="BodyTextChar"/>
    <w:uiPriority w:val="99"/>
    <w:unhideWhenUsed w:val="1"/>
    <w:rsid w:val="002201F6"/>
    <w:pPr>
      <w:spacing w:after="120" w:line="240" w:lineRule="auto"/>
    </w:pPr>
    <w:rPr>
      <w:rFonts w:ascii="Cambria" w:cs="Times New Roman" w:eastAsia="Cambria" w:hAnsi="Cambria"/>
      <w:sz w:val="24"/>
      <w:szCs w:val="24"/>
      <w:lang w:eastAsia="x-none" w:val="x-none"/>
    </w:rPr>
  </w:style>
  <w:style w:type="character" w:styleId="BodyTextChar" w:customStyle="1">
    <w:name w:val="Body Text Char"/>
    <w:basedOn w:val="DefaultParagraphFont"/>
    <w:link w:val="BodyText"/>
    <w:uiPriority w:val="99"/>
    <w:rsid w:val="002201F6"/>
    <w:rPr>
      <w:rFonts w:ascii="Cambria" w:cs="Times New Roman" w:eastAsia="Cambria" w:hAnsi="Cambria"/>
      <w:sz w:val="24"/>
      <w:szCs w:val="24"/>
      <w:lang w:eastAsia="x-none" w:val="x-none"/>
    </w:rPr>
  </w:style>
  <w:style w:type="paragraph" w:styleId="BodyTextIndent">
    <w:name w:val="Body Text Indent"/>
    <w:basedOn w:val="Normal"/>
    <w:link w:val="BodyTextIndentChar"/>
    <w:rsid w:val="002201F6"/>
    <w:pPr>
      <w:spacing w:after="120" w:line="240" w:lineRule="auto"/>
      <w:ind w:left="283"/>
    </w:pPr>
    <w:rPr>
      <w:rFonts w:ascii="Cambria" w:cs="Times New Roman" w:eastAsia="Cambria" w:hAnsi="Cambria"/>
      <w:sz w:val="24"/>
      <w:szCs w:val="24"/>
      <w:lang w:eastAsia="en-US"/>
    </w:rPr>
  </w:style>
  <w:style w:type="character" w:styleId="BodyTextIndentChar" w:customStyle="1">
    <w:name w:val="Body Text Indent Char"/>
    <w:basedOn w:val="DefaultParagraphFont"/>
    <w:link w:val="BodyTextIndent"/>
    <w:rsid w:val="002201F6"/>
    <w:rPr>
      <w:rFonts w:ascii="Cambria" w:cs="Times New Roman" w:eastAsia="Cambria" w:hAnsi="Cambria"/>
      <w:sz w:val="24"/>
      <w:szCs w:val="24"/>
      <w:lang w:eastAsia="en-US"/>
    </w:rPr>
  </w:style>
  <w:style w:type="paragraph" w:styleId="BodyText0" w:customStyle="1">
    <w:name w:val="BodyText"/>
    <w:basedOn w:val="BodyText"/>
    <w:next w:val="BodyText"/>
    <w:qFormat w:val="1"/>
    <w:rsid w:val="002201F6"/>
    <w:pPr>
      <w:spacing w:after="0"/>
    </w:pPr>
    <w:rPr>
      <w:rFonts w:asciiTheme="minorHAnsi" w:hAnsiTheme="minorHAnsi"/>
      <w:color w:val="000000"/>
      <w:sz w:val="20"/>
    </w:rPr>
  </w:style>
  <w:style w:type="paragraph" w:styleId="Footer">
    <w:name w:val="footer"/>
    <w:basedOn w:val="Normal"/>
    <w:link w:val="FooterChar"/>
    <w:uiPriority w:val="99"/>
    <w:unhideWhenUsed w:val="1"/>
    <w:rsid w:val="002201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1F6"/>
    <w:rPr>
      <w:sz w:val="21"/>
    </w:rPr>
  </w:style>
  <w:style w:type="paragraph" w:styleId="Header">
    <w:name w:val="header"/>
    <w:basedOn w:val="Normal"/>
    <w:link w:val="HeaderChar"/>
    <w:uiPriority w:val="99"/>
    <w:unhideWhenUsed w:val="1"/>
    <w:rsid w:val="002201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1F6"/>
    <w:rPr>
      <w:sz w:val="21"/>
    </w:rPr>
  </w:style>
  <w:style w:type="character" w:styleId="Heading1Char" w:customStyle="1">
    <w:name w:val="Heading 1 Char"/>
    <w:basedOn w:val="DefaultParagraphFont"/>
    <w:link w:val="Heading1"/>
    <w:uiPriority w:val="9"/>
    <w:rsid w:val="002201F6"/>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2201F6"/>
    <w:rPr>
      <w:rFonts w:ascii="Calibri" w:hAnsi="Calibri" w:cstheme="majorBidi" w:eastAsiaTheme="majorEastAsia"/>
      <w:b w:val="1"/>
      <w:caps w:val="1"/>
      <w:sz w:val="28"/>
      <w:szCs w:val="26"/>
    </w:rPr>
  </w:style>
  <w:style w:type="character" w:styleId="Hyperlink">
    <w:name w:val="Hyperlink"/>
    <w:basedOn w:val="DefaultParagraphFont"/>
    <w:uiPriority w:val="99"/>
    <w:unhideWhenUsed w:val="1"/>
    <w:rsid w:val="002201F6"/>
    <w:rPr>
      <w:color w:val="0563c1" w:themeColor="hyperlink"/>
      <w:u w:val="single"/>
    </w:rPr>
  </w:style>
  <w:style w:type="paragraph" w:styleId="ListParagraph">
    <w:name w:val="List Paragraph"/>
    <w:basedOn w:val="Normal"/>
    <w:link w:val="ListParagraphChar"/>
    <w:uiPriority w:val="34"/>
    <w:qFormat w:val="1"/>
    <w:rsid w:val="002201F6"/>
    <w:pPr>
      <w:ind w:left="720"/>
      <w:contextualSpacing w:val="1"/>
    </w:pPr>
  </w:style>
  <w:style w:type="character" w:styleId="ListParagraphChar" w:customStyle="1">
    <w:name w:val="List Paragraph Char"/>
    <w:basedOn w:val="DefaultParagraphFont"/>
    <w:link w:val="ListParagraph"/>
    <w:uiPriority w:val="34"/>
    <w:rsid w:val="002201F6"/>
    <w:rPr>
      <w:sz w:val="21"/>
    </w:rPr>
  </w:style>
  <w:style w:type="paragraph" w:styleId="NoSpacing">
    <w:name w:val="No Spacing"/>
    <w:uiPriority w:val="1"/>
    <w:qFormat w:val="1"/>
    <w:rsid w:val="002201F6"/>
    <w:pPr>
      <w:spacing w:after="0" w:line="240" w:lineRule="auto"/>
    </w:pPr>
  </w:style>
  <w:style w:type="paragraph" w:styleId="NormalWeb">
    <w:name w:val="Normal (Web)"/>
    <w:basedOn w:val="Normal"/>
    <w:uiPriority w:val="99"/>
    <w:rsid w:val="002201F6"/>
    <w:pPr>
      <w:spacing w:after="100" w:afterAutospacing="1" w:before="100" w:beforeAutospacing="1" w:line="240" w:lineRule="auto"/>
    </w:pPr>
    <w:rPr>
      <w:rFonts w:ascii="Times New Roman" w:cs="Times New Roman" w:eastAsia="Times New Roman" w:hAnsi="Times New Roman"/>
      <w:color w:val="000000"/>
      <w:sz w:val="24"/>
      <w:szCs w:val="24"/>
      <w:lang w:eastAsia="en-US" w:val="en-US"/>
    </w:rPr>
  </w:style>
  <w:style w:type="character" w:styleId="TitleChar" w:customStyle="1">
    <w:name w:val="Title Char"/>
    <w:basedOn w:val="DefaultParagraphFont"/>
    <w:link w:val="Title"/>
    <w:uiPriority w:val="10"/>
    <w:rsid w:val="002201F6"/>
    <w:rPr>
      <w:rFonts w:ascii="Calibri" w:hAnsi="Calibri"/>
      <w:b w:val="1"/>
      <w:bCs w:val="1"/>
      <w:caps w:val="1"/>
      <w:spacing w:val="-10"/>
      <w:kern w:val="28"/>
      <w:sz w:val="53"/>
      <w:szCs w:val="5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1.0" w:type="dxa"/>
        <w:right w:w="71.0" w:type="dxa"/>
      </w:tblCellMar>
    </w:tblPr>
  </w:style>
  <w:style w:type="table" w:styleId="a0" w:customStyle="1">
    <w:basedOn w:val="TableNormal"/>
    <w:tblPr>
      <w:tblStyleRowBandSize w:val="1"/>
      <w:tblStyleColBandSize w:val="1"/>
      <w:tblCellMar>
        <w:left w:w="71.0" w:type="dxa"/>
        <w:right w:w="71.0" w:type="dxa"/>
      </w:tblCellMar>
    </w:tblPr>
  </w:style>
  <w:style w:type="character" w:styleId="UnresolvedMention">
    <w:name w:val="Unresolved Mention"/>
    <w:basedOn w:val="DefaultParagraphFont"/>
    <w:uiPriority w:val="99"/>
    <w:semiHidden w:val="1"/>
    <w:unhideWhenUsed w:val="1"/>
    <w:rsid w:val="0022300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1.0" w:type="dxa"/>
        <w:bottom w:w="0.0" w:type="dxa"/>
        <w:right w:w="71.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onash.edu.my/business" TargetMode="External"/><Relationship Id="rId10" Type="http://schemas.openxmlformats.org/officeDocument/2006/relationships/hyperlink" Target="http://www.monash.edu.m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nash.edu.my/research/platforms-and-infrastructure"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onash.edu.my/research/our-research" TargetMode="External"/><Relationship Id="rId8" Type="http://schemas.openxmlformats.org/officeDocument/2006/relationships/hyperlink" Target="https://www.monash.edu.my/research/our-resear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BdXjSQc9lzO0bJNO69um/6yhiQ==">CgMxLjAyCGguZ2pkZ3hzMg1oLmowcWNjN2Fzd2FkOAByITFidWNPWjczLXM0SThFLXkweXdORE9yQjRqdDF2RkxZNA==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2018-05-04T05:18:00Z</dcterms:created>
  <dc:creator>Cheryl Reid</dc:creator>
</cp:coreProperties>
</file>