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7C51B39" w14:textId="77777777" w:rsidTr="00852BF6">
        <w:trPr>
          <w:trHeight w:val="275"/>
        </w:trPr>
        <w:tc>
          <w:tcPr>
            <w:tcW w:w="10457" w:type="dxa"/>
            <w:shd w:val="clear" w:color="auto" w:fill="F04E58"/>
          </w:tcPr>
          <w:p w14:paraId="44F074FE" w14:textId="02359AEE" w:rsidR="003606E4" w:rsidRPr="00734230" w:rsidRDefault="003606E4" w:rsidP="003606E4">
            <w:pPr>
              <w:rPr>
                <w:rFonts w:ascii="Arial" w:hAnsi="Arial" w:cs="Arial"/>
                <w:b/>
                <w:bCs/>
                <w:color w:val="FFFFFF" w:themeColor="background1"/>
              </w:rPr>
            </w:pPr>
            <w:bookmarkStart w:id="0" w:name="_Hlk35444965"/>
          </w:p>
        </w:tc>
      </w:tr>
    </w:tbl>
    <w:bookmarkEnd w:id="0"/>
    <w:p w14:paraId="7F5A3942" w14:textId="7C5795E9" w:rsidR="005C6160" w:rsidRPr="000415B9" w:rsidRDefault="003038F5" w:rsidP="000415B9">
      <w:pPr>
        <w:spacing w:after="0"/>
        <w:rPr>
          <w:rFonts w:ascii="Arial" w:hAnsi="Arial" w:cs="Arial"/>
          <w:sz w:val="10"/>
          <w:szCs w:val="10"/>
        </w:rPr>
        <w:sectPr w:rsidR="005C6160" w:rsidRPr="000415B9" w:rsidSect="00B45AD9">
          <w:headerReference w:type="default" r:id="rId12"/>
          <w:footerReference w:type="default" r:id="rId13"/>
          <w:pgSz w:w="11906" w:h="16838"/>
          <w:pgMar w:top="720" w:right="720" w:bottom="720" w:left="720" w:header="794" w:footer="567" w:gutter="0"/>
          <w:cols w:space="708"/>
          <w:docGrid w:linePitch="360"/>
        </w:sectPr>
      </w:pPr>
      <w:r w:rsidRPr="00734230">
        <w:rPr>
          <w:rFonts w:ascii="Arial" w:hAnsi="Arial" w:cs="Arial"/>
          <w:noProof/>
        </w:rPr>
        <w:drawing>
          <wp:anchor distT="0" distB="0" distL="114300" distR="114300" simplePos="0" relativeHeight="251657214" behindDoc="1" locked="1" layoutInCell="1" allowOverlap="1" wp14:anchorId="070223E5" wp14:editId="4B6E5B6F">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7" w:type="dxa"/>
        <w:tblLayout w:type="fixed"/>
        <w:tblLook w:val="04A0" w:firstRow="1" w:lastRow="0" w:firstColumn="1" w:lastColumn="0" w:noHBand="0" w:noVBand="1"/>
      </w:tblPr>
      <w:tblGrid>
        <w:gridCol w:w="2544"/>
        <w:gridCol w:w="7913"/>
      </w:tblGrid>
      <w:tr w:rsidR="000415B9" w:rsidRPr="00734230" w14:paraId="7FC0684C" w14:textId="77777777" w:rsidTr="00EE04F0">
        <w:trPr>
          <w:trHeight w:val="425"/>
        </w:trPr>
        <w:tc>
          <w:tcPr>
            <w:tcW w:w="2544" w:type="dxa"/>
            <w:vAlign w:val="center"/>
          </w:tcPr>
          <w:p w14:paraId="49B874B4" w14:textId="684D6639" w:rsidR="000415B9" w:rsidRPr="008468BC" w:rsidRDefault="000415B9" w:rsidP="003606E4">
            <w:pPr>
              <w:rPr>
                <w:rFonts w:ascii="Arial" w:hAnsi="Arial" w:cs="Arial"/>
                <w:b/>
                <w:bCs/>
              </w:rPr>
            </w:pPr>
            <w:r w:rsidRPr="008468BC">
              <w:rPr>
                <w:rFonts w:ascii="Arial" w:hAnsi="Arial" w:cs="Arial"/>
                <w:b/>
                <w:bCs/>
              </w:rPr>
              <w:t>Created / Revised</w:t>
            </w:r>
          </w:p>
        </w:tc>
        <w:tc>
          <w:tcPr>
            <w:tcW w:w="7913" w:type="dxa"/>
            <w:vAlign w:val="center"/>
          </w:tcPr>
          <w:p w14:paraId="44620757" w14:textId="387A07A3" w:rsidR="000415B9" w:rsidRPr="008468BC" w:rsidRDefault="005608F5" w:rsidP="003606E4">
            <w:pPr>
              <w:rPr>
                <w:rFonts w:ascii="Arial" w:hAnsi="Arial" w:cs="Arial"/>
              </w:rPr>
            </w:pPr>
            <w:r>
              <w:rPr>
                <w:rFonts w:ascii="Arial" w:hAnsi="Arial" w:cs="Arial"/>
              </w:rPr>
              <w:t>Nov 22</w:t>
            </w:r>
          </w:p>
        </w:tc>
      </w:tr>
      <w:tr w:rsidR="003606E4" w:rsidRPr="00734230" w14:paraId="08669AD8" w14:textId="77777777" w:rsidTr="00EE04F0">
        <w:trPr>
          <w:trHeight w:val="425"/>
        </w:trPr>
        <w:tc>
          <w:tcPr>
            <w:tcW w:w="2544" w:type="dxa"/>
            <w:vAlign w:val="center"/>
          </w:tcPr>
          <w:p w14:paraId="40FE5B6F" w14:textId="298D29FF" w:rsidR="003606E4" w:rsidRPr="00734230" w:rsidRDefault="003606E4" w:rsidP="003606E4">
            <w:pPr>
              <w:rPr>
                <w:rFonts w:ascii="Arial" w:hAnsi="Arial" w:cs="Arial"/>
                <w:b/>
                <w:bCs/>
              </w:rPr>
            </w:pPr>
            <w:r w:rsidRPr="008468BC">
              <w:rPr>
                <w:rFonts w:ascii="Arial" w:hAnsi="Arial" w:cs="Arial"/>
                <w:b/>
                <w:bCs/>
              </w:rPr>
              <w:t>Position title</w:t>
            </w:r>
          </w:p>
        </w:tc>
        <w:tc>
          <w:tcPr>
            <w:tcW w:w="7913" w:type="dxa"/>
            <w:vAlign w:val="center"/>
          </w:tcPr>
          <w:p w14:paraId="79067941" w14:textId="191A413F" w:rsidR="00433DD6" w:rsidRPr="00AB3139" w:rsidRDefault="00BF355A" w:rsidP="003606E4">
            <w:pPr>
              <w:rPr>
                <w:rFonts w:ascii="Arial" w:hAnsi="Arial" w:cs="Arial"/>
                <w:b/>
                <w:bCs/>
              </w:rPr>
            </w:pPr>
            <w:r>
              <w:rPr>
                <w:rFonts w:ascii="Arial" w:hAnsi="Arial" w:cs="Arial"/>
                <w:b/>
                <w:bCs/>
              </w:rPr>
              <w:t>Compliance Manager</w:t>
            </w:r>
            <w:r w:rsidR="00433DD6">
              <w:rPr>
                <w:rFonts w:ascii="Arial" w:hAnsi="Arial" w:cs="Arial"/>
                <w:b/>
                <w:bCs/>
              </w:rPr>
              <w:t xml:space="preserve"> – </w:t>
            </w:r>
            <w:r w:rsidR="00F44CC2">
              <w:rPr>
                <w:rFonts w:ascii="Arial" w:hAnsi="Arial" w:cs="Arial"/>
                <w:b/>
                <w:bCs/>
              </w:rPr>
              <w:t>Divisional</w:t>
            </w:r>
          </w:p>
        </w:tc>
      </w:tr>
      <w:tr w:rsidR="003606E4" w:rsidRPr="00734230" w14:paraId="5D4F9688" w14:textId="77777777" w:rsidTr="00EE04F0">
        <w:trPr>
          <w:trHeight w:val="425"/>
        </w:trPr>
        <w:tc>
          <w:tcPr>
            <w:tcW w:w="2544" w:type="dxa"/>
            <w:vAlign w:val="center"/>
          </w:tcPr>
          <w:p w14:paraId="1355C893"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5CFC7CE0" w14:textId="0CE6818B" w:rsidR="003606E4" w:rsidRPr="00734230" w:rsidRDefault="00BF355A" w:rsidP="003606E4">
            <w:pPr>
              <w:rPr>
                <w:rFonts w:ascii="Arial" w:hAnsi="Arial" w:cs="Arial"/>
              </w:rPr>
            </w:pPr>
            <w:r>
              <w:rPr>
                <w:rFonts w:ascii="Arial" w:hAnsi="Arial" w:cs="Arial"/>
              </w:rPr>
              <w:t>Customer Enablement</w:t>
            </w:r>
          </w:p>
        </w:tc>
      </w:tr>
      <w:tr w:rsidR="003606E4" w:rsidRPr="00734230" w14:paraId="76CD7C6D" w14:textId="77777777" w:rsidTr="00EE04F0">
        <w:trPr>
          <w:trHeight w:val="425"/>
        </w:trPr>
        <w:tc>
          <w:tcPr>
            <w:tcW w:w="2544" w:type="dxa"/>
            <w:vAlign w:val="center"/>
          </w:tcPr>
          <w:p w14:paraId="514ED498" w14:textId="20AF6FE9"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583EA85A" w14:textId="67F3608A" w:rsidR="003606E4" w:rsidRPr="00734230" w:rsidRDefault="00BF355A" w:rsidP="003606E4">
            <w:pPr>
              <w:rPr>
                <w:rFonts w:ascii="Arial" w:hAnsi="Arial" w:cs="Arial"/>
              </w:rPr>
            </w:pPr>
            <w:r>
              <w:rPr>
                <w:rFonts w:ascii="Arial" w:hAnsi="Arial" w:cs="Arial"/>
              </w:rPr>
              <w:t>Risk &amp; Compliance</w:t>
            </w:r>
          </w:p>
        </w:tc>
      </w:tr>
      <w:tr w:rsidR="000415B9" w:rsidRPr="00734230" w14:paraId="0BEB360A" w14:textId="77777777" w:rsidTr="00EE04F0">
        <w:trPr>
          <w:trHeight w:val="425"/>
        </w:trPr>
        <w:tc>
          <w:tcPr>
            <w:tcW w:w="2544" w:type="dxa"/>
            <w:vAlign w:val="center"/>
          </w:tcPr>
          <w:p w14:paraId="1A8A833E" w14:textId="666DC7D9" w:rsidR="000415B9" w:rsidRPr="00734230" w:rsidRDefault="000415B9" w:rsidP="003606E4">
            <w:pPr>
              <w:rPr>
                <w:rFonts w:ascii="Arial" w:hAnsi="Arial" w:cs="Arial"/>
                <w:b/>
                <w:bCs/>
              </w:rPr>
            </w:pPr>
            <w:r>
              <w:rPr>
                <w:rFonts w:ascii="Arial" w:hAnsi="Arial" w:cs="Arial"/>
                <w:b/>
                <w:bCs/>
              </w:rPr>
              <w:t>Reports to Position</w:t>
            </w:r>
          </w:p>
        </w:tc>
        <w:tc>
          <w:tcPr>
            <w:tcW w:w="7913" w:type="dxa"/>
            <w:vAlign w:val="center"/>
          </w:tcPr>
          <w:p w14:paraId="4ED9930D" w14:textId="7A19EE97" w:rsidR="000415B9" w:rsidRDefault="00F44CC2" w:rsidP="003606E4">
            <w:pPr>
              <w:rPr>
                <w:rFonts w:ascii="Arial" w:hAnsi="Arial" w:cs="Arial"/>
              </w:rPr>
            </w:pPr>
            <w:r>
              <w:rPr>
                <w:rFonts w:ascii="Arial" w:hAnsi="Arial" w:cs="Arial"/>
              </w:rPr>
              <w:t>Senior Manager</w:t>
            </w:r>
            <w:r w:rsidR="00BF355A">
              <w:rPr>
                <w:rFonts w:ascii="Arial" w:hAnsi="Arial" w:cs="Arial"/>
              </w:rPr>
              <w:t xml:space="preserve"> Compliance</w:t>
            </w:r>
          </w:p>
        </w:tc>
      </w:tr>
      <w:tr w:rsidR="003606E4" w:rsidRPr="00734230" w14:paraId="14E9FD0E" w14:textId="77777777" w:rsidTr="00EE04F0">
        <w:trPr>
          <w:trHeight w:val="425"/>
        </w:trPr>
        <w:tc>
          <w:tcPr>
            <w:tcW w:w="2544" w:type="dxa"/>
            <w:vAlign w:val="center"/>
          </w:tcPr>
          <w:p w14:paraId="442B6BD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50D4F5E4" w14:textId="21F829D5" w:rsidR="003606E4" w:rsidRPr="00734230" w:rsidRDefault="003606E4" w:rsidP="003606E4">
            <w:pPr>
              <w:rPr>
                <w:rFonts w:ascii="Arial" w:hAnsi="Arial" w:cs="Arial"/>
              </w:rPr>
            </w:pPr>
            <w:r w:rsidRPr="00734230">
              <w:rPr>
                <w:rFonts w:ascii="Arial" w:hAnsi="Arial" w:cs="Arial"/>
              </w:rPr>
              <w:t>No</w:t>
            </w:r>
          </w:p>
        </w:tc>
      </w:tr>
    </w:tbl>
    <w:p w14:paraId="301E4E14" w14:textId="0005D35F" w:rsidR="003606E4" w:rsidRPr="00734230" w:rsidRDefault="003606E4" w:rsidP="00E5307F">
      <w:pPr>
        <w:spacing w:after="0"/>
        <w:rPr>
          <w:rFonts w:ascii="Arial" w:hAnsi="Arial" w:cs="Arial"/>
          <w:sz w:val="10"/>
          <w:szCs w:val="10"/>
        </w:rPr>
      </w:pPr>
    </w:p>
    <w:p w14:paraId="77A71CC9"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23B9FD97" w14:textId="77777777" w:rsidTr="00734230">
        <w:trPr>
          <w:trHeight w:val="272"/>
        </w:trPr>
        <w:tc>
          <w:tcPr>
            <w:tcW w:w="10456" w:type="dxa"/>
            <w:shd w:val="clear" w:color="auto" w:fill="50003A"/>
          </w:tcPr>
          <w:p w14:paraId="03C12520" w14:textId="43538F23"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8EC4864" w14:textId="77777777" w:rsidTr="00F728B1">
        <w:trPr>
          <w:trHeight w:val="905"/>
        </w:trPr>
        <w:tc>
          <w:tcPr>
            <w:tcW w:w="10456" w:type="dxa"/>
          </w:tcPr>
          <w:p w14:paraId="31424FD7"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57FDB79B" w14:textId="77777777" w:rsidR="00992E1C" w:rsidRPr="00734230" w:rsidRDefault="00992E1C" w:rsidP="00F728B1">
            <w:pPr>
              <w:spacing w:line="259" w:lineRule="auto"/>
              <w:jc w:val="both"/>
              <w:rPr>
                <w:rFonts w:ascii="Arial" w:hAnsi="Arial" w:cs="Arial"/>
                <w:sz w:val="10"/>
                <w:szCs w:val="10"/>
              </w:rPr>
            </w:pPr>
          </w:p>
          <w:p w14:paraId="3B79A09B"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44133858" w14:textId="77777777" w:rsidR="00992E1C" w:rsidRPr="00734230" w:rsidRDefault="00992E1C" w:rsidP="00F728B1">
            <w:pPr>
              <w:jc w:val="both"/>
              <w:rPr>
                <w:rFonts w:ascii="Arial" w:hAnsi="Arial" w:cs="Arial"/>
                <w:sz w:val="10"/>
                <w:szCs w:val="10"/>
              </w:rPr>
            </w:pPr>
          </w:p>
          <w:p w14:paraId="3065603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3C29B696" w14:textId="77777777" w:rsidR="00992E1C" w:rsidRPr="00734230" w:rsidRDefault="00992E1C" w:rsidP="00F728B1">
            <w:pPr>
              <w:jc w:val="both"/>
              <w:rPr>
                <w:rFonts w:ascii="Arial" w:hAnsi="Arial" w:cs="Arial"/>
                <w:sz w:val="10"/>
                <w:szCs w:val="10"/>
              </w:rPr>
            </w:pPr>
          </w:p>
          <w:p w14:paraId="274E7BB3"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44FE6A9C" w14:textId="77777777" w:rsidR="00992E1C" w:rsidRPr="00734230" w:rsidRDefault="00992E1C" w:rsidP="00E5307F">
      <w:pPr>
        <w:spacing w:after="0"/>
        <w:rPr>
          <w:rFonts w:ascii="Arial" w:hAnsi="Arial" w:cs="Arial"/>
          <w:sz w:val="10"/>
          <w:szCs w:val="10"/>
        </w:rPr>
      </w:pPr>
    </w:p>
    <w:p w14:paraId="13B99839"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191E1F5A" w14:textId="77777777" w:rsidTr="00852BF6">
        <w:trPr>
          <w:trHeight w:val="275"/>
        </w:trPr>
        <w:tc>
          <w:tcPr>
            <w:tcW w:w="10457" w:type="dxa"/>
            <w:shd w:val="clear" w:color="auto" w:fill="F04E58"/>
          </w:tcPr>
          <w:p w14:paraId="7DB16289" w14:textId="61083A83"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6FA2CBE4" w14:textId="77777777" w:rsidR="003606E4" w:rsidRPr="00734230" w:rsidRDefault="003606E4" w:rsidP="00E5307F">
      <w:pPr>
        <w:spacing w:after="0"/>
        <w:rPr>
          <w:rFonts w:ascii="Arial" w:hAnsi="Arial" w:cs="Arial"/>
          <w:sz w:val="10"/>
          <w:szCs w:val="10"/>
        </w:rPr>
      </w:pPr>
    </w:p>
    <w:p w14:paraId="029C5E80"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715CEBE2" w14:textId="77777777" w:rsidTr="008468BC">
        <w:trPr>
          <w:trHeight w:val="176"/>
        </w:trPr>
        <w:tc>
          <w:tcPr>
            <w:tcW w:w="10456" w:type="dxa"/>
            <w:shd w:val="clear" w:color="auto" w:fill="50003A"/>
          </w:tcPr>
          <w:p w14:paraId="4994ED35" w14:textId="33AA9726"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47F422B6" w14:textId="77777777" w:rsidTr="008468BC">
        <w:trPr>
          <w:trHeight w:val="2115"/>
        </w:trPr>
        <w:tc>
          <w:tcPr>
            <w:tcW w:w="10456" w:type="dxa"/>
          </w:tcPr>
          <w:p w14:paraId="34FEC47E" w14:textId="1C65F028" w:rsidR="009725C9" w:rsidRPr="009725C9" w:rsidRDefault="009725C9" w:rsidP="009725C9">
            <w:pPr>
              <w:spacing w:line="259" w:lineRule="auto"/>
              <w:jc w:val="both"/>
              <w:rPr>
                <w:rFonts w:ascii="Arial" w:hAnsi="Arial" w:cs="Arial"/>
              </w:rPr>
            </w:pPr>
            <w:r w:rsidRPr="009725C9">
              <w:rPr>
                <w:rFonts w:ascii="Arial" w:hAnsi="Arial" w:cs="Arial"/>
              </w:rPr>
              <w:t xml:space="preserve">Reporting to the Chief Operating Officer, the Customer Enablement function comprises those teams whose predominant focus is on enabling our customer facing roles in their support of customers. With a strong focus on contributing to the Group’s productivity targets, the ultimate purpose of the function is to ensure our </w:t>
            </w:r>
            <w:r w:rsidR="00433DD6" w:rsidRPr="009725C9">
              <w:rPr>
                <w:rFonts w:ascii="Arial" w:hAnsi="Arial" w:cs="Arial"/>
              </w:rPr>
              <w:t>front-line</w:t>
            </w:r>
            <w:r w:rsidRPr="009725C9">
              <w:rPr>
                <w:rFonts w:ascii="Arial" w:hAnsi="Arial" w:cs="Arial"/>
              </w:rPr>
              <w:t xml:space="preserve"> staff, partners, digital platforms can deliver an experience consistent with our targeted customer value proposition.</w:t>
            </w:r>
          </w:p>
          <w:p w14:paraId="2CC4D4F1" w14:textId="77777777" w:rsidR="009725C9" w:rsidRPr="009725C9" w:rsidRDefault="009725C9" w:rsidP="009725C9">
            <w:pPr>
              <w:spacing w:line="259" w:lineRule="auto"/>
              <w:jc w:val="both"/>
              <w:rPr>
                <w:rFonts w:ascii="Arial" w:hAnsi="Arial" w:cs="Arial"/>
              </w:rPr>
            </w:pPr>
          </w:p>
          <w:p w14:paraId="775B9863" w14:textId="77777777" w:rsidR="00702AAC" w:rsidRDefault="009725C9" w:rsidP="009725C9">
            <w:pPr>
              <w:spacing w:line="259" w:lineRule="auto"/>
              <w:jc w:val="both"/>
              <w:rPr>
                <w:rFonts w:ascii="Arial" w:hAnsi="Arial" w:cs="Arial"/>
              </w:rPr>
            </w:pPr>
            <w:r w:rsidRPr="009725C9">
              <w:rPr>
                <w:rFonts w:ascii="Arial" w:hAnsi="Arial" w:cs="Arial"/>
              </w:rPr>
              <w:t>The Risk and Compliance (R&amp;C) function has responsibility for the enabling the Group to manage the risks associated with their respective area of focus in, line with the Group’s risk appetite. In that support, the R&amp;C function will enable the success of the business by instilling a culture of risk management as a core part of how we support our customers and ensure that we have the appropriate processes and practices to meet our compliance obligations. Ultimately its success will be in delivering a risk practice that is embedded into how we engage with our customers.</w:t>
            </w:r>
          </w:p>
          <w:p w14:paraId="11215CDC" w14:textId="7609F727" w:rsidR="00433DD6" w:rsidRPr="00734230" w:rsidRDefault="00433DD6" w:rsidP="009725C9">
            <w:pPr>
              <w:spacing w:line="259" w:lineRule="auto"/>
              <w:jc w:val="both"/>
              <w:rPr>
                <w:rFonts w:ascii="Arial" w:hAnsi="Arial" w:cs="Arial"/>
              </w:rPr>
            </w:pPr>
          </w:p>
        </w:tc>
      </w:tr>
    </w:tbl>
    <w:p w14:paraId="0D0A1DDC" w14:textId="77777777" w:rsidR="003606E4" w:rsidRPr="00734230" w:rsidRDefault="003606E4" w:rsidP="00E5307F">
      <w:pPr>
        <w:spacing w:after="0"/>
        <w:rPr>
          <w:rFonts w:ascii="Arial" w:hAnsi="Arial" w:cs="Arial"/>
          <w:sz w:val="10"/>
          <w:szCs w:val="10"/>
        </w:rPr>
      </w:pPr>
    </w:p>
    <w:p w14:paraId="51F12CA4"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2AEE0A23" w14:textId="77777777" w:rsidTr="008468BC">
        <w:trPr>
          <w:trHeight w:val="218"/>
        </w:trPr>
        <w:tc>
          <w:tcPr>
            <w:tcW w:w="10456" w:type="dxa"/>
            <w:shd w:val="clear" w:color="auto" w:fill="50003A"/>
          </w:tcPr>
          <w:p w14:paraId="005DD62C" w14:textId="43E20BF2"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3AC0E12A" w14:textId="77777777" w:rsidTr="008468BC">
        <w:trPr>
          <w:trHeight w:val="2279"/>
        </w:trPr>
        <w:tc>
          <w:tcPr>
            <w:tcW w:w="10456" w:type="dxa"/>
          </w:tcPr>
          <w:p w14:paraId="682E984D" w14:textId="79619C66" w:rsidR="005343FD" w:rsidRPr="005343FD" w:rsidRDefault="005343FD" w:rsidP="005343FD">
            <w:pPr>
              <w:spacing w:line="259" w:lineRule="auto"/>
              <w:jc w:val="both"/>
              <w:rPr>
                <w:rFonts w:ascii="Arial" w:hAnsi="Arial" w:cs="Arial"/>
              </w:rPr>
            </w:pPr>
            <w:r w:rsidRPr="005343FD">
              <w:rPr>
                <w:rFonts w:ascii="Arial" w:hAnsi="Arial" w:cs="Arial"/>
              </w:rPr>
              <w:t xml:space="preserve">The Compliance Manager role is responsible for supporting the further development, implementation and management of the compliance framework. The position will be actively involved in testing, reviewing, and monitoring compliance obligations within the division as well as assessing regulatory change impacts and supporting implementation.  The position will also involve identifying and supporting potential control uplifts to ensure obligations are met, the preparation of regulatory responses and notifications, and supporting the division with additional training requirements that may be required to meet obligations. </w:t>
            </w:r>
          </w:p>
          <w:p w14:paraId="5E95A148" w14:textId="77777777" w:rsidR="005343FD" w:rsidRPr="005343FD" w:rsidRDefault="005343FD" w:rsidP="005343FD">
            <w:pPr>
              <w:spacing w:line="259" w:lineRule="auto"/>
              <w:jc w:val="both"/>
              <w:rPr>
                <w:rFonts w:ascii="Arial" w:hAnsi="Arial" w:cs="Arial"/>
              </w:rPr>
            </w:pPr>
          </w:p>
          <w:p w14:paraId="53DCDBF4" w14:textId="77777777" w:rsidR="00FC1548" w:rsidRDefault="005343FD" w:rsidP="005343FD">
            <w:pPr>
              <w:spacing w:line="259" w:lineRule="auto"/>
              <w:jc w:val="both"/>
              <w:rPr>
                <w:rFonts w:ascii="Arial" w:hAnsi="Arial" w:cs="Arial"/>
              </w:rPr>
            </w:pPr>
            <w:r w:rsidRPr="005343FD">
              <w:rPr>
                <w:rFonts w:ascii="Arial" w:hAnsi="Arial" w:cs="Arial"/>
              </w:rPr>
              <w:t>A key component of the role will be providing operational and regulatory compliance advice in relation to the Bank’s (and specifically the Division’s) compliance obligations.</w:t>
            </w:r>
          </w:p>
          <w:p w14:paraId="3C5F9AC2" w14:textId="0FF20CAC" w:rsidR="00433DD6" w:rsidRPr="00734230" w:rsidRDefault="00433DD6" w:rsidP="005343FD">
            <w:pPr>
              <w:spacing w:line="259" w:lineRule="auto"/>
              <w:jc w:val="both"/>
              <w:rPr>
                <w:rFonts w:ascii="Arial" w:hAnsi="Arial" w:cs="Arial"/>
              </w:rPr>
            </w:pPr>
          </w:p>
        </w:tc>
      </w:tr>
    </w:tbl>
    <w:p w14:paraId="220344A6" w14:textId="053E1B60" w:rsidR="00BA33DC" w:rsidRPr="00734230" w:rsidRDefault="00BA33DC" w:rsidP="00E5307F">
      <w:pPr>
        <w:spacing w:after="0"/>
        <w:rPr>
          <w:rFonts w:ascii="Arial" w:hAnsi="Arial" w:cs="Arial"/>
          <w:sz w:val="10"/>
          <w:szCs w:val="10"/>
        </w:rPr>
      </w:pPr>
    </w:p>
    <w:p w14:paraId="786C2C7C" w14:textId="77777777" w:rsidR="005C6160" w:rsidRDefault="005C6160" w:rsidP="00196B80">
      <w:pPr>
        <w:rPr>
          <w:rFonts w:ascii="Arial" w:hAnsi="Arial" w:cs="Arial"/>
          <w:b/>
          <w:bCs/>
          <w:color w:val="FFFFFF" w:themeColor="background1"/>
        </w:rPr>
      </w:pPr>
    </w:p>
    <w:p w14:paraId="40087157" w14:textId="77777777" w:rsidR="00433DD6" w:rsidRDefault="00433DD6" w:rsidP="00196B80">
      <w:pPr>
        <w:rPr>
          <w:rFonts w:ascii="Arial" w:hAnsi="Arial" w:cs="Arial"/>
          <w:b/>
          <w:bCs/>
          <w:color w:val="FFFFFF" w:themeColor="background1"/>
        </w:rPr>
      </w:pPr>
    </w:p>
    <w:p w14:paraId="1A9BAA3B" w14:textId="77777777" w:rsidR="00433DD6" w:rsidRDefault="00433DD6" w:rsidP="00196B80">
      <w:pPr>
        <w:rPr>
          <w:rFonts w:ascii="Arial" w:hAnsi="Arial" w:cs="Arial"/>
          <w:b/>
          <w:bCs/>
          <w:color w:val="FFFFFF" w:themeColor="background1"/>
        </w:rPr>
      </w:pPr>
    </w:p>
    <w:p w14:paraId="4A929FD1" w14:textId="77777777" w:rsidR="00433DD6" w:rsidRDefault="00433DD6" w:rsidP="00196B80">
      <w:pPr>
        <w:rPr>
          <w:rFonts w:ascii="Arial" w:hAnsi="Arial" w:cs="Arial"/>
          <w:b/>
          <w:bCs/>
          <w:color w:val="FFFFFF" w:themeColor="background1"/>
        </w:rPr>
      </w:pPr>
    </w:p>
    <w:p w14:paraId="3D1FC687" w14:textId="60DE4890" w:rsidR="00433DD6" w:rsidRDefault="00433DD6" w:rsidP="00196B80">
      <w:pPr>
        <w:rPr>
          <w:rFonts w:ascii="Arial" w:hAnsi="Arial" w:cs="Arial"/>
          <w:b/>
          <w:bCs/>
          <w:color w:val="FFFFFF" w:themeColor="background1"/>
        </w:rPr>
        <w:sectPr w:rsidR="00433DD6"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2F8CDB9B" w14:textId="77777777" w:rsidTr="00734230">
        <w:trPr>
          <w:trHeight w:val="272"/>
        </w:trPr>
        <w:tc>
          <w:tcPr>
            <w:tcW w:w="10456" w:type="dxa"/>
            <w:shd w:val="clear" w:color="auto" w:fill="50003A"/>
          </w:tcPr>
          <w:p w14:paraId="777DC8CA" w14:textId="2C4A655F"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003C07CF" w14:textId="77777777" w:rsidTr="00433DD6">
        <w:trPr>
          <w:trHeight w:val="794"/>
        </w:trPr>
        <w:tc>
          <w:tcPr>
            <w:tcW w:w="10456" w:type="dxa"/>
          </w:tcPr>
          <w:p w14:paraId="0EE848C3" w14:textId="0BB8492D" w:rsidR="00DE5C28" w:rsidRPr="00734230" w:rsidRDefault="005343FD" w:rsidP="00196B80">
            <w:pPr>
              <w:rPr>
                <w:rFonts w:ascii="Arial" w:hAnsi="Arial" w:cs="Arial"/>
              </w:rPr>
            </w:pPr>
            <w:r w:rsidRPr="005343FD">
              <w:rPr>
                <w:rFonts w:ascii="Arial" w:hAnsi="Arial" w:cs="Arial"/>
              </w:rPr>
              <w:t>This position reports to the</w:t>
            </w:r>
            <w:r w:rsidR="00F44CC2">
              <w:rPr>
                <w:rFonts w:ascii="Arial" w:hAnsi="Arial" w:cs="Arial"/>
              </w:rPr>
              <w:t xml:space="preserve"> Senior Manager</w:t>
            </w:r>
            <w:r w:rsidRPr="005343FD">
              <w:rPr>
                <w:rFonts w:ascii="Arial" w:hAnsi="Arial" w:cs="Arial"/>
              </w:rPr>
              <w:t xml:space="preserve"> Compliance </w:t>
            </w:r>
            <w:proofErr w:type="gramStart"/>
            <w:r w:rsidRPr="005343FD">
              <w:rPr>
                <w:rFonts w:ascii="Arial" w:hAnsi="Arial" w:cs="Arial"/>
              </w:rPr>
              <w:t>and also</w:t>
            </w:r>
            <w:proofErr w:type="gramEnd"/>
            <w:r w:rsidRPr="005343FD">
              <w:rPr>
                <w:rFonts w:ascii="Arial" w:hAnsi="Arial" w:cs="Arial"/>
              </w:rPr>
              <w:t xml:space="preserve"> works closely with other members of the divisional Risk team, various Business Units, other Divisional Compliance teams and Group Regulatory Compliance to enhance the further development of a strong risk and compliance culture.</w:t>
            </w:r>
          </w:p>
        </w:tc>
      </w:tr>
    </w:tbl>
    <w:p w14:paraId="74339F59" w14:textId="476F7DD3" w:rsidR="00A32B31" w:rsidRPr="00734230" w:rsidRDefault="00A32B31" w:rsidP="00E5307F">
      <w:pPr>
        <w:spacing w:after="0"/>
        <w:rPr>
          <w:rFonts w:ascii="Arial" w:hAnsi="Arial" w:cs="Arial"/>
          <w:sz w:val="10"/>
          <w:szCs w:val="10"/>
        </w:rPr>
      </w:pPr>
    </w:p>
    <w:p w14:paraId="1B3AD68E"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0B14F7BF"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5A5C9F76" w14:textId="77777777" w:rsidTr="00852BF6">
        <w:trPr>
          <w:trHeight w:val="275"/>
        </w:trPr>
        <w:tc>
          <w:tcPr>
            <w:tcW w:w="10457" w:type="dxa"/>
            <w:shd w:val="clear" w:color="auto" w:fill="F04E58"/>
          </w:tcPr>
          <w:p w14:paraId="5B2FF87C" w14:textId="070FFACB" w:rsidR="00A32B31" w:rsidRPr="00734230" w:rsidRDefault="00A32B31" w:rsidP="00F728B1">
            <w:pPr>
              <w:rPr>
                <w:rFonts w:ascii="Arial" w:hAnsi="Arial" w:cs="Arial"/>
                <w:b/>
                <w:bCs/>
              </w:rPr>
            </w:pPr>
          </w:p>
        </w:tc>
      </w:tr>
    </w:tbl>
    <w:p w14:paraId="7E633AC3" w14:textId="3FBDECB1" w:rsidR="00A32B31" w:rsidRPr="00734230" w:rsidRDefault="00A32B31" w:rsidP="00E5307F">
      <w:pPr>
        <w:spacing w:after="0"/>
        <w:rPr>
          <w:rFonts w:ascii="Arial" w:hAnsi="Arial" w:cs="Arial"/>
          <w:sz w:val="10"/>
          <w:szCs w:val="10"/>
        </w:rPr>
      </w:pPr>
    </w:p>
    <w:p w14:paraId="0FD2041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838"/>
        <w:gridCol w:w="8647"/>
      </w:tblGrid>
      <w:tr w:rsidR="00992E1C" w:rsidRPr="00734230" w14:paraId="23E6AD8F" w14:textId="77777777" w:rsidTr="00734230">
        <w:tc>
          <w:tcPr>
            <w:tcW w:w="10485" w:type="dxa"/>
            <w:gridSpan w:val="2"/>
            <w:shd w:val="clear" w:color="auto" w:fill="50003A"/>
          </w:tcPr>
          <w:p w14:paraId="48489771" w14:textId="3E70FE21"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2818F936" w14:textId="77777777" w:rsidTr="00433DD6">
        <w:trPr>
          <w:trHeight w:val="850"/>
        </w:trPr>
        <w:tc>
          <w:tcPr>
            <w:tcW w:w="1838" w:type="dxa"/>
          </w:tcPr>
          <w:p w14:paraId="639D02D1" w14:textId="11F46C9A" w:rsidR="00992E1C" w:rsidRPr="00734230" w:rsidRDefault="001E3198" w:rsidP="00F728B1">
            <w:pPr>
              <w:rPr>
                <w:rFonts w:ascii="Arial" w:hAnsi="Arial" w:cs="Arial"/>
                <w:b/>
                <w:bCs/>
              </w:rPr>
            </w:pPr>
            <w:r w:rsidRPr="008B4710">
              <w:rPr>
                <w:rFonts w:ascii="Arial" w:hAnsi="Arial" w:cs="Arial"/>
                <w:b/>
                <w:bCs/>
              </w:rPr>
              <w:t>Regulatory and operational compliance advice</w:t>
            </w:r>
          </w:p>
        </w:tc>
        <w:tc>
          <w:tcPr>
            <w:tcW w:w="8647" w:type="dxa"/>
          </w:tcPr>
          <w:p w14:paraId="33B9B398" w14:textId="77777777" w:rsidR="00E60785" w:rsidRPr="00E60785" w:rsidRDefault="00E60785" w:rsidP="00433DD6">
            <w:pPr>
              <w:pStyle w:val="ListParagraph"/>
              <w:numPr>
                <w:ilvl w:val="0"/>
                <w:numId w:val="8"/>
              </w:numPr>
              <w:tabs>
                <w:tab w:val="left" w:pos="461"/>
              </w:tabs>
              <w:ind w:left="461"/>
              <w:rPr>
                <w:rFonts w:ascii="Arial" w:hAnsi="Arial" w:cs="Arial"/>
              </w:rPr>
            </w:pPr>
            <w:r w:rsidRPr="00E60785">
              <w:rPr>
                <w:rFonts w:ascii="Arial" w:hAnsi="Arial" w:cs="Arial"/>
              </w:rPr>
              <w:t>Provide compliance advice and support to enable the division to meet all compliance obligations (including all license obligations).</w:t>
            </w:r>
          </w:p>
          <w:p w14:paraId="1981EACA" w14:textId="762BB072" w:rsidR="00A32B31" w:rsidRPr="00E60785" w:rsidRDefault="00E60785" w:rsidP="00433DD6">
            <w:pPr>
              <w:pStyle w:val="ListParagraph"/>
              <w:numPr>
                <w:ilvl w:val="0"/>
                <w:numId w:val="8"/>
              </w:numPr>
              <w:tabs>
                <w:tab w:val="left" w:pos="461"/>
              </w:tabs>
              <w:ind w:left="461"/>
              <w:rPr>
                <w:rFonts w:ascii="Arial" w:hAnsi="Arial" w:cs="Arial"/>
              </w:rPr>
            </w:pPr>
            <w:r w:rsidRPr="00E60785">
              <w:rPr>
                <w:rFonts w:ascii="Arial" w:hAnsi="Arial" w:cs="Arial"/>
              </w:rPr>
              <w:t>Assist with external audit or reporting requirements in relation to the compliance framework.</w:t>
            </w:r>
          </w:p>
        </w:tc>
      </w:tr>
      <w:tr w:rsidR="00992E1C" w:rsidRPr="00734230" w14:paraId="6D6B1D6F" w14:textId="77777777" w:rsidTr="00433DD6">
        <w:trPr>
          <w:trHeight w:val="1531"/>
        </w:trPr>
        <w:tc>
          <w:tcPr>
            <w:tcW w:w="1838" w:type="dxa"/>
          </w:tcPr>
          <w:p w14:paraId="611D5E70" w14:textId="57681F96" w:rsidR="00992E1C" w:rsidRPr="00734230" w:rsidRDefault="00B21AA3" w:rsidP="00F728B1">
            <w:pPr>
              <w:rPr>
                <w:rFonts w:ascii="Arial" w:hAnsi="Arial" w:cs="Arial"/>
                <w:b/>
                <w:bCs/>
              </w:rPr>
            </w:pPr>
            <w:r w:rsidRPr="008B4710">
              <w:rPr>
                <w:rFonts w:ascii="Arial" w:hAnsi="Arial" w:cs="Arial"/>
                <w:b/>
                <w:bCs/>
              </w:rPr>
              <w:t>Policies, procedures, and documentation</w:t>
            </w:r>
          </w:p>
        </w:tc>
        <w:tc>
          <w:tcPr>
            <w:tcW w:w="8647" w:type="dxa"/>
          </w:tcPr>
          <w:p w14:paraId="48DA895B" w14:textId="77777777" w:rsidR="002E3284" w:rsidRPr="008B4710" w:rsidRDefault="002E3284" w:rsidP="00433DD6">
            <w:pPr>
              <w:pStyle w:val="ListParagraph"/>
              <w:numPr>
                <w:ilvl w:val="0"/>
                <w:numId w:val="8"/>
              </w:numPr>
              <w:tabs>
                <w:tab w:val="left" w:pos="461"/>
              </w:tabs>
              <w:ind w:left="461"/>
              <w:rPr>
                <w:rFonts w:ascii="Arial" w:hAnsi="Arial" w:cs="Arial"/>
              </w:rPr>
            </w:pPr>
            <w:r w:rsidRPr="008B4710">
              <w:rPr>
                <w:rFonts w:ascii="Arial" w:hAnsi="Arial" w:cs="Arial"/>
              </w:rPr>
              <w:t xml:space="preserve">Be a key stakeholder and </w:t>
            </w:r>
            <w:proofErr w:type="gramStart"/>
            <w:r w:rsidRPr="008B4710">
              <w:rPr>
                <w:rFonts w:ascii="Arial" w:hAnsi="Arial" w:cs="Arial"/>
              </w:rPr>
              <w:t>provide assistance</w:t>
            </w:r>
            <w:proofErr w:type="gramEnd"/>
            <w:r w:rsidRPr="008B4710">
              <w:rPr>
                <w:rFonts w:ascii="Arial" w:hAnsi="Arial" w:cs="Arial"/>
              </w:rPr>
              <w:t xml:space="preserve"> in the establishment of T&amp;Cs to ensure they meet regulatory requirements.</w:t>
            </w:r>
          </w:p>
          <w:p w14:paraId="02D44B91" w14:textId="77777777" w:rsidR="002E3284" w:rsidRPr="008B4710" w:rsidRDefault="002E3284" w:rsidP="00433DD6">
            <w:pPr>
              <w:pStyle w:val="ListParagraph"/>
              <w:numPr>
                <w:ilvl w:val="0"/>
                <w:numId w:val="8"/>
              </w:numPr>
              <w:tabs>
                <w:tab w:val="left" w:pos="461"/>
              </w:tabs>
              <w:ind w:left="461"/>
              <w:rPr>
                <w:rFonts w:ascii="Arial" w:hAnsi="Arial" w:cs="Arial"/>
              </w:rPr>
            </w:pPr>
            <w:r w:rsidRPr="008B4710">
              <w:rPr>
                <w:rFonts w:ascii="Arial" w:hAnsi="Arial" w:cs="Arial"/>
              </w:rPr>
              <w:t>Provide advice and drafting assistance in the development and implementation of compliance/operational policies, procedures, and processes.</w:t>
            </w:r>
          </w:p>
          <w:p w14:paraId="3EBCD604" w14:textId="2563B58C" w:rsidR="00EE04F0" w:rsidRPr="00FB2A6F" w:rsidRDefault="002E3284" w:rsidP="00433DD6">
            <w:pPr>
              <w:pStyle w:val="ListParagraph"/>
              <w:numPr>
                <w:ilvl w:val="0"/>
                <w:numId w:val="8"/>
              </w:numPr>
              <w:tabs>
                <w:tab w:val="left" w:pos="461"/>
              </w:tabs>
              <w:ind w:left="461"/>
              <w:rPr>
                <w:rFonts w:ascii="Arial" w:hAnsi="Arial" w:cs="Arial"/>
              </w:rPr>
            </w:pPr>
            <w:r w:rsidRPr="00FB2A6F">
              <w:rPr>
                <w:rFonts w:ascii="Arial" w:hAnsi="Arial" w:cs="Arial"/>
              </w:rPr>
              <w:t>Review and provide feedback to Group Regulatory Compliance regarding policies, procedures, and other documentation.</w:t>
            </w:r>
          </w:p>
        </w:tc>
      </w:tr>
      <w:tr w:rsidR="00992E1C" w:rsidRPr="00734230" w14:paraId="729CA433" w14:textId="77777777" w:rsidTr="00433DD6">
        <w:trPr>
          <w:trHeight w:val="1531"/>
        </w:trPr>
        <w:tc>
          <w:tcPr>
            <w:tcW w:w="1838" w:type="dxa"/>
          </w:tcPr>
          <w:p w14:paraId="41551E31" w14:textId="0EF7E598" w:rsidR="00992E1C" w:rsidRPr="00734230" w:rsidRDefault="00CF0EBA" w:rsidP="00F728B1">
            <w:pPr>
              <w:rPr>
                <w:rFonts w:ascii="Arial" w:hAnsi="Arial" w:cs="Arial"/>
                <w:b/>
                <w:bCs/>
              </w:rPr>
            </w:pPr>
            <w:r w:rsidRPr="008B4710">
              <w:rPr>
                <w:rFonts w:ascii="Arial" w:hAnsi="Arial" w:cs="Arial"/>
                <w:b/>
                <w:bCs/>
              </w:rPr>
              <w:t>Regulatory projects</w:t>
            </w:r>
          </w:p>
        </w:tc>
        <w:tc>
          <w:tcPr>
            <w:tcW w:w="8647" w:type="dxa"/>
          </w:tcPr>
          <w:p w14:paraId="08DB84D6" w14:textId="77777777" w:rsidR="00BB35A5" w:rsidRPr="008B4710" w:rsidRDefault="00BB35A5" w:rsidP="00433DD6">
            <w:pPr>
              <w:pStyle w:val="ListParagraph"/>
              <w:numPr>
                <w:ilvl w:val="0"/>
                <w:numId w:val="8"/>
              </w:numPr>
              <w:tabs>
                <w:tab w:val="left" w:pos="461"/>
              </w:tabs>
              <w:ind w:left="461"/>
              <w:rPr>
                <w:rFonts w:ascii="Arial" w:hAnsi="Arial" w:cs="Arial"/>
              </w:rPr>
            </w:pPr>
            <w:r w:rsidRPr="008B4710">
              <w:rPr>
                <w:rFonts w:ascii="Arial" w:hAnsi="Arial" w:cs="Arial"/>
              </w:rPr>
              <w:t>Research proposed legislative and regulatory changes and work with stakeholders to determine the impact on the division.</w:t>
            </w:r>
          </w:p>
          <w:p w14:paraId="6883C7FA" w14:textId="77777777" w:rsidR="00BB35A5" w:rsidRPr="008B4710" w:rsidRDefault="00BB35A5" w:rsidP="00433DD6">
            <w:pPr>
              <w:pStyle w:val="ListParagraph"/>
              <w:numPr>
                <w:ilvl w:val="0"/>
                <w:numId w:val="8"/>
              </w:numPr>
              <w:tabs>
                <w:tab w:val="left" w:pos="461"/>
              </w:tabs>
              <w:ind w:left="461"/>
              <w:rPr>
                <w:rFonts w:ascii="Arial" w:hAnsi="Arial" w:cs="Arial"/>
              </w:rPr>
            </w:pPr>
            <w:r w:rsidRPr="008B4710">
              <w:rPr>
                <w:rFonts w:ascii="Arial" w:hAnsi="Arial" w:cs="Arial"/>
              </w:rPr>
              <w:t>Support the Division in the implementation of new and changed obligations.</w:t>
            </w:r>
          </w:p>
          <w:p w14:paraId="229BB18A" w14:textId="77777777" w:rsidR="00BB35A5" w:rsidRPr="005A218F" w:rsidRDefault="00BB35A5" w:rsidP="00433DD6">
            <w:pPr>
              <w:pStyle w:val="ListParagraph"/>
              <w:numPr>
                <w:ilvl w:val="0"/>
                <w:numId w:val="8"/>
              </w:numPr>
              <w:tabs>
                <w:tab w:val="left" w:pos="461"/>
              </w:tabs>
              <w:ind w:left="461"/>
              <w:rPr>
                <w:rFonts w:ascii="Arial" w:hAnsi="Arial" w:cs="Arial"/>
              </w:rPr>
            </w:pPr>
            <w:r w:rsidRPr="005A218F">
              <w:rPr>
                <w:rFonts w:ascii="Arial" w:hAnsi="Arial" w:cs="Arial"/>
              </w:rPr>
              <w:t>Provide regular updates to senior management about relevant changes to the regulatory environment affecting the division.</w:t>
            </w:r>
          </w:p>
          <w:p w14:paraId="797402CE" w14:textId="49F6CE4E" w:rsidR="00992E1C" w:rsidRPr="00BB35A5" w:rsidRDefault="00BB35A5" w:rsidP="00433DD6">
            <w:pPr>
              <w:pStyle w:val="ListParagraph"/>
              <w:numPr>
                <w:ilvl w:val="0"/>
                <w:numId w:val="8"/>
              </w:numPr>
              <w:tabs>
                <w:tab w:val="left" w:pos="461"/>
              </w:tabs>
              <w:ind w:left="461"/>
              <w:rPr>
                <w:rFonts w:ascii="Arial" w:hAnsi="Arial" w:cs="Arial"/>
              </w:rPr>
            </w:pPr>
            <w:r w:rsidRPr="00BB35A5">
              <w:rPr>
                <w:rFonts w:ascii="Arial" w:hAnsi="Arial" w:cs="Arial"/>
              </w:rPr>
              <w:t>Participate in regulatory reform projects as required to ensure new legislation is implemented effectively.</w:t>
            </w:r>
          </w:p>
        </w:tc>
      </w:tr>
      <w:tr w:rsidR="00992E1C" w:rsidRPr="00734230" w14:paraId="717796F3" w14:textId="77777777" w:rsidTr="00433DD6">
        <w:trPr>
          <w:trHeight w:val="1531"/>
        </w:trPr>
        <w:tc>
          <w:tcPr>
            <w:tcW w:w="1838" w:type="dxa"/>
          </w:tcPr>
          <w:p w14:paraId="7E543308" w14:textId="15437194" w:rsidR="00992E1C" w:rsidRPr="00734230" w:rsidRDefault="00CB0725" w:rsidP="00F728B1">
            <w:pPr>
              <w:rPr>
                <w:rFonts w:ascii="Arial" w:hAnsi="Arial" w:cs="Arial"/>
                <w:b/>
                <w:bCs/>
              </w:rPr>
            </w:pPr>
            <w:r w:rsidRPr="008B4710">
              <w:rPr>
                <w:rFonts w:ascii="Arial" w:hAnsi="Arial" w:cs="Arial"/>
                <w:b/>
                <w:bCs/>
              </w:rPr>
              <w:t>Risk and compliance management</w:t>
            </w:r>
          </w:p>
        </w:tc>
        <w:tc>
          <w:tcPr>
            <w:tcW w:w="8647" w:type="dxa"/>
          </w:tcPr>
          <w:p w14:paraId="05524915"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Perform all tasks in line with the Risk Management Framework (RMF).</w:t>
            </w:r>
          </w:p>
          <w:p w14:paraId="40CA5796"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Produce papers for and provide input into the Divisional Operational Risk Committee Meetings.</w:t>
            </w:r>
          </w:p>
          <w:p w14:paraId="2D8EEEBC"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Ensure that certification testing for the Compliance Plans and Controls of compliance obligations and thematic deep dives are of a high standard, contain quality reporting, and are undertaken within required timeframes.</w:t>
            </w:r>
          </w:p>
          <w:p w14:paraId="5F696295"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Assist to deliver relevant Compliance KRIs</w:t>
            </w:r>
            <w:r>
              <w:rPr>
                <w:rFonts w:ascii="Arial" w:hAnsi="Arial" w:cs="Arial"/>
              </w:rPr>
              <w:t>.</w:t>
            </w:r>
          </w:p>
          <w:p w14:paraId="68F7E87C"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Identify and support potential control uplifts to ensure regulatory obligations are met and assist the Division to implement the same.</w:t>
            </w:r>
          </w:p>
          <w:p w14:paraId="099ECEA4"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Prepare regulatory responses and notifications</w:t>
            </w:r>
            <w:r>
              <w:rPr>
                <w:rFonts w:ascii="Arial" w:hAnsi="Arial" w:cs="Arial"/>
              </w:rPr>
              <w:t>.</w:t>
            </w:r>
          </w:p>
          <w:p w14:paraId="2C6A2B24"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Review (and updating for Division specific obligations) the obligations register.</w:t>
            </w:r>
          </w:p>
          <w:p w14:paraId="0005DB73"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Review and assess compliance breaches</w:t>
            </w:r>
            <w:r>
              <w:rPr>
                <w:rFonts w:ascii="Arial" w:hAnsi="Arial" w:cs="Arial"/>
              </w:rPr>
              <w:t>.</w:t>
            </w:r>
          </w:p>
          <w:p w14:paraId="7BC0764F" w14:textId="77777777" w:rsidR="00CB06B5" w:rsidRPr="008B4710" w:rsidRDefault="00CB06B5" w:rsidP="00433DD6">
            <w:pPr>
              <w:pStyle w:val="ListParagraph"/>
              <w:numPr>
                <w:ilvl w:val="0"/>
                <w:numId w:val="8"/>
              </w:numPr>
              <w:tabs>
                <w:tab w:val="left" w:pos="461"/>
              </w:tabs>
              <w:ind w:left="461"/>
              <w:rPr>
                <w:rFonts w:ascii="Arial" w:hAnsi="Arial" w:cs="Arial"/>
              </w:rPr>
            </w:pPr>
            <w:r w:rsidRPr="008B4710">
              <w:rPr>
                <w:rFonts w:ascii="Arial" w:hAnsi="Arial" w:cs="Arial"/>
              </w:rPr>
              <w:t>Identify and support additional compliance training that may be required.</w:t>
            </w:r>
          </w:p>
          <w:p w14:paraId="7F36B981" w14:textId="37553D4A" w:rsidR="00992E1C" w:rsidRPr="00CB06B5" w:rsidRDefault="00CB06B5" w:rsidP="00433DD6">
            <w:pPr>
              <w:pStyle w:val="ListParagraph"/>
              <w:numPr>
                <w:ilvl w:val="0"/>
                <w:numId w:val="8"/>
              </w:numPr>
              <w:tabs>
                <w:tab w:val="left" w:pos="461"/>
              </w:tabs>
              <w:ind w:left="461"/>
              <w:rPr>
                <w:rFonts w:ascii="Arial" w:hAnsi="Arial" w:cs="Arial"/>
              </w:rPr>
            </w:pPr>
            <w:r w:rsidRPr="00CB06B5">
              <w:rPr>
                <w:rFonts w:ascii="Arial" w:hAnsi="Arial" w:cs="Arial"/>
              </w:rPr>
              <w:t xml:space="preserve">Support the </w:t>
            </w:r>
            <w:r w:rsidR="00F44CC2">
              <w:rPr>
                <w:rFonts w:ascii="Arial" w:hAnsi="Arial" w:cs="Arial"/>
              </w:rPr>
              <w:t xml:space="preserve">Senior Manager </w:t>
            </w:r>
            <w:r w:rsidRPr="00CB06B5">
              <w:rPr>
                <w:rFonts w:ascii="Arial" w:hAnsi="Arial" w:cs="Arial"/>
              </w:rPr>
              <w:t>Compliance with any risk and compliance activity relevant for the division.</w:t>
            </w:r>
          </w:p>
        </w:tc>
      </w:tr>
      <w:tr w:rsidR="000D0F53" w:rsidRPr="00734230" w14:paraId="3D20EB26" w14:textId="77777777" w:rsidTr="00433DD6">
        <w:trPr>
          <w:trHeight w:val="1531"/>
        </w:trPr>
        <w:tc>
          <w:tcPr>
            <w:tcW w:w="1838" w:type="dxa"/>
          </w:tcPr>
          <w:p w14:paraId="39718CDF" w14:textId="00274E9B" w:rsidR="000D0F53" w:rsidRDefault="00793211" w:rsidP="00F728B1">
            <w:pPr>
              <w:rPr>
                <w:rFonts w:ascii="Arial" w:hAnsi="Arial" w:cs="Arial"/>
                <w:b/>
                <w:bCs/>
              </w:rPr>
            </w:pPr>
            <w:r w:rsidRPr="008B4710">
              <w:rPr>
                <w:rFonts w:ascii="Arial" w:hAnsi="Arial" w:cs="Arial"/>
                <w:b/>
                <w:bCs/>
              </w:rPr>
              <w:t>Leadership</w:t>
            </w:r>
          </w:p>
        </w:tc>
        <w:tc>
          <w:tcPr>
            <w:tcW w:w="8647" w:type="dxa"/>
          </w:tcPr>
          <w:p w14:paraId="3BA23763" w14:textId="77777777" w:rsidR="008B353B" w:rsidRPr="008B4710" w:rsidRDefault="008B353B" w:rsidP="00433DD6">
            <w:pPr>
              <w:pStyle w:val="ListParagraph"/>
              <w:numPr>
                <w:ilvl w:val="0"/>
                <w:numId w:val="8"/>
              </w:numPr>
              <w:tabs>
                <w:tab w:val="left" w:pos="461"/>
              </w:tabs>
              <w:ind w:left="461"/>
              <w:rPr>
                <w:rFonts w:ascii="Arial" w:hAnsi="Arial" w:cs="Arial"/>
              </w:rPr>
            </w:pPr>
            <w:r w:rsidRPr="008B4710">
              <w:rPr>
                <w:rFonts w:ascii="Arial" w:hAnsi="Arial" w:cs="Arial"/>
              </w:rPr>
              <w:t>Promote a strong risk and compliance culture (through education, support, and awareness).</w:t>
            </w:r>
          </w:p>
          <w:p w14:paraId="5933ADCD" w14:textId="77777777" w:rsidR="008B353B" w:rsidRPr="008B4710" w:rsidRDefault="008B353B" w:rsidP="00433DD6">
            <w:pPr>
              <w:pStyle w:val="ListParagraph"/>
              <w:numPr>
                <w:ilvl w:val="0"/>
                <w:numId w:val="8"/>
              </w:numPr>
              <w:tabs>
                <w:tab w:val="left" w:pos="461"/>
              </w:tabs>
              <w:ind w:left="461"/>
              <w:rPr>
                <w:rFonts w:ascii="Arial" w:hAnsi="Arial" w:cs="Arial"/>
              </w:rPr>
            </w:pPr>
            <w:r w:rsidRPr="008B4710">
              <w:rPr>
                <w:rFonts w:ascii="Arial" w:hAnsi="Arial" w:cs="Arial"/>
              </w:rPr>
              <w:t xml:space="preserve">Be an integral part of the </w:t>
            </w:r>
            <w:r>
              <w:rPr>
                <w:rFonts w:ascii="Arial" w:hAnsi="Arial" w:cs="Arial"/>
              </w:rPr>
              <w:t xml:space="preserve">divisional </w:t>
            </w:r>
            <w:r w:rsidRPr="008B4710">
              <w:rPr>
                <w:rFonts w:ascii="Arial" w:hAnsi="Arial" w:cs="Arial"/>
              </w:rPr>
              <w:t>Risk team, establishing and maintaining relationships with key business units within the Bank and managing ad hoc projects as they arise.</w:t>
            </w:r>
          </w:p>
          <w:p w14:paraId="2E9F6D56" w14:textId="77777777" w:rsidR="008B353B" w:rsidRPr="008B4710" w:rsidRDefault="008B353B" w:rsidP="00433DD6">
            <w:pPr>
              <w:pStyle w:val="ListParagraph"/>
              <w:numPr>
                <w:ilvl w:val="0"/>
                <w:numId w:val="8"/>
              </w:numPr>
              <w:tabs>
                <w:tab w:val="left" w:pos="461"/>
              </w:tabs>
              <w:ind w:left="461"/>
              <w:rPr>
                <w:rFonts w:ascii="Arial" w:hAnsi="Arial" w:cs="Arial"/>
              </w:rPr>
            </w:pPr>
            <w:r w:rsidRPr="008B4710">
              <w:rPr>
                <w:rFonts w:ascii="Arial" w:hAnsi="Arial" w:cs="Arial"/>
              </w:rPr>
              <w:t>Build effective relationships across the organisation.</w:t>
            </w:r>
          </w:p>
          <w:p w14:paraId="35324A3E" w14:textId="77777777" w:rsidR="008B353B" w:rsidRDefault="008B353B" w:rsidP="00433DD6">
            <w:pPr>
              <w:pStyle w:val="ListParagraph"/>
              <w:numPr>
                <w:ilvl w:val="0"/>
                <w:numId w:val="8"/>
              </w:numPr>
              <w:tabs>
                <w:tab w:val="left" w:pos="461"/>
              </w:tabs>
              <w:ind w:left="461"/>
              <w:rPr>
                <w:rFonts w:ascii="Arial" w:hAnsi="Arial" w:cs="Arial"/>
              </w:rPr>
            </w:pPr>
            <w:r w:rsidRPr="008B4710">
              <w:rPr>
                <w:rFonts w:ascii="Arial" w:hAnsi="Arial" w:cs="Arial"/>
              </w:rPr>
              <w:t>Promote and support operational efficiency in processes and practices.</w:t>
            </w:r>
          </w:p>
          <w:p w14:paraId="655709BB" w14:textId="77777777" w:rsidR="008B353B" w:rsidRPr="00F47F33" w:rsidRDefault="008B353B" w:rsidP="00433DD6">
            <w:pPr>
              <w:pStyle w:val="ListParagraph"/>
              <w:numPr>
                <w:ilvl w:val="0"/>
                <w:numId w:val="8"/>
              </w:numPr>
              <w:tabs>
                <w:tab w:val="left" w:pos="461"/>
              </w:tabs>
              <w:ind w:left="461"/>
              <w:contextualSpacing w:val="0"/>
              <w:rPr>
                <w:rFonts w:ascii="Arial" w:hAnsi="Arial" w:cs="Arial"/>
              </w:rPr>
            </w:pPr>
            <w:r w:rsidRPr="00F47F33">
              <w:rPr>
                <w:rFonts w:ascii="Arial" w:hAnsi="Arial" w:cs="Arial"/>
              </w:rPr>
              <w:t>Participate in cross divisional compliance work to the greatest extent possible.</w:t>
            </w:r>
          </w:p>
          <w:p w14:paraId="54362B1D" w14:textId="571D49A3" w:rsidR="000D0F53" w:rsidRDefault="008B353B" w:rsidP="00433DD6">
            <w:pPr>
              <w:pStyle w:val="ListParagraph"/>
              <w:numPr>
                <w:ilvl w:val="0"/>
                <w:numId w:val="8"/>
              </w:numPr>
              <w:tabs>
                <w:tab w:val="left" w:pos="461"/>
              </w:tabs>
              <w:ind w:left="461"/>
              <w:rPr>
                <w:rFonts w:ascii="Arial" w:hAnsi="Arial" w:cs="Arial"/>
              </w:rPr>
            </w:pPr>
            <w:r w:rsidRPr="00F47F33">
              <w:rPr>
                <w:rFonts w:ascii="Arial" w:hAnsi="Arial" w:cs="Arial"/>
              </w:rPr>
              <w:t>Work to harmonise compliance practices across the group wherever possible.</w:t>
            </w:r>
          </w:p>
        </w:tc>
      </w:tr>
      <w:tr w:rsidR="008B353B" w:rsidRPr="00734230" w14:paraId="342FEBCB" w14:textId="77777777" w:rsidTr="00433DD6">
        <w:trPr>
          <w:trHeight w:val="397"/>
        </w:trPr>
        <w:tc>
          <w:tcPr>
            <w:tcW w:w="1838" w:type="dxa"/>
          </w:tcPr>
          <w:p w14:paraId="388E3CA4" w14:textId="6A207F1A" w:rsidR="008B353B" w:rsidRPr="008B4710" w:rsidRDefault="008B353B" w:rsidP="00F728B1">
            <w:pPr>
              <w:rPr>
                <w:rFonts w:ascii="Arial" w:hAnsi="Arial" w:cs="Arial"/>
                <w:b/>
                <w:bCs/>
              </w:rPr>
            </w:pPr>
            <w:r>
              <w:rPr>
                <w:rFonts w:ascii="Arial" w:hAnsi="Arial" w:cs="Arial"/>
                <w:b/>
                <w:bCs/>
              </w:rPr>
              <w:t>Values</w:t>
            </w:r>
          </w:p>
        </w:tc>
        <w:tc>
          <w:tcPr>
            <w:tcW w:w="8647" w:type="dxa"/>
          </w:tcPr>
          <w:p w14:paraId="43B93B97" w14:textId="22CB53F8" w:rsidR="008B353B" w:rsidRPr="008B4710" w:rsidRDefault="008532AC" w:rsidP="00433DD6">
            <w:pPr>
              <w:pStyle w:val="ListParagraph"/>
              <w:numPr>
                <w:ilvl w:val="0"/>
                <w:numId w:val="8"/>
              </w:numPr>
              <w:tabs>
                <w:tab w:val="left" w:pos="461"/>
              </w:tabs>
              <w:ind w:left="461"/>
              <w:rPr>
                <w:rFonts w:ascii="Arial" w:hAnsi="Arial" w:cs="Arial"/>
              </w:rPr>
            </w:pPr>
            <w:r w:rsidRPr="008B4710">
              <w:rPr>
                <w:rFonts w:ascii="Arial" w:hAnsi="Arial" w:cs="Arial"/>
              </w:rPr>
              <w:t>Demonstrate consistent behaviour in accordance with the Bank</w:t>
            </w:r>
            <w:r>
              <w:rPr>
                <w:rFonts w:ascii="Arial" w:hAnsi="Arial" w:cs="Arial"/>
              </w:rPr>
              <w:t>’s</w:t>
            </w:r>
            <w:r w:rsidRPr="008B4710">
              <w:rPr>
                <w:rFonts w:ascii="Arial" w:hAnsi="Arial" w:cs="Arial"/>
              </w:rPr>
              <w:t xml:space="preserve"> Values of Teamwork, Integrity, Performance, Engagement, Leadership and Passion.</w:t>
            </w:r>
          </w:p>
        </w:tc>
      </w:tr>
    </w:tbl>
    <w:p w14:paraId="2032648F" w14:textId="77777777" w:rsidR="00992E1C" w:rsidRPr="00734230" w:rsidRDefault="00992E1C" w:rsidP="00E5307F">
      <w:pPr>
        <w:spacing w:after="0"/>
        <w:rPr>
          <w:rFonts w:ascii="Arial" w:hAnsi="Arial" w:cs="Arial"/>
          <w:sz w:val="10"/>
          <w:szCs w:val="10"/>
        </w:rPr>
      </w:pPr>
    </w:p>
    <w:p w14:paraId="75C45E55"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980"/>
        <w:gridCol w:w="8505"/>
      </w:tblGrid>
      <w:tr w:rsidR="00FD2046" w:rsidRPr="00734230" w14:paraId="61B50650" w14:textId="77777777" w:rsidTr="00734230">
        <w:tc>
          <w:tcPr>
            <w:tcW w:w="10485" w:type="dxa"/>
            <w:gridSpan w:val="2"/>
            <w:shd w:val="clear" w:color="auto" w:fill="50003A"/>
          </w:tcPr>
          <w:p w14:paraId="02646CF8" w14:textId="06F4BB5C"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59DCBFB6" w14:textId="77777777" w:rsidTr="00433DD6">
        <w:trPr>
          <w:trHeight w:val="1531"/>
        </w:trPr>
        <w:tc>
          <w:tcPr>
            <w:tcW w:w="1980" w:type="dxa"/>
          </w:tcPr>
          <w:p w14:paraId="78C008F2" w14:textId="347E3E92"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8505" w:type="dxa"/>
          </w:tcPr>
          <w:p w14:paraId="2B23FAC2"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t>Demonstrated technical skills with well-developed expertise across compliance and risk activities</w:t>
            </w:r>
          </w:p>
          <w:p w14:paraId="1E57AEA8"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t>Ability to build internal and external relationships to facilitate risk and compliance knowledge</w:t>
            </w:r>
          </w:p>
          <w:p w14:paraId="24D43621"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t xml:space="preserve">Strong attention to detail and accuracy </w:t>
            </w:r>
          </w:p>
          <w:p w14:paraId="7C2D5452"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t>Highly developed influencing and communicating skills with staff at all levels, including senior and executive management to convey big picture or complex issues</w:t>
            </w:r>
          </w:p>
          <w:p w14:paraId="7208C0CD"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lastRenderedPageBreak/>
              <w:t>Sound report writing and minute taking skills.</w:t>
            </w:r>
          </w:p>
          <w:p w14:paraId="54D971C8"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t>Strong problem solving and time management skills.</w:t>
            </w:r>
          </w:p>
          <w:p w14:paraId="34EEE27E" w14:textId="77777777" w:rsidR="00903DCA" w:rsidRPr="008B4710" w:rsidRDefault="00903DCA" w:rsidP="00433DD6">
            <w:pPr>
              <w:pStyle w:val="ListParagraph"/>
              <w:numPr>
                <w:ilvl w:val="0"/>
                <w:numId w:val="8"/>
              </w:numPr>
              <w:tabs>
                <w:tab w:val="left" w:pos="461"/>
              </w:tabs>
              <w:ind w:left="461"/>
              <w:rPr>
                <w:rFonts w:ascii="Arial" w:hAnsi="Arial" w:cs="Arial"/>
              </w:rPr>
            </w:pPr>
            <w:r w:rsidRPr="008B4710">
              <w:rPr>
                <w:rFonts w:ascii="Arial" w:hAnsi="Arial" w:cs="Arial"/>
              </w:rPr>
              <w:t xml:space="preserve">Demonstrated partner and customer focus </w:t>
            </w:r>
          </w:p>
          <w:p w14:paraId="7A24339B" w14:textId="4B73D7A3" w:rsidR="00A32B31" w:rsidRPr="00903DCA" w:rsidRDefault="00903DCA" w:rsidP="00433DD6">
            <w:pPr>
              <w:pStyle w:val="ListParagraph"/>
              <w:numPr>
                <w:ilvl w:val="0"/>
                <w:numId w:val="8"/>
              </w:numPr>
              <w:tabs>
                <w:tab w:val="left" w:pos="461"/>
              </w:tabs>
              <w:ind w:left="461"/>
              <w:rPr>
                <w:rFonts w:ascii="Arial" w:hAnsi="Arial" w:cs="Arial"/>
              </w:rPr>
            </w:pPr>
            <w:r w:rsidRPr="00903DCA">
              <w:rPr>
                <w:rFonts w:ascii="Arial" w:hAnsi="Arial" w:cs="Arial"/>
              </w:rPr>
              <w:t>Self-driven, inquisitive, highly motivated, adaptable, ability to work autonomously</w:t>
            </w:r>
          </w:p>
        </w:tc>
      </w:tr>
      <w:tr w:rsidR="00FD2046" w:rsidRPr="00734230" w14:paraId="50C3402F" w14:textId="77777777" w:rsidTr="00433DD6">
        <w:trPr>
          <w:trHeight w:val="1304"/>
        </w:trPr>
        <w:tc>
          <w:tcPr>
            <w:tcW w:w="1980" w:type="dxa"/>
          </w:tcPr>
          <w:p w14:paraId="04B39372" w14:textId="2300D9C3"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8505" w:type="dxa"/>
          </w:tcPr>
          <w:p w14:paraId="5CBC9F10" w14:textId="77777777" w:rsidR="00B9173F" w:rsidRPr="008B4710" w:rsidRDefault="00B9173F" w:rsidP="00433DD6">
            <w:pPr>
              <w:pStyle w:val="ListParagraph"/>
              <w:numPr>
                <w:ilvl w:val="0"/>
                <w:numId w:val="8"/>
              </w:numPr>
              <w:tabs>
                <w:tab w:val="left" w:pos="461"/>
              </w:tabs>
              <w:ind w:left="461"/>
              <w:rPr>
                <w:rFonts w:ascii="Arial" w:hAnsi="Arial" w:cs="Arial"/>
              </w:rPr>
            </w:pPr>
            <w:r w:rsidRPr="008B4710">
              <w:rPr>
                <w:rFonts w:ascii="Arial" w:hAnsi="Arial" w:cs="Arial"/>
              </w:rPr>
              <w:t xml:space="preserve">Essential: </w:t>
            </w:r>
            <w:r>
              <w:rPr>
                <w:rFonts w:ascii="Arial" w:hAnsi="Arial" w:cs="Arial"/>
              </w:rPr>
              <w:t xml:space="preserve">Demonstrated </w:t>
            </w:r>
            <w:r w:rsidRPr="008B4710">
              <w:rPr>
                <w:rFonts w:ascii="Arial" w:hAnsi="Arial" w:cs="Arial"/>
              </w:rPr>
              <w:t>Compliance experience in Banking &amp; Financial Services (Line 1 or 2)</w:t>
            </w:r>
          </w:p>
          <w:p w14:paraId="4B2F1FB9" w14:textId="77777777" w:rsidR="00B9173F" w:rsidRPr="008B4710" w:rsidRDefault="00B9173F" w:rsidP="00433DD6">
            <w:pPr>
              <w:pStyle w:val="ListParagraph"/>
              <w:numPr>
                <w:ilvl w:val="0"/>
                <w:numId w:val="8"/>
              </w:numPr>
              <w:tabs>
                <w:tab w:val="left" w:pos="461"/>
              </w:tabs>
              <w:ind w:left="461"/>
              <w:rPr>
                <w:rFonts w:ascii="Arial" w:hAnsi="Arial" w:cs="Arial"/>
              </w:rPr>
            </w:pPr>
            <w:r w:rsidRPr="008B4710">
              <w:rPr>
                <w:rFonts w:ascii="Arial" w:hAnsi="Arial" w:cs="Arial"/>
              </w:rPr>
              <w:t>Experience in analysing and interpreting financial services legislation</w:t>
            </w:r>
          </w:p>
          <w:p w14:paraId="782C2639" w14:textId="6B64BECC" w:rsidR="00CC02CB" w:rsidRPr="00433DD6" w:rsidRDefault="00B9173F" w:rsidP="00433DD6">
            <w:pPr>
              <w:pStyle w:val="ListParagraph"/>
              <w:numPr>
                <w:ilvl w:val="0"/>
                <w:numId w:val="8"/>
              </w:numPr>
              <w:tabs>
                <w:tab w:val="left" w:pos="461"/>
              </w:tabs>
              <w:ind w:left="461"/>
              <w:rPr>
                <w:rFonts w:ascii="Arial" w:hAnsi="Arial" w:cs="Arial"/>
              </w:rPr>
            </w:pPr>
            <w:r w:rsidRPr="008B4710">
              <w:rPr>
                <w:rFonts w:ascii="Arial" w:hAnsi="Arial" w:cs="Arial"/>
              </w:rPr>
              <w:t>An understanding of the wider industry including legislation and regulatory requirements</w:t>
            </w:r>
          </w:p>
        </w:tc>
      </w:tr>
    </w:tbl>
    <w:p w14:paraId="6A63120F" w14:textId="44364E1D" w:rsidR="00BA33DC" w:rsidRPr="00734230" w:rsidRDefault="00BA33DC" w:rsidP="00E5307F">
      <w:pPr>
        <w:spacing w:after="0"/>
        <w:rPr>
          <w:rFonts w:ascii="Arial" w:hAnsi="Arial" w:cs="Arial"/>
          <w:sz w:val="10"/>
          <w:szCs w:val="10"/>
        </w:rPr>
      </w:pPr>
    </w:p>
    <w:p w14:paraId="57873453"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786CD425" w14:textId="77777777" w:rsidTr="00734230">
        <w:trPr>
          <w:trHeight w:val="272"/>
        </w:trPr>
        <w:tc>
          <w:tcPr>
            <w:tcW w:w="10456" w:type="dxa"/>
            <w:shd w:val="clear" w:color="auto" w:fill="50003A"/>
          </w:tcPr>
          <w:p w14:paraId="624B28E5" w14:textId="0963DFA3"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3E4D9D4" w14:textId="77777777" w:rsidTr="00FE326C">
        <w:trPr>
          <w:trHeight w:val="905"/>
        </w:trPr>
        <w:tc>
          <w:tcPr>
            <w:tcW w:w="10456" w:type="dxa"/>
          </w:tcPr>
          <w:p w14:paraId="7CE3DA1B" w14:textId="77777777" w:rsidR="009E62CD" w:rsidRDefault="009E62CD" w:rsidP="00433DD6">
            <w:pPr>
              <w:pStyle w:val="ListParagraph"/>
              <w:numPr>
                <w:ilvl w:val="0"/>
                <w:numId w:val="8"/>
              </w:numPr>
              <w:tabs>
                <w:tab w:val="left" w:pos="461"/>
              </w:tabs>
              <w:ind w:left="461"/>
              <w:rPr>
                <w:rFonts w:ascii="Arial" w:hAnsi="Arial" w:cs="Arial"/>
              </w:rPr>
            </w:pPr>
            <w:r w:rsidRPr="0034757A">
              <w:rPr>
                <w:rFonts w:ascii="Arial" w:hAnsi="Arial" w:cs="Arial"/>
              </w:rPr>
              <w:t>Tertiary education in Law, Risk Management or Business-related fields is highly desirable</w:t>
            </w:r>
            <w:r w:rsidRPr="008B4710">
              <w:rPr>
                <w:rFonts w:ascii="Arial" w:hAnsi="Arial" w:cs="Arial"/>
              </w:rPr>
              <w:t xml:space="preserve"> </w:t>
            </w:r>
          </w:p>
          <w:p w14:paraId="4C3331DF" w14:textId="77777777" w:rsidR="009E62CD" w:rsidRPr="00374466" w:rsidRDefault="009E62CD" w:rsidP="00433DD6">
            <w:pPr>
              <w:pStyle w:val="ListParagraph"/>
              <w:numPr>
                <w:ilvl w:val="0"/>
                <w:numId w:val="8"/>
              </w:numPr>
              <w:tabs>
                <w:tab w:val="left" w:pos="461"/>
              </w:tabs>
              <w:ind w:left="461"/>
              <w:rPr>
                <w:rFonts w:ascii="Arial" w:hAnsi="Arial" w:cs="Arial"/>
              </w:rPr>
            </w:pPr>
            <w:r w:rsidRPr="00374466">
              <w:rPr>
                <w:rFonts w:ascii="Arial" w:hAnsi="Arial" w:cs="Arial"/>
              </w:rPr>
              <w:t>Proven relevant product, compliance, risk or legal experience gained within a financial institutions or regulator</w:t>
            </w:r>
          </w:p>
          <w:p w14:paraId="630D1FC9" w14:textId="77777777" w:rsidR="009E62CD" w:rsidRPr="00374466" w:rsidRDefault="009E62CD" w:rsidP="00433DD6">
            <w:pPr>
              <w:pStyle w:val="ListParagraph"/>
              <w:numPr>
                <w:ilvl w:val="0"/>
                <w:numId w:val="8"/>
              </w:numPr>
              <w:tabs>
                <w:tab w:val="left" w:pos="461"/>
              </w:tabs>
              <w:ind w:left="461"/>
              <w:rPr>
                <w:rFonts w:ascii="Arial" w:hAnsi="Arial" w:cs="Arial"/>
              </w:rPr>
            </w:pPr>
            <w:r w:rsidRPr="00374466">
              <w:rPr>
                <w:rFonts w:ascii="Arial" w:hAnsi="Arial" w:cs="Arial"/>
              </w:rPr>
              <w:t>Proven experience in interpreting and analysing regulation/legislation</w:t>
            </w:r>
          </w:p>
          <w:p w14:paraId="098951D1" w14:textId="77777777" w:rsidR="009E62CD" w:rsidRPr="00374466" w:rsidRDefault="009E62CD" w:rsidP="00433DD6">
            <w:pPr>
              <w:pStyle w:val="ListParagraph"/>
              <w:numPr>
                <w:ilvl w:val="0"/>
                <w:numId w:val="8"/>
              </w:numPr>
              <w:tabs>
                <w:tab w:val="left" w:pos="461"/>
              </w:tabs>
              <w:ind w:left="461"/>
              <w:rPr>
                <w:rFonts w:ascii="Arial" w:hAnsi="Arial" w:cs="Arial"/>
              </w:rPr>
            </w:pPr>
            <w:r w:rsidRPr="00374466">
              <w:rPr>
                <w:rFonts w:ascii="Arial" w:hAnsi="Arial" w:cs="Arial"/>
              </w:rPr>
              <w:t>Knowledge of Financial Services and related markets.</w:t>
            </w:r>
          </w:p>
          <w:p w14:paraId="0213926C" w14:textId="741472B3" w:rsidR="00AD4836" w:rsidRPr="009E62CD" w:rsidRDefault="009E62CD" w:rsidP="00433DD6">
            <w:pPr>
              <w:pStyle w:val="ListParagraph"/>
              <w:numPr>
                <w:ilvl w:val="0"/>
                <w:numId w:val="8"/>
              </w:numPr>
              <w:tabs>
                <w:tab w:val="left" w:pos="461"/>
              </w:tabs>
              <w:ind w:left="461"/>
              <w:rPr>
                <w:rFonts w:ascii="Arial" w:hAnsi="Arial" w:cs="Arial"/>
              </w:rPr>
            </w:pPr>
            <w:r w:rsidRPr="009E62CD">
              <w:rPr>
                <w:rFonts w:ascii="Arial" w:hAnsi="Arial" w:cs="Arial"/>
              </w:rPr>
              <w:t>Prior experience in a similar role</w:t>
            </w:r>
          </w:p>
        </w:tc>
      </w:tr>
    </w:tbl>
    <w:p w14:paraId="1414DD7B" w14:textId="154AEB79" w:rsidR="00E85291" w:rsidRPr="00734230" w:rsidRDefault="00E85291" w:rsidP="00FC1548">
      <w:pPr>
        <w:spacing w:after="0"/>
        <w:rPr>
          <w:rFonts w:ascii="Arial" w:hAnsi="Arial" w:cs="Arial"/>
          <w:sz w:val="10"/>
          <w:szCs w:val="10"/>
        </w:rPr>
      </w:pPr>
    </w:p>
    <w:p w14:paraId="0B681394"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868EE67" w14:textId="77777777" w:rsidTr="00734230">
        <w:trPr>
          <w:trHeight w:val="272"/>
        </w:trPr>
        <w:tc>
          <w:tcPr>
            <w:tcW w:w="10456" w:type="dxa"/>
            <w:shd w:val="clear" w:color="auto" w:fill="50003A"/>
          </w:tcPr>
          <w:p w14:paraId="6290CF2D" w14:textId="78EF3242"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2C34EE2D" w14:textId="77777777" w:rsidTr="00F728B1">
        <w:trPr>
          <w:trHeight w:val="905"/>
        </w:trPr>
        <w:tc>
          <w:tcPr>
            <w:tcW w:w="10456" w:type="dxa"/>
          </w:tcPr>
          <w:p w14:paraId="1C8EC554" w14:textId="40F31794"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76383C26" w14:textId="66686AAC" w:rsidR="00992E1C" w:rsidRPr="00734230" w:rsidRDefault="00992E1C">
      <w:pPr>
        <w:rPr>
          <w:rFonts w:ascii="Arial" w:hAnsi="Arial" w:cs="Arial"/>
          <w:sz w:val="10"/>
          <w:szCs w:val="10"/>
        </w:rPr>
      </w:pPr>
      <w:r w:rsidRPr="00734230">
        <w:rPr>
          <w:rFonts w:ascii="Arial" w:hAnsi="Arial" w:cs="Arial"/>
          <w:sz w:val="10"/>
          <w:szCs w:val="10"/>
        </w:rPr>
        <w:br w:type="page"/>
      </w:r>
    </w:p>
    <w:p w14:paraId="1B224CF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3E9A71F2" w14:textId="77777777" w:rsidTr="00852BF6">
        <w:trPr>
          <w:trHeight w:val="275"/>
        </w:trPr>
        <w:tc>
          <w:tcPr>
            <w:tcW w:w="10457" w:type="dxa"/>
            <w:shd w:val="clear" w:color="auto" w:fill="F04E58"/>
          </w:tcPr>
          <w:p w14:paraId="53A3665A" w14:textId="32C3C326"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36C132DE" w14:textId="033D41CD"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6B47291F" wp14:editId="27C0D44E">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5B454706"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6828409" w14:textId="77777777" w:rsidTr="00734230">
        <w:tc>
          <w:tcPr>
            <w:tcW w:w="10485" w:type="dxa"/>
            <w:gridSpan w:val="2"/>
            <w:shd w:val="clear" w:color="auto" w:fill="50003A"/>
          </w:tcPr>
          <w:p w14:paraId="1B01FE39" w14:textId="0DF06AFE"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7E22E81C" w14:textId="77777777" w:rsidTr="00F728B1">
        <w:trPr>
          <w:trHeight w:val="425"/>
        </w:trPr>
        <w:tc>
          <w:tcPr>
            <w:tcW w:w="5242" w:type="dxa"/>
            <w:vAlign w:val="center"/>
          </w:tcPr>
          <w:p w14:paraId="48101101" w14:textId="2B264342" w:rsidR="00825E92" w:rsidRPr="00734230" w:rsidRDefault="005256E6" w:rsidP="00F728B1">
            <w:pPr>
              <w:jc w:val="center"/>
              <w:rPr>
                <w:rFonts w:ascii="Arial" w:hAnsi="Arial" w:cs="Arial"/>
                <w:b/>
                <w:bCs/>
              </w:rPr>
            </w:pPr>
            <w:r>
              <w:rPr>
                <w:rFonts w:ascii="Arial" w:hAnsi="Arial" w:cs="Arial"/>
                <w:b/>
                <w:bCs/>
              </w:rPr>
              <w:t>Role Expertise</w:t>
            </w:r>
          </w:p>
        </w:tc>
        <w:tc>
          <w:tcPr>
            <w:tcW w:w="5243" w:type="dxa"/>
            <w:vAlign w:val="center"/>
          </w:tcPr>
          <w:p w14:paraId="2B6934FF" w14:textId="5EA393F6" w:rsidR="00825E92" w:rsidRPr="00734230" w:rsidRDefault="005256E6" w:rsidP="00F728B1">
            <w:pPr>
              <w:jc w:val="center"/>
              <w:rPr>
                <w:rFonts w:ascii="Arial" w:hAnsi="Arial" w:cs="Arial"/>
                <w:b/>
                <w:bCs/>
              </w:rPr>
            </w:pPr>
            <w:r>
              <w:rPr>
                <w:rFonts w:ascii="Arial" w:hAnsi="Arial" w:cs="Arial"/>
                <w:b/>
                <w:bCs/>
              </w:rPr>
              <w:t>Relationships</w:t>
            </w:r>
          </w:p>
        </w:tc>
      </w:tr>
      <w:tr w:rsidR="00825E92" w:rsidRPr="00734230" w14:paraId="343C8066" w14:textId="77777777" w:rsidTr="00F728B1">
        <w:trPr>
          <w:trHeight w:val="425"/>
        </w:trPr>
        <w:tc>
          <w:tcPr>
            <w:tcW w:w="5242" w:type="dxa"/>
            <w:vAlign w:val="center"/>
          </w:tcPr>
          <w:p w14:paraId="1C2F7355" w14:textId="349542E3" w:rsidR="00825E92" w:rsidRPr="00734230" w:rsidRDefault="005256E6" w:rsidP="00F728B1">
            <w:pPr>
              <w:jc w:val="center"/>
              <w:rPr>
                <w:rFonts w:ascii="Arial" w:hAnsi="Arial" w:cs="Arial"/>
                <w:b/>
                <w:bCs/>
              </w:rPr>
            </w:pPr>
            <w:r>
              <w:rPr>
                <w:rFonts w:ascii="Arial" w:hAnsi="Arial" w:cs="Arial"/>
                <w:b/>
                <w:bCs/>
              </w:rPr>
              <w:t>Customer Focus</w:t>
            </w:r>
          </w:p>
        </w:tc>
        <w:tc>
          <w:tcPr>
            <w:tcW w:w="5243" w:type="dxa"/>
            <w:vAlign w:val="center"/>
          </w:tcPr>
          <w:p w14:paraId="636852C7" w14:textId="478DE51A" w:rsidR="00825E92" w:rsidRPr="00734230" w:rsidRDefault="005256E6" w:rsidP="00F728B1">
            <w:pPr>
              <w:jc w:val="center"/>
              <w:rPr>
                <w:rFonts w:ascii="Arial" w:hAnsi="Arial" w:cs="Arial"/>
                <w:b/>
                <w:bCs/>
              </w:rPr>
            </w:pPr>
            <w:r>
              <w:rPr>
                <w:rFonts w:ascii="Arial" w:hAnsi="Arial" w:cs="Arial"/>
                <w:b/>
                <w:bCs/>
              </w:rPr>
              <w:t>Commerciality</w:t>
            </w:r>
          </w:p>
        </w:tc>
      </w:tr>
    </w:tbl>
    <w:p w14:paraId="3482B505" w14:textId="1B4CDCB5" w:rsidR="00825E92" w:rsidRPr="00734230" w:rsidRDefault="00825E92" w:rsidP="00FC1548">
      <w:pPr>
        <w:spacing w:after="0"/>
        <w:rPr>
          <w:rFonts w:ascii="Arial" w:hAnsi="Arial" w:cs="Arial"/>
          <w:sz w:val="10"/>
          <w:szCs w:val="10"/>
        </w:rPr>
      </w:pPr>
    </w:p>
    <w:p w14:paraId="6FE28238"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EAC59D9" w14:textId="77777777" w:rsidTr="005C6160">
        <w:trPr>
          <w:trHeight w:val="272"/>
        </w:trPr>
        <w:tc>
          <w:tcPr>
            <w:tcW w:w="10485" w:type="dxa"/>
            <w:gridSpan w:val="4"/>
            <w:shd w:val="clear" w:color="auto" w:fill="50003A"/>
          </w:tcPr>
          <w:p w14:paraId="0B1FD147" w14:textId="26DC63D0"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62A4E01" w14:textId="77777777" w:rsidTr="005C6160">
        <w:trPr>
          <w:trHeight w:val="283"/>
        </w:trPr>
        <w:tc>
          <w:tcPr>
            <w:tcW w:w="2621" w:type="dxa"/>
            <w:tcBorders>
              <w:bottom w:val="nil"/>
            </w:tcBorders>
            <w:shd w:val="clear" w:color="auto" w:fill="auto"/>
          </w:tcPr>
          <w:p w14:paraId="1A12EB8D" w14:textId="489046D9"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62E3369E" w14:textId="66EFD764"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41B346A8" w14:textId="1FA753BD"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15AA6D28" w14:textId="6B6DB0CB"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743B2ECF" w14:textId="77777777" w:rsidTr="00433DD6">
        <w:trPr>
          <w:trHeight w:val="1361"/>
        </w:trPr>
        <w:tc>
          <w:tcPr>
            <w:tcW w:w="2621" w:type="dxa"/>
            <w:tcBorders>
              <w:top w:val="nil"/>
            </w:tcBorders>
            <w:shd w:val="clear" w:color="auto" w:fill="auto"/>
          </w:tcPr>
          <w:p w14:paraId="312F3890"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3EB1A03" w14:textId="68820081"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568C05CF"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0E6282A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0D741B35" w14:textId="77777777" w:rsidTr="005C6160">
        <w:trPr>
          <w:trHeight w:val="215"/>
        </w:trPr>
        <w:tc>
          <w:tcPr>
            <w:tcW w:w="2621" w:type="dxa"/>
            <w:shd w:val="clear" w:color="auto" w:fill="595959" w:themeFill="text1" w:themeFillTint="A6"/>
          </w:tcPr>
          <w:p w14:paraId="1D7FBBDB" w14:textId="00785236" w:rsidR="00F6766A" w:rsidRPr="00734230" w:rsidRDefault="00F6766A" w:rsidP="00295CB2">
            <w:pPr>
              <w:jc w:val="center"/>
              <w:rPr>
                <w:rFonts w:ascii="Arial" w:hAnsi="Arial" w:cs="Arial"/>
                <w:b/>
                <w:bCs/>
                <w:color w:val="FFFFFF" w:themeColor="background1"/>
                <w:sz w:val="20"/>
                <w:szCs w:val="20"/>
              </w:rPr>
            </w:pPr>
          </w:p>
        </w:tc>
        <w:tc>
          <w:tcPr>
            <w:tcW w:w="2621" w:type="dxa"/>
            <w:shd w:val="clear" w:color="auto" w:fill="595959" w:themeFill="text1" w:themeFillTint="A6"/>
          </w:tcPr>
          <w:p w14:paraId="48566F63" w14:textId="1738FE16" w:rsidR="00F6766A" w:rsidRPr="00734230" w:rsidRDefault="00F6766A" w:rsidP="00295CB2">
            <w:pPr>
              <w:jc w:val="center"/>
              <w:rPr>
                <w:rFonts w:ascii="Arial" w:hAnsi="Arial" w:cs="Arial"/>
                <w:b/>
                <w:bCs/>
                <w:color w:val="FFFFFF" w:themeColor="background1"/>
                <w:sz w:val="20"/>
                <w:szCs w:val="20"/>
              </w:rPr>
            </w:pPr>
          </w:p>
        </w:tc>
        <w:tc>
          <w:tcPr>
            <w:tcW w:w="2621" w:type="dxa"/>
            <w:shd w:val="clear" w:color="auto" w:fill="595959" w:themeFill="text1" w:themeFillTint="A6"/>
          </w:tcPr>
          <w:p w14:paraId="36FC16F6" w14:textId="38BBC9C9" w:rsidR="00F6766A" w:rsidRPr="00734230" w:rsidRDefault="00F6766A" w:rsidP="00295CB2">
            <w:pPr>
              <w:jc w:val="center"/>
              <w:rPr>
                <w:rFonts w:ascii="Arial" w:hAnsi="Arial" w:cs="Arial"/>
                <w:b/>
                <w:bCs/>
                <w:color w:val="FFFFFF" w:themeColor="background1"/>
                <w:sz w:val="20"/>
                <w:szCs w:val="20"/>
              </w:rPr>
            </w:pPr>
          </w:p>
        </w:tc>
        <w:tc>
          <w:tcPr>
            <w:tcW w:w="2622" w:type="dxa"/>
            <w:shd w:val="clear" w:color="auto" w:fill="595959" w:themeFill="text1" w:themeFillTint="A6"/>
          </w:tcPr>
          <w:p w14:paraId="0009A7B9" w14:textId="299AF528" w:rsidR="00F6766A" w:rsidRPr="00734230" w:rsidRDefault="00F6766A" w:rsidP="00295CB2">
            <w:pPr>
              <w:jc w:val="center"/>
              <w:rPr>
                <w:rFonts w:ascii="Arial" w:hAnsi="Arial" w:cs="Arial"/>
                <w:b/>
                <w:bCs/>
                <w:color w:val="FFFFFF" w:themeColor="background1"/>
                <w:sz w:val="20"/>
                <w:szCs w:val="20"/>
              </w:rPr>
            </w:pPr>
          </w:p>
        </w:tc>
      </w:tr>
      <w:tr w:rsidR="005F14E1" w:rsidRPr="00734230" w14:paraId="74BDBEE1" w14:textId="77777777" w:rsidTr="005C6160">
        <w:trPr>
          <w:trHeight w:val="283"/>
        </w:trPr>
        <w:tc>
          <w:tcPr>
            <w:tcW w:w="2621" w:type="dxa"/>
            <w:tcBorders>
              <w:bottom w:val="nil"/>
            </w:tcBorders>
            <w:shd w:val="clear" w:color="auto" w:fill="auto"/>
          </w:tcPr>
          <w:p w14:paraId="413F6895" w14:textId="09295E08"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389BEC27" w14:textId="52ED4A15"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50BF6DB5" w14:textId="077E97BA"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AE094EA" w14:textId="2A9630C4"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33210E48" w14:textId="77777777" w:rsidTr="005C6160">
        <w:trPr>
          <w:trHeight w:val="1814"/>
        </w:trPr>
        <w:tc>
          <w:tcPr>
            <w:tcW w:w="2621" w:type="dxa"/>
            <w:tcBorders>
              <w:top w:val="nil"/>
            </w:tcBorders>
            <w:shd w:val="clear" w:color="auto" w:fill="auto"/>
          </w:tcPr>
          <w:p w14:paraId="70F5D6C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402AC285" w14:textId="74FC05A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01500E8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0B5ABD69" w14:textId="44D633E2"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150C32DC" w14:textId="77777777" w:rsidTr="005C6160">
        <w:trPr>
          <w:trHeight w:val="215"/>
        </w:trPr>
        <w:tc>
          <w:tcPr>
            <w:tcW w:w="2621" w:type="dxa"/>
            <w:shd w:val="clear" w:color="auto" w:fill="595959" w:themeFill="text1" w:themeFillTint="A6"/>
          </w:tcPr>
          <w:p w14:paraId="162DAF49" w14:textId="7A008E81"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71AA2FCD" w14:textId="6161A4EA"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28F8B2BA" w14:textId="66D70181" w:rsidR="005F14E1" w:rsidRPr="00734230" w:rsidRDefault="005F14E1" w:rsidP="005F14E1">
            <w:pPr>
              <w:jc w:val="center"/>
              <w:rPr>
                <w:rFonts w:ascii="Arial" w:hAnsi="Arial" w:cs="Arial"/>
                <w:b/>
                <w:bCs/>
                <w:color w:val="FFFFFF" w:themeColor="background1"/>
                <w:sz w:val="20"/>
                <w:szCs w:val="20"/>
              </w:rPr>
            </w:pPr>
          </w:p>
        </w:tc>
        <w:tc>
          <w:tcPr>
            <w:tcW w:w="2622" w:type="dxa"/>
            <w:shd w:val="clear" w:color="auto" w:fill="595959" w:themeFill="text1" w:themeFillTint="A6"/>
          </w:tcPr>
          <w:p w14:paraId="67ED48BC" w14:textId="22F68848" w:rsidR="005F14E1" w:rsidRPr="00734230" w:rsidRDefault="005F14E1" w:rsidP="005F14E1">
            <w:pPr>
              <w:jc w:val="center"/>
              <w:rPr>
                <w:rFonts w:ascii="Arial" w:hAnsi="Arial" w:cs="Arial"/>
                <w:b/>
                <w:bCs/>
                <w:color w:val="FFFFFF" w:themeColor="background1"/>
                <w:sz w:val="20"/>
                <w:szCs w:val="20"/>
              </w:rPr>
            </w:pPr>
          </w:p>
        </w:tc>
      </w:tr>
      <w:tr w:rsidR="005F14E1" w:rsidRPr="00734230" w14:paraId="474C434A" w14:textId="77777777" w:rsidTr="005C6160">
        <w:trPr>
          <w:trHeight w:val="283"/>
        </w:trPr>
        <w:tc>
          <w:tcPr>
            <w:tcW w:w="2621" w:type="dxa"/>
            <w:tcBorders>
              <w:bottom w:val="nil"/>
            </w:tcBorders>
            <w:shd w:val="clear" w:color="auto" w:fill="auto"/>
          </w:tcPr>
          <w:p w14:paraId="01CBE4D5" w14:textId="5D7DCFEA"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06167AA7" w14:textId="0300EAE9"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276BFFC9" w14:textId="0673AEC0"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5408571" w14:textId="100947B3"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679A45FE" w14:textId="77777777" w:rsidTr="005C6160">
        <w:trPr>
          <w:trHeight w:val="1814"/>
        </w:trPr>
        <w:tc>
          <w:tcPr>
            <w:tcW w:w="2621" w:type="dxa"/>
            <w:tcBorders>
              <w:top w:val="nil"/>
            </w:tcBorders>
            <w:shd w:val="clear" w:color="auto" w:fill="auto"/>
          </w:tcPr>
          <w:p w14:paraId="18E5AC7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54B0E84" w14:textId="2FBBDFAD"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45CA437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25EF4798" w14:textId="05338422"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44F23E6B" w14:textId="77777777" w:rsidTr="005C6160">
        <w:trPr>
          <w:trHeight w:val="215"/>
        </w:trPr>
        <w:tc>
          <w:tcPr>
            <w:tcW w:w="2621" w:type="dxa"/>
            <w:shd w:val="clear" w:color="auto" w:fill="595959" w:themeFill="text1" w:themeFillTint="A6"/>
          </w:tcPr>
          <w:p w14:paraId="247C0ED2" w14:textId="64FB81DF"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46515732" w14:textId="05749818"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398AE8E3" w14:textId="6641CD79" w:rsidR="005F14E1" w:rsidRPr="00734230" w:rsidRDefault="005F14E1" w:rsidP="005F14E1">
            <w:pPr>
              <w:jc w:val="center"/>
              <w:rPr>
                <w:rFonts w:ascii="Arial" w:hAnsi="Arial" w:cs="Arial"/>
                <w:b/>
                <w:bCs/>
                <w:color w:val="FFFFFF" w:themeColor="background1"/>
                <w:sz w:val="20"/>
                <w:szCs w:val="20"/>
              </w:rPr>
            </w:pPr>
          </w:p>
        </w:tc>
        <w:tc>
          <w:tcPr>
            <w:tcW w:w="2622" w:type="dxa"/>
            <w:shd w:val="clear" w:color="auto" w:fill="595959" w:themeFill="text1" w:themeFillTint="A6"/>
          </w:tcPr>
          <w:p w14:paraId="2115307F" w14:textId="0267E17B" w:rsidR="005F14E1" w:rsidRPr="00734230" w:rsidRDefault="005F14E1" w:rsidP="005F14E1">
            <w:pPr>
              <w:jc w:val="center"/>
              <w:rPr>
                <w:rFonts w:ascii="Arial" w:hAnsi="Arial" w:cs="Arial"/>
                <w:b/>
                <w:bCs/>
                <w:color w:val="FFFFFF" w:themeColor="background1"/>
                <w:sz w:val="20"/>
                <w:szCs w:val="20"/>
              </w:rPr>
            </w:pPr>
          </w:p>
        </w:tc>
      </w:tr>
      <w:bookmarkEnd w:id="2"/>
    </w:tbl>
    <w:p w14:paraId="696D11A4" w14:textId="63ACE5CC" w:rsidR="00F6766A" w:rsidRPr="00734230" w:rsidRDefault="00F6766A" w:rsidP="00FC1548">
      <w:pPr>
        <w:spacing w:after="0"/>
        <w:rPr>
          <w:rFonts w:ascii="Arial" w:hAnsi="Arial" w:cs="Arial"/>
          <w:sz w:val="10"/>
          <w:szCs w:val="10"/>
        </w:rPr>
      </w:pPr>
    </w:p>
    <w:sectPr w:rsidR="00F6766A" w:rsidRPr="00734230"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A065" w14:textId="77777777" w:rsidR="001278FA" w:rsidRDefault="001278FA" w:rsidP="00E5307F">
      <w:pPr>
        <w:spacing w:after="0" w:line="240" w:lineRule="auto"/>
      </w:pPr>
      <w:r>
        <w:separator/>
      </w:r>
    </w:p>
  </w:endnote>
  <w:endnote w:type="continuationSeparator" w:id="0">
    <w:p w14:paraId="23CCFE94" w14:textId="77777777" w:rsidR="001278FA" w:rsidRDefault="001278FA"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59C8" w14:textId="75BFB35C"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B22F87">
      <w:rPr>
        <w:rFonts w:ascii="Arial" w:hAnsi="Arial" w:cs="Arial"/>
        <w:noProof/>
        <w:sz w:val="18"/>
        <w:szCs w:val="18"/>
      </w:rPr>
      <w:t>9-May-23</w:t>
    </w:r>
    <w:r>
      <w:rPr>
        <w:rFonts w:ascii="Arial" w:hAnsi="Arial" w:cs="Arial"/>
        <w:sz w:val="18"/>
        <w:szCs w:val="18"/>
      </w:rPr>
      <w:fldChar w:fldCharType="end"/>
    </w:r>
  </w:p>
  <w:p w14:paraId="28E81577" w14:textId="4A05ABCF"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089C" w14:textId="77777777" w:rsidR="001278FA" w:rsidRDefault="001278FA" w:rsidP="00E5307F">
      <w:pPr>
        <w:spacing w:after="0" w:line="240" w:lineRule="auto"/>
      </w:pPr>
      <w:r>
        <w:separator/>
      </w:r>
    </w:p>
  </w:footnote>
  <w:footnote w:type="continuationSeparator" w:id="0">
    <w:p w14:paraId="227B2AAE" w14:textId="77777777" w:rsidR="001278FA" w:rsidRDefault="001278FA"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4B13" w14:textId="07115715"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C81BCFB" wp14:editId="3F468616">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9A85910" wp14:editId="1A4B8F1B">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49"/>
    <w:multiLevelType w:val="hybridMultilevel"/>
    <w:tmpl w:val="2F76399E"/>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C3680"/>
    <w:multiLevelType w:val="hybridMultilevel"/>
    <w:tmpl w:val="F942DB1C"/>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D34A7"/>
    <w:multiLevelType w:val="hybridMultilevel"/>
    <w:tmpl w:val="D3BC9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C77D5B"/>
    <w:multiLevelType w:val="hybridMultilevel"/>
    <w:tmpl w:val="A852E156"/>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002555"/>
    <w:multiLevelType w:val="hybridMultilevel"/>
    <w:tmpl w:val="B1BE5760"/>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8"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6427F"/>
    <w:multiLevelType w:val="hybridMultilevel"/>
    <w:tmpl w:val="7B1A0EEC"/>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D52B88"/>
    <w:multiLevelType w:val="hybridMultilevel"/>
    <w:tmpl w:val="85884DDC"/>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E5707"/>
    <w:multiLevelType w:val="hybridMultilevel"/>
    <w:tmpl w:val="DEDAFE52"/>
    <w:lvl w:ilvl="0" w:tplc="EB6A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F66016"/>
    <w:multiLevelType w:val="hybridMultilevel"/>
    <w:tmpl w:val="3D58A648"/>
    <w:lvl w:ilvl="0" w:tplc="8640ED9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267F31"/>
    <w:multiLevelType w:val="hybridMultilevel"/>
    <w:tmpl w:val="8D00DE04"/>
    <w:lvl w:ilvl="0" w:tplc="EB6ACFF8">
      <w:start w:val="1"/>
      <w:numFmt w:val="bullet"/>
      <w:lvlText w:val=""/>
      <w:lvlJc w:val="left"/>
      <w:pPr>
        <w:ind w:left="720" w:hanging="360"/>
      </w:pPr>
      <w:rPr>
        <w:rFonts w:ascii="Symbol" w:hAnsi="Symbol" w:hint="default"/>
      </w:rPr>
    </w:lvl>
    <w:lvl w:ilvl="1" w:tplc="2AE4F50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0737988">
    <w:abstractNumId w:val="3"/>
  </w:num>
  <w:num w:numId="2" w16cid:durableId="1550650837">
    <w:abstractNumId w:val="7"/>
  </w:num>
  <w:num w:numId="3" w16cid:durableId="1453089090">
    <w:abstractNumId w:val="9"/>
  </w:num>
  <w:num w:numId="4" w16cid:durableId="1032850919">
    <w:abstractNumId w:val="4"/>
  </w:num>
  <w:num w:numId="5" w16cid:durableId="1007945330">
    <w:abstractNumId w:val="8"/>
  </w:num>
  <w:num w:numId="6" w16cid:durableId="1054742695">
    <w:abstractNumId w:val="14"/>
  </w:num>
  <w:num w:numId="7" w16cid:durableId="65077387">
    <w:abstractNumId w:val="0"/>
  </w:num>
  <w:num w:numId="8" w16cid:durableId="1134447228">
    <w:abstractNumId w:val="6"/>
  </w:num>
  <w:num w:numId="9" w16cid:durableId="224727263">
    <w:abstractNumId w:val="12"/>
  </w:num>
  <w:num w:numId="10" w16cid:durableId="2027166937">
    <w:abstractNumId w:val="11"/>
  </w:num>
  <w:num w:numId="11" w16cid:durableId="1272320806">
    <w:abstractNumId w:val="5"/>
  </w:num>
  <w:num w:numId="12" w16cid:durableId="1096749049">
    <w:abstractNumId w:val="13"/>
  </w:num>
  <w:num w:numId="13" w16cid:durableId="1715959943">
    <w:abstractNumId w:val="1"/>
  </w:num>
  <w:num w:numId="14" w16cid:durableId="1661665">
    <w:abstractNumId w:val="2"/>
  </w:num>
  <w:num w:numId="15" w16cid:durableId="7875118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7F"/>
    <w:rsid w:val="00004D57"/>
    <w:rsid w:val="000415B9"/>
    <w:rsid w:val="00045F7F"/>
    <w:rsid w:val="00051E1B"/>
    <w:rsid w:val="000570D5"/>
    <w:rsid w:val="0006596E"/>
    <w:rsid w:val="000719BA"/>
    <w:rsid w:val="000840FF"/>
    <w:rsid w:val="00084843"/>
    <w:rsid w:val="000854FE"/>
    <w:rsid w:val="000A2B3D"/>
    <w:rsid w:val="000D0F53"/>
    <w:rsid w:val="000D5796"/>
    <w:rsid w:val="000F6A5A"/>
    <w:rsid w:val="0010623F"/>
    <w:rsid w:val="001278FA"/>
    <w:rsid w:val="00167530"/>
    <w:rsid w:val="0019040A"/>
    <w:rsid w:val="00196B80"/>
    <w:rsid w:val="001E2072"/>
    <w:rsid w:val="001E3198"/>
    <w:rsid w:val="001E7650"/>
    <w:rsid w:val="00265AA0"/>
    <w:rsid w:val="00292A0A"/>
    <w:rsid w:val="00296665"/>
    <w:rsid w:val="002C385D"/>
    <w:rsid w:val="002D2FCD"/>
    <w:rsid w:val="002E3284"/>
    <w:rsid w:val="002E432E"/>
    <w:rsid w:val="002F7D40"/>
    <w:rsid w:val="003038F5"/>
    <w:rsid w:val="0030682C"/>
    <w:rsid w:val="00330B2E"/>
    <w:rsid w:val="00352FAD"/>
    <w:rsid w:val="00357E60"/>
    <w:rsid w:val="003606E4"/>
    <w:rsid w:val="003655FC"/>
    <w:rsid w:val="00371F27"/>
    <w:rsid w:val="00372F2C"/>
    <w:rsid w:val="0038784A"/>
    <w:rsid w:val="00392EDC"/>
    <w:rsid w:val="00393621"/>
    <w:rsid w:val="003A307E"/>
    <w:rsid w:val="003F4817"/>
    <w:rsid w:val="003F6D7A"/>
    <w:rsid w:val="00415A87"/>
    <w:rsid w:val="00433DD6"/>
    <w:rsid w:val="004418FD"/>
    <w:rsid w:val="00447F22"/>
    <w:rsid w:val="00474DBF"/>
    <w:rsid w:val="00483295"/>
    <w:rsid w:val="004833F4"/>
    <w:rsid w:val="00487E76"/>
    <w:rsid w:val="004D2429"/>
    <w:rsid w:val="004F1A38"/>
    <w:rsid w:val="004F315F"/>
    <w:rsid w:val="004F4ABF"/>
    <w:rsid w:val="005047A8"/>
    <w:rsid w:val="005256E6"/>
    <w:rsid w:val="005343FD"/>
    <w:rsid w:val="005439F9"/>
    <w:rsid w:val="005608F5"/>
    <w:rsid w:val="005616C8"/>
    <w:rsid w:val="00570758"/>
    <w:rsid w:val="00573C5A"/>
    <w:rsid w:val="00590CA4"/>
    <w:rsid w:val="005B3B8F"/>
    <w:rsid w:val="005C6160"/>
    <w:rsid w:val="005F14E1"/>
    <w:rsid w:val="005F3D46"/>
    <w:rsid w:val="0063273F"/>
    <w:rsid w:val="00643232"/>
    <w:rsid w:val="00654709"/>
    <w:rsid w:val="00655B92"/>
    <w:rsid w:val="006641DC"/>
    <w:rsid w:val="00691606"/>
    <w:rsid w:val="006B1E9D"/>
    <w:rsid w:val="006B4CCC"/>
    <w:rsid w:val="006F7CBF"/>
    <w:rsid w:val="00702AAC"/>
    <w:rsid w:val="007061A1"/>
    <w:rsid w:val="00706F36"/>
    <w:rsid w:val="00706FC9"/>
    <w:rsid w:val="00734230"/>
    <w:rsid w:val="00756E94"/>
    <w:rsid w:val="00771821"/>
    <w:rsid w:val="007868F4"/>
    <w:rsid w:val="00793211"/>
    <w:rsid w:val="007A1B52"/>
    <w:rsid w:val="007A7B60"/>
    <w:rsid w:val="007C1DD5"/>
    <w:rsid w:val="007C4634"/>
    <w:rsid w:val="00801FE3"/>
    <w:rsid w:val="008174E8"/>
    <w:rsid w:val="00824664"/>
    <w:rsid w:val="00824FA1"/>
    <w:rsid w:val="00825E92"/>
    <w:rsid w:val="008468BC"/>
    <w:rsid w:val="00852BF6"/>
    <w:rsid w:val="008532AC"/>
    <w:rsid w:val="00854736"/>
    <w:rsid w:val="00854905"/>
    <w:rsid w:val="00873E89"/>
    <w:rsid w:val="008819F5"/>
    <w:rsid w:val="0089720F"/>
    <w:rsid w:val="008A31CA"/>
    <w:rsid w:val="008B353B"/>
    <w:rsid w:val="008B6203"/>
    <w:rsid w:val="00903DCA"/>
    <w:rsid w:val="00910AAE"/>
    <w:rsid w:val="0096421D"/>
    <w:rsid w:val="00971552"/>
    <w:rsid w:val="009725C9"/>
    <w:rsid w:val="009743EF"/>
    <w:rsid w:val="0097468A"/>
    <w:rsid w:val="00982D33"/>
    <w:rsid w:val="00990AEA"/>
    <w:rsid w:val="00992496"/>
    <w:rsid w:val="0099292E"/>
    <w:rsid w:val="00992E1C"/>
    <w:rsid w:val="009B16C4"/>
    <w:rsid w:val="009E62CD"/>
    <w:rsid w:val="009F2D04"/>
    <w:rsid w:val="00A05A2D"/>
    <w:rsid w:val="00A32B31"/>
    <w:rsid w:val="00A37A67"/>
    <w:rsid w:val="00A51E68"/>
    <w:rsid w:val="00A52505"/>
    <w:rsid w:val="00A640D5"/>
    <w:rsid w:val="00A72F5E"/>
    <w:rsid w:val="00A76C18"/>
    <w:rsid w:val="00A812DE"/>
    <w:rsid w:val="00AA7DCA"/>
    <w:rsid w:val="00AB3139"/>
    <w:rsid w:val="00AB7B14"/>
    <w:rsid w:val="00AD4836"/>
    <w:rsid w:val="00B14C4E"/>
    <w:rsid w:val="00B21AA3"/>
    <w:rsid w:val="00B22F87"/>
    <w:rsid w:val="00B32C11"/>
    <w:rsid w:val="00B426EF"/>
    <w:rsid w:val="00B45AD9"/>
    <w:rsid w:val="00B4725D"/>
    <w:rsid w:val="00B65F0A"/>
    <w:rsid w:val="00B9173F"/>
    <w:rsid w:val="00BA33DC"/>
    <w:rsid w:val="00BA3FD5"/>
    <w:rsid w:val="00BA411D"/>
    <w:rsid w:val="00BA7D75"/>
    <w:rsid w:val="00BB35A5"/>
    <w:rsid w:val="00BB53B1"/>
    <w:rsid w:val="00BD53DA"/>
    <w:rsid w:val="00BF355A"/>
    <w:rsid w:val="00C150EE"/>
    <w:rsid w:val="00C25267"/>
    <w:rsid w:val="00C60FA3"/>
    <w:rsid w:val="00C725E0"/>
    <w:rsid w:val="00C91386"/>
    <w:rsid w:val="00CA49B2"/>
    <w:rsid w:val="00CB06B5"/>
    <w:rsid w:val="00CB0725"/>
    <w:rsid w:val="00CB17DE"/>
    <w:rsid w:val="00CB7427"/>
    <w:rsid w:val="00CC02CB"/>
    <w:rsid w:val="00CF0EBA"/>
    <w:rsid w:val="00CF5F20"/>
    <w:rsid w:val="00CF7D6D"/>
    <w:rsid w:val="00CF7F5E"/>
    <w:rsid w:val="00D158DD"/>
    <w:rsid w:val="00D309E1"/>
    <w:rsid w:val="00D87DC7"/>
    <w:rsid w:val="00DD6D85"/>
    <w:rsid w:val="00DE5C28"/>
    <w:rsid w:val="00E01768"/>
    <w:rsid w:val="00E0306F"/>
    <w:rsid w:val="00E04EB4"/>
    <w:rsid w:val="00E42ADC"/>
    <w:rsid w:val="00E5307F"/>
    <w:rsid w:val="00E60785"/>
    <w:rsid w:val="00E813E6"/>
    <w:rsid w:val="00E85291"/>
    <w:rsid w:val="00EB3B7A"/>
    <w:rsid w:val="00ED0F5D"/>
    <w:rsid w:val="00EE04F0"/>
    <w:rsid w:val="00EE48A1"/>
    <w:rsid w:val="00F02BAC"/>
    <w:rsid w:val="00F07158"/>
    <w:rsid w:val="00F20D44"/>
    <w:rsid w:val="00F42B4D"/>
    <w:rsid w:val="00F44CC2"/>
    <w:rsid w:val="00F567ED"/>
    <w:rsid w:val="00F6766A"/>
    <w:rsid w:val="00F73A30"/>
    <w:rsid w:val="00F84334"/>
    <w:rsid w:val="00FA5F33"/>
    <w:rsid w:val="00FB2A6F"/>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952A"/>
  <w15:chartTrackingRefBased/>
  <w15:docId w15:val="{328BE9ED-C836-4A25-882E-BC09C074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f1ed18b-5425-4fab-8743-63c0687b975c"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c1b9e231-f10e-4165-8ce1-906aae405f38">
      <UserInfo>
        <DisplayName>Ceinwen Ahern</DisplayName>
        <AccountId>26</AccountId>
        <AccountType/>
      </UserInfo>
      <UserInfo>
        <DisplayName>Helen Karamoutsos</DisplayName>
        <AccountId>550</AccountId>
        <AccountType/>
      </UserInfo>
    </SharedWithUsers>
    <Notes xmlns="ea87355e-51e8-4f31-8947-2274de37ff57" xsi:nil="true"/>
    <Purpose xmlns="ea87355e-51e8-4f31-8947-2274de37f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F2D55A240DE04BA32A8FBA04141A36" ma:contentTypeVersion="16" ma:contentTypeDescription="Create a new document." ma:contentTypeScope="" ma:versionID="e1df412e6ef4bfccdf9d3c1b4f377f37">
  <xsd:schema xmlns:xsd="http://www.w3.org/2001/XMLSchema" xmlns:xs="http://www.w3.org/2001/XMLSchema" xmlns:p="http://schemas.microsoft.com/office/2006/metadata/properties" xmlns:ns2="ea87355e-51e8-4f31-8947-2274de37ff57" xmlns:ns3="c1b9e231-f10e-4165-8ce1-906aae405f38" targetNamespace="http://schemas.microsoft.com/office/2006/metadata/properties" ma:root="true" ma:fieldsID="453c255e4f6ee8c4fb50fc98a28efaa2" ns2:_="" ns3:_="">
    <xsd:import namespace="ea87355e-51e8-4f31-8947-2274de37ff57"/>
    <xsd:import namespace="c1b9e231-f10e-4165-8ce1-906aae405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urpos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355e-51e8-4f31-8947-2274de37f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rpose" ma:index="14" nillable="true" ma:displayName="Purpose" ma:internalName="Purpos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9e231-f10e-4165-8ce1-906aae405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2.xml><?xml version="1.0" encoding="utf-8"?>
<ds:datastoreItem xmlns:ds="http://schemas.openxmlformats.org/officeDocument/2006/customXml" ds:itemID="{650FC08E-440D-47F7-BB95-79E9D97EAD8C}">
  <ds:schemaRefs>
    <ds:schemaRef ds:uri="Microsoft.SharePoint.Taxonomy.ContentTypeSync"/>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 ds:uri="c1b9e231-f10e-4165-8ce1-906aae405f38"/>
    <ds:schemaRef ds:uri="ea87355e-51e8-4f31-8947-2274de37ff57"/>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5.xml><?xml version="1.0" encoding="utf-8"?>
<ds:datastoreItem xmlns:ds="http://schemas.openxmlformats.org/officeDocument/2006/customXml" ds:itemID="{6DFFC172-998B-4545-B60C-95FD46C0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7355e-51e8-4f31-8947-2274de37ff57"/>
    <ds:schemaRef ds:uri="c1b9e231-f10e-4165-8ce1-906aae40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Spaulding</dc:creator>
  <cp:keywords/>
  <dc:description/>
  <cp:lastModifiedBy>Myhendri Govender</cp:lastModifiedBy>
  <cp:revision>2</cp:revision>
  <cp:lastPrinted>2020-01-29T00:43:00Z</cp:lastPrinted>
  <dcterms:created xsi:type="dcterms:W3CDTF">2023-05-09T02:24:00Z</dcterms:created>
  <dcterms:modified xsi:type="dcterms:W3CDTF">2023-05-09T02:24:00Z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0x01010027F2D55A240DE04BA32A8FBA04141A36</vt:lpwstr>
  </property>
</Properties>
</file>