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79F8A571" w14:textId="77777777" w:rsidTr="000B4D7A">
        <w:trPr>
          <w:cantSplit/>
          <w:trHeight w:val="1540"/>
        </w:trPr>
        <w:tc>
          <w:tcPr>
            <w:tcW w:w="3900" w:type="pct"/>
          </w:tcPr>
          <w:p w14:paraId="59D7097A" w14:textId="77777777" w:rsidR="002C0991" w:rsidRPr="009A65C7" w:rsidRDefault="000B4D7A" w:rsidP="009A65C7">
            <w:pPr>
              <w:pStyle w:val="DepartmentTitle"/>
              <w:ind w:left="-389"/>
              <w:jc w:val="center"/>
              <w:rPr>
                <w:sz w:val="32"/>
                <w:szCs w:val="28"/>
              </w:rPr>
            </w:pPr>
            <w:bookmarkStart w:id="0" w:name="bmTop"/>
            <w:bookmarkStart w:id="1" w:name="_GoBack"/>
            <w:bookmarkEnd w:id="0"/>
            <w:bookmarkEnd w:id="1"/>
            <w:r w:rsidRPr="009A65C7">
              <w:rPr>
                <w:sz w:val="32"/>
                <w:szCs w:val="28"/>
              </w:rPr>
              <w:t xml:space="preserve">                      </w:t>
            </w:r>
            <w:r w:rsidR="00027DEB" w:rsidRPr="009A65C7">
              <w:rPr>
                <w:sz w:val="32"/>
                <w:szCs w:val="28"/>
              </w:rPr>
              <w:t>Department of Health and</w:t>
            </w:r>
          </w:p>
          <w:p w14:paraId="29937672" w14:textId="77777777" w:rsidR="002C0991" w:rsidRPr="009A65C7" w:rsidRDefault="000B4D7A" w:rsidP="009A65C7">
            <w:pPr>
              <w:pStyle w:val="Sub-branch"/>
              <w:spacing w:before="40" w:after="120"/>
              <w:ind w:left="-389"/>
              <w:jc w:val="center"/>
              <w:rPr>
                <w:caps w:val="0"/>
                <w:w w:val="100"/>
                <w:sz w:val="32"/>
                <w:szCs w:val="28"/>
              </w:rPr>
            </w:pPr>
            <w:r w:rsidRPr="009A65C7">
              <w:rPr>
                <w:caps w:val="0"/>
                <w:w w:val="100"/>
                <w:sz w:val="32"/>
                <w:szCs w:val="28"/>
              </w:rPr>
              <w:t xml:space="preserve">                      </w:t>
            </w:r>
            <w:r w:rsidR="00DC2582" w:rsidRPr="009A65C7">
              <w:rPr>
                <w:caps w:val="0"/>
                <w:w w:val="100"/>
                <w:sz w:val="32"/>
                <w:szCs w:val="28"/>
              </w:rPr>
              <w:t>Ta</w:t>
            </w:r>
            <w:r w:rsidR="00A80F69" w:rsidRPr="009A65C7">
              <w:rPr>
                <w:caps w:val="0"/>
                <w:w w:val="100"/>
                <w:sz w:val="32"/>
                <w:szCs w:val="28"/>
              </w:rPr>
              <w:t>smanian Health Service</w:t>
            </w:r>
          </w:p>
          <w:p w14:paraId="1933C730" w14:textId="77777777" w:rsidR="00DD6876" w:rsidRPr="00DD6876" w:rsidRDefault="00DD6876" w:rsidP="00DD6876">
            <w:pPr>
              <w:pStyle w:val="Sub-branch"/>
              <w:spacing w:before="40" w:after="120"/>
              <w:jc w:val="center"/>
              <w:rPr>
                <w:caps w:val="0"/>
                <w:w w:val="100"/>
                <w:sz w:val="8"/>
                <w:szCs w:val="24"/>
              </w:rPr>
            </w:pPr>
          </w:p>
          <w:p w14:paraId="726D32C2"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624130C3" w14:textId="77777777" w:rsidR="004966A3" w:rsidRDefault="0021438D">
            <w:pPr>
              <w:pStyle w:val="Logo"/>
            </w:pPr>
            <w:r>
              <w:rPr>
                <w:noProof/>
                <w:lang w:eastAsia="en-AU"/>
              </w:rPr>
              <w:drawing>
                <wp:inline distT="0" distB="0" distL="0" distR="0" wp14:anchorId="1695E81A" wp14:editId="0FF5EF0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7DF8AE8" w14:textId="77777777" w:rsidTr="005713D6">
        <w:tblPrEx>
          <w:tblLook w:val="01E0" w:firstRow="1" w:lastRow="1" w:firstColumn="1" w:lastColumn="1" w:noHBand="0" w:noVBand="0"/>
        </w:tblPrEx>
        <w:tc>
          <w:tcPr>
            <w:tcW w:w="5000" w:type="pct"/>
            <w:gridSpan w:val="2"/>
          </w:tcPr>
          <w:p w14:paraId="52EFE2E0"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5E0D6D3"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533"/>
        <w:gridCol w:w="2450"/>
      </w:tblGrid>
      <w:tr w:rsidR="005713D6" w14:paraId="5DDC89D0" w14:textId="77777777" w:rsidTr="009A65C7">
        <w:tc>
          <w:tcPr>
            <w:tcW w:w="2342" w:type="pct"/>
            <w:tcBorders>
              <w:top w:val="single" w:sz="4" w:space="0" w:color="auto"/>
              <w:left w:val="single" w:sz="4" w:space="0" w:color="auto"/>
              <w:bottom w:val="single" w:sz="4" w:space="0" w:color="auto"/>
              <w:right w:val="single" w:sz="4" w:space="0" w:color="auto"/>
            </w:tcBorders>
          </w:tcPr>
          <w:p w14:paraId="0D9E2FC0" w14:textId="6355180D"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E3730">
              <w:rPr>
                <w:rStyle w:val="InformationBlockChar"/>
                <w:b w:val="0"/>
                <w:bCs/>
              </w:rPr>
              <w:t>Forensic/</w:t>
            </w:r>
            <w:r w:rsidR="0078765C" w:rsidRPr="002303B8">
              <w:t>Clinical Psychologist</w:t>
            </w:r>
            <w:r w:rsidR="0078765C">
              <w:rPr>
                <w:rFonts w:cs="Arial"/>
                <w:iCs/>
                <w:kern w:val="36"/>
                <w:lang w:eastAsia="en-AU"/>
              </w:rPr>
              <w:t xml:space="preserve"> </w:t>
            </w:r>
          </w:p>
        </w:tc>
        <w:tc>
          <w:tcPr>
            <w:tcW w:w="1351" w:type="pct"/>
            <w:tcBorders>
              <w:top w:val="single" w:sz="4" w:space="0" w:color="auto"/>
              <w:left w:val="single" w:sz="4" w:space="0" w:color="auto"/>
              <w:bottom w:val="single" w:sz="4" w:space="0" w:color="auto"/>
              <w:right w:val="single" w:sz="4" w:space="0" w:color="auto"/>
            </w:tcBorders>
          </w:tcPr>
          <w:p w14:paraId="089A9D17" w14:textId="2B216EB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A65C7">
              <w:rPr>
                <w:rFonts w:cs="Arial"/>
                <w:iCs/>
                <w:kern w:val="36"/>
                <w:lang w:eastAsia="en-AU"/>
              </w:rPr>
              <w:t>513521</w:t>
            </w:r>
          </w:p>
        </w:tc>
        <w:tc>
          <w:tcPr>
            <w:tcW w:w="1307" w:type="pct"/>
            <w:tcBorders>
              <w:top w:val="single" w:sz="4" w:space="0" w:color="auto"/>
              <w:left w:val="single" w:sz="4" w:space="0" w:color="auto"/>
              <w:bottom w:val="single" w:sz="4" w:space="0" w:color="auto"/>
              <w:right w:val="single" w:sz="4" w:space="0" w:color="auto"/>
            </w:tcBorders>
          </w:tcPr>
          <w:p w14:paraId="2E8921A5" w14:textId="4A2A953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A65C7">
              <w:rPr>
                <w:rStyle w:val="InformationBlockChar"/>
              </w:rPr>
              <w:t xml:space="preserve">   </w:t>
            </w:r>
            <w:r w:rsidR="009A65C7" w:rsidRPr="009A65C7">
              <w:rPr>
                <w:rFonts w:cs="Arial"/>
                <w:kern w:val="36"/>
                <w:lang w:eastAsia="en-AU"/>
              </w:rPr>
              <w:t>March 2020</w:t>
            </w:r>
          </w:p>
        </w:tc>
      </w:tr>
      <w:tr w:rsidR="005713D6" w14:paraId="3C896A13"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709FC65A" w14:textId="6C0A35CC"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2" w:name="bmTHSUnit"/>
            <w:bookmarkEnd w:id="2"/>
            <w:r w:rsidR="009A65C7">
              <w:t>Community, Mental Health and Wellbeing</w:t>
            </w:r>
            <w:r w:rsidR="00AD2A2A" w:rsidRPr="00CB37C6">
              <w:t xml:space="preserve"> </w:t>
            </w:r>
          </w:p>
        </w:tc>
      </w:tr>
      <w:tr w:rsidR="005713D6" w14:paraId="1FAA9004" w14:textId="77777777" w:rsidTr="009A65C7">
        <w:tc>
          <w:tcPr>
            <w:tcW w:w="2342" w:type="pct"/>
            <w:tcBorders>
              <w:top w:val="single" w:sz="4" w:space="0" w:color="auto"/>
              <w:left w:val="single" w:sz="4" w:space="0" w:color="auto"/>
              <w:bottom w:val="single" w:sz="4" w:space="0" w:color="auto"/>
              <w:right w:val="single" w:sz="4" w:space="0" w:color="auto"/>
            </w:tcBorders>
          </w:tcPr>
          <w:p w14:paraId="7EB72CA5" w14:textId="719D754C"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A65C7">
              <w:t xml:space="preserve">Statewide Mental Health Services </w:t>
            </w:r>
          </w:p>
        </w:tc>
        <w:tc>
          <w:tcPr>
            <w:tcW w:w="2658" w:type="pct"/>
            <w:gridSpan w:val="2"/>
            <w:tcBorders>
              <w:top w:val="single" w:sz="4" w:space="0" w:color="auto"/>
              <w:left w:val="single" w:sz="4" w:space="0" w:color="auto"/>
              <w:bottom w:val="single" w:sz="4" w:space="0" w:color="auto"/>
              <w:right w:val="single" w:sz="4" w:space="0" w:color="auto"/>
            </w:tcBorders>
          </w:tcPr>
          <w:p w14:paraId="5438BCA9" w14:textId="314FE4C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8765C" w:rsidRPr="0078765C">
              <w:rPr>
                <w:rFonts w:cs="Arial"/>
                <w:bCs/>
                <w:iCs/>
                <w:kern w:val="36"/>
                <w:lang w:eastAsia="en-AU"/>
              </w:rPr>
              <w:t>North</w:t>
            </w:r>
          </w:p>
        </w:tc>
      </w:tr>
      <w:tr w:rsidR="005713D6" w14:paraId="4A4BB77D" w14:textId="77777777" w:rsidTr="009A65C7">
        <w:tc>
          <w:tcPr>
            <w:tcW w:w="2342" w:type="pct"/>
            <w:vMerge w:val="restart"/>
            <w:tcBorders>
              <w:top w:val="single" w:sz="4" w:space="0" w:color="auto"/>
              <w:left w:val="single" w:sz="4" w:space="0" w:color="auto"/>
              <w:right w:val="single" w:sz="4" w:space="0" w:color="auto"/>
            </w:tcBorders>
          </w:tcPr>
          <w:p w14:paraId="6D639D27" w14:textId="4AD48368"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78765C" w:rsidRPr="00966FCC">
              <w:rPr>
                <w:bCs/>
              </w:rPr>
              <w:t xml:space="preserve">Allied Health Professionals </w:t>
            </w:r>
            <w:r w:rsidR="006E3730">
              <w:rPr>
                <w:bCs/>
              </w:rPr>
              <w:t>Public Sector Unions Wages Agreement</w:t>
            </w:r>
          </w:p>
        </w:tc>
        <w:tc>
          <w:tcPr>
            <w:tcW w:w="2658" w:type="pct"/>
            <w:gridSpan w:val="2"/>
            <w:tcBorders>
              <w:top w:val="single" w:sz="4" w:space="0" w:color="auto"/>
              <w:left w:val="single" w:sz="4" w:space="0" w:color="auto"/>
              <w:bottom w:val="single" w:sz="4" w:space="0" w:color="auto"/>
              <w:right w:val="single" w:sz="4" w:space="0" w:color="auto"/>
            </w:tcBorders>
          </w:tcPr>
          <w:p w14:paraId="2190C7BF" w14:textId="7F4B2742"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C63E7D">
              <w:rPr>
                <w:rFonts w:cs="Arial"/>
                <w:iCs/>
                <w:kern w:val="36"/>
                <w:lang w:eastAsia="en-AU"/>
              </w:rPr>
              <w:t>Permanent/Fixed-Term/Casual</w:t>
            </w:r>
            <w:r w:rsidR="00A93086">
              <w:rPr>
                <w:rFonts w:cs="Arial"/>
                <w:iCs/>
                <w:kern w:val="36"/>
                <w:lang w:eastAsia="en-AU"/>
              </w:rPr>
              <w:fldChar w:fldCharType="end"/>
            </w:r>
          </w:p>
        </w:tc>
      </w:tr>
      <w:tr w:rsidR="005713D6" w14:paraId="3E161E43" w14:textId="77777777" w:rsidTr="009A65C7">
        <w:tc>
          <w:tcPr>
            <w:tcW w:w="2342" w:type="pct"/>
            <w:vMerge/>
            <w:tcBorders>
              <w:left w:val="single" w:sz="4" w:space="0" w:color="auto"/>
              <w:bottom w:val="single" w:sz="4" w:space="0" w:color="auto"/>
              <w:right w:val="single" w:sz="4" w:space="0" w:color="auto"/>
            </w:tcBorders>
          </w:tcPr>
          <w:p w14:paraId="55CB0CB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8" w:type="pct"/>
            <w:gridSpan w:val="2"/>
            <w:tcBorders>
              <w:top w:val="single" w:sz="4" w:space="0" w:color="auto"/>
              <w:left w:val="single" w:sz="4" w:space="0" w:color="auto"/>
              <w:bottom w:val="single" w:sz="4" w:space="0" w:color="auto"/>
              <w:right w:val="single" w:sz="4" w:space="0" w:color="auto"/>
            </w:tcBorders>
          </w:tcPr>
          <w:p w14:paraId="69B41EFF" w14:textId="18B10541" w:rsidR="005713D6" w:rsidRPr="006E3730"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Position Type:</w:t>
            </w:r>
            <w:r w:rsidR="006E3730">
              <w:rPr>
                <w:rFonts w:cs="Arial"/>
                <w:b/>
                <w:iCs/>
                <w:kern w:val="36"/>
                <w:lang w:eastAsia="en-AU"/>
              </w:rPr>
              <w:t xml:space="preserve"> </w:t>
            </w:r>
            <w:r w:rsidR="006E3730">
              <w:rPr>
                <w:rFonts w:cs="Arial"/>
                <w:bCs/>
                <w:iCs/>
                <w:kern w:val="36"/>
                <w:lang w:eastAsia="en-AU"/>
              </w:rPr>
              <w:t>Full Time</w:t>
            </w:r>
          </w:p>
        </w:tc>
      </w:tr>
      <w:tr w:rsidR="005713D6" w14:paraId="6B02B7A6" w14:textId="77777777" w:rsidTr="009A65C7">
        <w:tc>
          <w:tcPr>
            <w:tcW w:w="2342" w:type="pct"/>
            <w:tcBorders>
              <w:top w:val="single" w:sz="4" w:space="0" w:color="auto"/>
              <w:left w:val="single" w:sz="4" w:space="0" w:color="auto"/>
              <w:bottom w:val="single" w:sz="4" w:space="0" w:color="auto"/>
              <w:right w:val="single" w:sz="4" w:space="0" w:color="auto"/>
            </w:tcBorders>
          </w:tcPr>
          <w:p w14:paraId="7193D351" w14:textId="10E0A3CA"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9A65C7">
              <w:rPr>
                <w:rStyle w:val="InformationBlockChar"/>
              </w:rPr>
              <w:t xml:space="preserve"> </w:t>
            </w:r>
            <w:r w:rsidR="0078765C">
              <w:rPr>
                <w:rStyle w:val="InformationBlockChar"/>
                <w:b w:val="0"/>
              </w:rPr>
              <w:t>3</w:t>
            </w:r>
          </w:p>
        </w:tc>
        <w:tc>
          <w:tcPr>
            <w:tcW w:w="2658" w:type="pct"/>
            <w:gridSpan w:val="2"/>
            <w:tcBorders>
              <w:top w:val="single" w:sz="4" w:space="0" w:color="auto"/>
              <w:left w:val="single" w:sz="4" w:space="0" w:color="auto"/>
              <w:bottom w:val="single" w:sz="4" w:space="0" w:color="auto"/>
              <w:right w:val="single" w:sz="4" w:space="0" w:color="auto"/>
            </w:tcBorders>
          </w:tcPr>
          <w:p w14:paraId="4F1EC89B"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8765C">
              <w:rPr>
                <w:rFonts w:cs="Arial"/>
                <w:iCs/>
                <w:kern w:val="36"/>
                <w:lang w:eastAsia="en-AU"/>
              </w:rPr>
              <w:t>Allied Health Professional</w:t>
            </w:r>
          </w:p>
        </w:tc>
      </w:tr>
      <w:tr w:rsidR="00077A9F" w14:paraId="25BB836C"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24C573C" w14:textId="0290B0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8765C" w:rsidRPr="002303B8">
              <w:t>Manager</w:t>
            </w:r>
            <w:r w:rsidR="009A65C7">
              <w:t xml:space="preserve"> - </w:t>
            </w:r>
            <w:r w:rsidR="0078765C" w:rsidRPr="002303B8">
              <w:t>C</w:t>
            </w:r>
            <w:r w:rsidR="0078765C">
              <w:t xml:space="preserve">ommunity </w:t>
            </w:r>
            <w:r w:rsidR="0078765C" w:rsidRPr="002303B8">
              <w:t>F</w:t>
            </w:r>
            <w:r w:rsidR="0078765C">
              <w:t xml:space="preserve">orensic </w:t>
            </w:r>
            <w:r w:rsidR="0078765C" w:rsidRPr="002303B8">
              <w:t>M</w:t>
            </w:r>
            <w:r w:rsidR="0078765C">
              <w:t xml:space="preserve">ental </w:t>
            </w:r>
            <w:r w:rsidR="0078765C" w:rsidRPr="002303B8">
              <w:t>H</w:t>
            </w:r>
            <w:r w:rsidR="0078765C">
              <w:t xml:space="preserve">ealth </w:t>
            </w:r>
            <w:r w:rsidR="0078765C" w:rsidRPr="002303B8">
              <w:t>S</w:t>
            </w:r>
            <w:r w:rsidR="0078765C">
              <w:t>ervices</w:t>
            </w:r>
          </w:p>
        </w:tc>
      </w:tr>
      <w:tr w:rsidR="00171E96" w14:paraId="0784FE35" w14:textId="77777777" w:rsidTr="009A65C7">
        <w:tc>
          <w:tcPr>
            <w:tcW w:w="2342" w:type="pct"/>
            <w:tcBorders>
              <w:top w:val="single" w:sz="4" w:space="0" w:color="auto"/>
              <w:left w:val="single" w:sz="4" w:space="0" w:color="auto"/>
              <w:bottom w:val="single" w:sz="4" w:space="0" w:color="auto"/>
              <w:right w:val="single" w:sz="4" w:space="0" w:color="auto"/>
            </w:tcBorders>
          </w:tcPr>
          <w:p w14:paraId="25AD8BEB" w14:textId="52967CB3"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A65C7">
              <w:rPr>
                <w:rStyle w:val="InformationBlockChar"/>
                <w:b w:val="0"/>
              </w:rPr>
              <w:t>Annulled</w:t>
            </w:r>
          </w:p>
        </w:tc>
        <w:tc>
          <w:tcPr>
            <w:tcW w:w="2658" w:type="pct"/>
            <w:gridSpan w:val="2"/>
            <w:tcBorders>
              <w:top w:val="single" w:sz="4" w:space="0" w:color="auto"/>
              <w:left w:val="single" w:sz="4" w:space="0" w:color="auto"/>
              <w:bottom w:val="single" w:sz="4" w:space="0" w:color="auto"/>
              <w:right w:val="single" w:sz="4" w:space="0" w:color="auto"/>
            </w:tcBorders>
          </w:tcPr>
          <w:p w14:paraId="0DDD8D5E"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78765C">
              <w:rPr>
                <w:rStyle w:val="InformationBlockChar"/>
                <w:b w:val="0"/>
              </w:rPr>
              <w:t>Pre-employment</w:t>
            </w:r>
          </w:p>
        </w:tc>
      </w:tr>
    </w:tbl>
    <w:p w14:paraId="1418ED6E" w14:textId="77777777" w:rsidR="0013547B" w:rsidRPr="008743F7" w:rsidRDefault="0013547B" w:rsidP="008743F7">
      <w:pPr>
        <w:pStyle w:val="Heading4"/>
      </w:pPr>
      <w:r w:rsidRPr="008743F7">
        <w:t>Focus of Duties:</w:t>
      </w:r>
    </w:p>
    <w:p w14:paraId="4D1CCCC3" w14:textId="723AC23B" w:rsidR="00887E3C" w:rsidRDefault="008F6174" w:rsidP="009A65C7">
      <w:pPr>
        <w:pStyle w:val="BulletedListLevel1"/>
        <w:numPr>
          <w:ilvl w:val="0"/>
          <w:numId w:val="0"/>
        </w:numPr>
      </w:pPr>
      <w:r w:rsidRPr="00BF4958">
        <w:t>In accordance with primary health care principles, Agency policy and direction, legal requirements and professional competencies, undertake the delivery of quality patient care services, based on best practice and within a collaborative and multidisciplinary framework.</w:t>
      </w:r>
    </w:p>
    <w:p w14:paraId="64E8308D" w14:textId="77777777" w:rsidR="0013547B" w:rsidRDefault="0013547B" w:rsidP="008743F7">
      <w:pPr>
        <w:pStyle w:val="Heading4"/>
      </w:pPr>
      <w:r w:rsidRPr="008743F7">
        <w:t>Duties:</w:t>
      </w:r>
    </w:p>
    <w:p w14:paraId="3A9B77A6" w14:textId="77777777" w:rsidR="008F6174" w:rsidRPr="00BF4958" w:rsidRDefault="008F6174" w:rsidP="008F6174">
      <w:pPr>
        <w:keepLines w:val="0"/>
        <w:widowControl w:val="0"/>
        <w:numPr>
          <w:ilvl w:val="0"/>
          <w:numId w:val="35"/>
        </w:numPr>
        <w:tabs>
          <w:tab w:val="clear" w:pos="360"/>
          <w:tab w:val="clear" w:pos="567"/>
        </w:tabs>
        <w:spacing w:line="280" w:lineRule="atLeast"/>
        <w:ind w:left="567" w:hanging="567"/>
        <w:rPr>
          <w:szCs w:val="24"/>
        </w:rPr>
      </w:pPr>
      <w:r w:rsidRPr="00BF4958">
        <w:rPr>
          <w:szCs w:val="24"/>
        </w:rPr>
        <w:t>Undertake psychological evaluation, assessment and diagnosis of a range of child and adolescent behavioural, emotional, cognitive and social problems using recognised assessment techniques in the context of clients involved with the youth justice system.</w:t>
      </w:r>
    </w:p>
    <w:p w14:paraId="794A00C1" w14:textId="77777777" w:rsidR="008F6174" w:rsidRPr="00BF4958" w:rsidRDefault="008F6174" w:rsidP="008F6174">
      <w:pPr>
        <w:pStyle w:val="BodyText"/>
        <w:keepLines w:val="0"/>
        <w:widowControl w:val="0"/>
        <w:numPr>
          <w:ilvl w:val="0"/>
          <w:numId w:val="35"/>
        </w:numPr>
        <w:tabs>
          <w:tab w:val="clear" w:pos="360"/>
          <w:tab w:val="clear" w:pos="567"/>
        </w:tabs>
        <w:spacing w:line="280" w:lineRule="atLeast"/>
        <w:ind w:left="567" w:hanging="567"/>
        <w:rPr>
          <w:szCs w:val="24"/>
        </w:rPr>
      </w:pPr>
      <w:r w:rsidRPr="00BF4958">
        <w:rPr>
          <w:szCs w:val="24"/>
        </w:rPr>
        <w:t>Provide psychological treatment, including the design, development, implementation and evaluation of specialised treatment programs.</w:t>
      </w:r>
    </w:p>
    <w:p w14:paraId="270BEA12" w14:textId="77777777" w:rsidR="008F6174" w:rsidRPr="00BF4958" w:rsidRDefault="008F6174" w:rsidP="008F6174">
      <w:pPr>
        <w:pStyle w:val="BodyText"/>
        <w:keepLines w:val="0"/>
        <w:widowControl w:val="0"/>
        <w:numPr>
          <w:ilvl w:val="0"/>
          <w:numId w:val="35"/>
        </w:numPr>
        <w:tabs>
          <w:tab w:val="clear" w:pos="360"/>
          <w:tab w:val="clear" w:pos="567"/>
        </w:tabs>
        <w:spacing w:line="280" w:lineRule="atLeast"/>
        <w:ind w:left="567" w:hanging="567"/>
        <w:rPr>
          <w:szCs w:val="24"/>
        </w:rPr>
      </w:pPr>
      <w:r>
        <w:rPr>
          <w:szCs w:val="24"/>
        </w:rPr>
        <w:t xml:space="preserve">Provide </w:t>
      </w:r>
      <w:r w:rsidRPr="00BF4958">
        <w:rPr>
          <w:szCs w:val="24"/>
        </w:rPr>
        <w:t>consultation and training to workers within youth justice on issues pertaining to the early identification and intervention in mental health issues for their clients.</w:t>
      </w:r>
    </w:p>
    <w:p w14:paraId="0F1F750E" w14:textId="77777777" w:rsidR="008F6174" w:rsidRPr="00BF4958" w:rsidRDefault="008F6174" w:rsidP="008F6174">
      <w:pPr>
        <w:pStyle w:val="BodyText"/>
        <w:keepLines w:val="0"/>
        <w:widowControl w:val="0"/>
        <w:numPr>
          <w:ilvl w:val="0"/>
          <w:numId w:val="35"/>
        </w:numPr>
        <w:tabs>
          <w:tab w:val="clear" w:pos="360"/>
          <w:tab w:val="clear" w:pos="567"/>
        </w:tabs>
        <w:spacing w:line="280" w:lineRule="atLeast"/>
        <w:ind w:left="567" w:hanging="567"/>
        <w:rPr>
          <w:szCs w:val="24"/>
        </w:rPr>
      </w:pPr>
      <w:r w:rsidRPr="00BF4958">
        <w:rPr>
          <w:szCs w:val="24"/>
        </w:rPr>
        <w:t>Work within the multi-disciplinary programs and case management team and participate in case plan reviews to ensure continuity of care.</w:t>
      </w:r>
    </w:p>
    <w:p w14:paraId="44DA5C9F" w14:textId="77777777" w:rsidR="008F6174" w:rsidRPr="00BF4958" w:rsidRDefault="008F6174" w:rsidP="008F6174">
      <w:pPr>
        <w:pStyle w:val="BodyText"/>
        <w:keepLines w:val="0"/>
        <w:widowControl w:val="0"/>
        <w:numPr>
          <w:ilvl w:val="0"/>
          <w:numId w:val="35"/>
        </w:numPr>
        <w:tabs>
          <w:tab w:val="clear" w:pos="360"/>
          <w:tab w:val="clear" w:pos="567"/>
        </w:tabs>
        <w:spacing w:line="280" w:lineRule="atLeast"/>
        <w:ind w:left="567" w:hanging="567"/>
        <w:rPr>
          <w:szCs w:val="24"/>
        </w:rPr>
      </w:pPr>
      <w:r w:rsidRPr="00BF4958">
        <w:rPr>
          <w:szCs w:val="24"/>
        </w:rPr>
        <w:t>Assist with and participate in the formulation, implementation and evaluation of quality improvement, risk management, ethical research activities and other strategies consistent with best practice in a custodial environment.</w:t>
      </w:r>
    </w:p>
    <w:p w14:paraId="082024FE" w14:textId="77777777" w:rsidR="008F6174" w:rsidRPr="00BF4958" w:rsidRDefault="008F6174" w:rsidP="008F6174">
      <w:pPr>
        <w:pStyle w:val="BodyText"/>
        <w:keepLines w:val="0"/>
        <w:widowControl w:val="0"/>
        <w:numPr>
          <w:ilvl w:val="0"/>
          <w:numId w:val="35"/>
        </w:numPr>
        <w:tabs>
          <w:tab w:val="clear" w:pos="360"/>
          <w:tab w:val="clear" w:pos="567"/>
        </w:tabs>
        <w:spacing w:line="280" w:lineRule="atLeast"/>
        <w:ind w:left="567" w:hanging="567"/>
        <w:rPr>
          <w:szCs w:val="24"/>
        </w:rPr>
      </w:pPr>
      <w:r w:rsidRPr="00BF4958">
        <w:rPr>
          <w:szCs w:val="24"/>
        </w:rPr>
        <w:t>Provide consultation to Mental Health Service professionals regarding psychological assessment and management of youth justice clients.</w:t>
      </w:r>
    </w:p>
    <w:p w14:paraId="00E0130D" w14:textId="7511F97F" w:rsidR="009A65C7" w:rsidRPr="009A65C7" w:rsidRDefault="008F6174" w:rsidP="009A65C7">
      <w:pPr>
        <w:pStyle w:val="BodyText"/>
        <w:keepLines w:val="0"/>
        <w:widowControl w:val="0"/>
        <w:numPr>
          <w:ilvl w:val="0"/>
          <w:numId w:val="35"/>
        </w:numPr>
        <w:tabs>
          <w:tab w:val="clear" w:pos="360"/>
          <w:tab w:val="clear" w:pos="567"/>
        </w:tabs>
        <w:spacing w:line="280" w:lineRule="atLeast"/>
        <w:ind w:left="567" w:hanging="567"/>
        <w:rPr>
          <w:szCs w:val="24"/>
        </w:rPr>
      </w:pPr>
      <w:r w:rsidRPr="00BF4958">
        <w:rPr>
          <w:szCs w:val="24"/>
        </w:rPr>
        <w:t>Participate in the formulation and delivery of education programs for clients, carers, health professionals and the broader community to promote awareness of mental health issues for individuals within the youth justice system.</w:t>
      </w:r>
    </w:p>
    <w:p w14:paraId="7FA4382A" w14:textId="4D9D6C1B" w:rsidR="008F6174" w:rsidRDefault="008F6174" w:rsidP="008F6174">
      <w:pPr>
        <w:keepLines w:val="0"/>
        <w:widowControl w:val="0"/>
        <w:numPr>
          <w:ilvl w:val="0"/>
          <w:numId w:val="35"/>
        </w:numPr>
        <w:tabs>
          <w:tab w:val="clear" w:pos="360"/>
          <w:tab w:val="clear" w:pos="567"/>
        </w:tabs>
        <w:ind w:left="567" w:hanging="567"/>
        <w:rPr>
          <w:szCs w:val="24"/>
        </w:rPr>
      </w:pPr>
      <w:r w:rsidRPr="00BF4958">
        <w:rPr>
          <w:szCs w:val="24"/>
        </w:rPr>
        <w:t>Research and maintain knowledge of current and emerging trends and practices concerning youth detention and the delivery of psychology and related services and programs.</w:t>
      </w:r>
    </w:p>
    <w:p w14:paraId="2B492219" w14:textId="77777777" w:rsidR="009A65C7" w:rsidRPr="00BF4958" w:rsidRDefault="009A65C7" w:rsidP="009A65C7">
      <w:pPr>
        <w:keepLines w:val="0"/>
        <w:widowControl w:val="0"/>
        <w:tabs>
          <w:tab w:val="clear" w:pos="567"/>
        </w:tabs>
        <w:ind w:left="567"/>
        <w:rPr>
          <w:szCs w:val="24"/>
        </w:rPr>
      </w:pPr>
    </w:p>
    <w:p w14:paraId="5A0BAA6D" w14:textId="77777777" w:rsidR="008F6174" w:rsidRPr="00BF4958" w:rsidRDefault="008F6174" w:rsidP="009A65C7">
      <w:pPr>
        <w:keepLines w:val="0"/>
        <w:widowControl w:val="0"/>
        <w:numPr>
          <w:ilvl w:val="0"/>
          <w:numId w:val="35"/>
        </w:numPr>
        <w:tabs>
          <w:tab w:val="clear" w:pos="360"/>
          <w:tab w:val="clear" w:pos="567"/>
        </w:tabs>
        <w:spacing w:line="280" w:lineRule="atLeast"/>
        <w:ind w:left="567" w:hanging="567"/>
        <w:rPr>
          <w:szCs w:val="24"/>
        </w:rPr>
      </w:pPr>
      <w:r w:rsidRPr="00BF4958">
        <w:rPr>
          <w:szCs w:val="24"/>
        </w:rPr>
        <w:lastRenderedPageBreak/>
        <w:t>Contribute to policy, procedures and practices, consistent with national standards, applicable to the Ashley Detention Centre within the scope of the role.</w:t>
      </w:r>
    </w:p>
    <w:p w14:paraId="0C960B84" w14:textId="77777777" w:rsidR="008F6174" w:rsidRPr="00BF4958" w:rsidRDefault="008F6174" w:rsidP="009A65C7">
      <w:pPr>
        <w:keepLines w:val="0"/>
        <w:widowControl w:val="0"/>
        <w:numPr>
          <w:ilvl w:val="0"/>
          <w:numId w:val="35"/>
        </w:numPr>
        <w:tabs>
          <w:tab w:val="clear" w:pos="360"/>
          <w:tab w:val="clear" w:pos="567"/>
        </w:tabs>
        <w:spacing w:line="280" w:lineRule="atLeast"/>
        <w:ind w:left="567" w:hanging="567"/>
        <w:outlineLvl w:val="0"/>
        <w:rPr>
          <w:szCs w:val="24"/>
        </w:rPr>
      </w:pPr>
      <w:r w:rsidRPr="00BF4958">
        <w:rPr>
          <w:szCs w:val="24"/>
        </w:rPr>
        <w:t>Actively participate in and contribute to the organisation’s Quality and Safety and Work Health and Safety processes, including the development and implementation of safety systems, improvement initiatives and related training, ensuring that quality and safety improvement processes are in place and acted upon.</w:t>
      </w:r>
    </w:p>
    <w:p w14:paraId="2516BFC4" w14:textId="7968F461" w:rsidR="008F6174" w:rsidRPr="009A65C7" w:rsidRDefault="008F6174" w:rsidP="009A65C7">
      <w:pPr>
        <w:keepLines w:val="0"/>
        <w:widowControl w:val="0"/>
        <w:numPr>
          <w:ilvl w:val="0"/>
          <w:numId w:val="35"/>
        </w:numPr>
        <w:tabs>
          <w:tab w:val="clear" w:pos="360"/>
          <w:tab w:val="clear" w:pos="567"/>
        </w:tabs>
        <w:spacing w:after="240" w:line="280" w:lineRule="atLeast"/>
        <w:ind w:left="567" w:hanging="567"/>
        <w:rPr>
          <w:rFonts w:cs="Tahoma"/>
          <w:szCs w:val="24"/>
        </w:rPr>
      </w:pPr>
      <w:r w:rsidRPr="00BF4958">
        <w:rPr>
          <w:rFonts w:cs="Tahoma"/>
          <w:szCs w:val="24"/>
        </w:rPr>
        <w:t>The incumbent can expect to be allocated duties, not specifically mentioned in this document, that are within the capacity, qualifications and experience normally expected from persons occupying jobs at this classification level.</w:t>
      </w:r>
      <w:r>
        <w:rPr>
          <w:rFonts w:cs="Tahoma"/>
          <w:szCs w:val="24"/>
        </w:rPr>
        <w:t xml:space="preserve"> </w:t>
      </w:r>
    </w:p>
    <w:p w14:paraId="74C7796C" w14:textId="77777777" w:rsidR="0013547B" w:rsidRDefault="0013547B" w:rsidP="009A65C7">
      <w:pPr>
        <w:pStyle w:val="Heading4"/>
        <w:spacing w:line="280" w:lineRule="atLeast"/>
      </w:pPr>
      <w:r>
        <w:t>Scope of Work Performed:</w:t>
      </w:r>
    </w:p>
    <w:tbl>
      <w:tblPr>
        <w:tblStyle w:val="TableGrid"/>
        <w:tblW w:w="0" w:type="auto"/>
        <w:tblLook w:val="04A0" w:firstRow="1" w:lastRow="0" w:firstColumn="1" w:lastColumn="0" w:noHBand="0" w:noVBand="1"/>
      </w:tblPr>
      <w:tblGrid>
        <w:gridCol w:w="9355"/>
      </w:tblGrid>
      <w:tr w:rsidR="00F85AAC" w14:paraId="686978E5" w14:textId="77777777" w:rsidTr="00F85AAC">
        <w:tc>
          <w:tcPr>
            <w:tcW w:w="9571" w:type="dxa"/>
            <w:tcBorders>
              <w:top w:val="nil"/>
              <w:left w:val="nil"/>
              <w:bottom w:val="nil"/>
              <w:right w:val="nil"/>
            </w:tcBorders>
          </w:tcPr>
          <w:p w14:paraId="238A1F6B" w14:textId="77777777" w:rsidR="008F6174" w:rsidRPr="00BF4958" w:rsidRDefault="008F6174" w:rsidP="009A65C7">
            <w:pPr>
              <w:pStyle w:val="BulletedListLevel1"/>
              <w:spacing w:line="280" w:lineRule="atLeast"/>
            </w:pPr>
            <w:bookmarkStart w:id="3" w:name="bmScopeofWork"/>
            <w:bookmarkEnd w:id="3"/>
            <w:r w:rsidRPr="00BF4958">
              <w:t>Accepts accountability and responsibility for own practice.</w:t>
            </w:r>
          </w:p>
          <w:p w14:paraId="04E41707" w14:textId="77777777" w:rsidR="008F6174" w:rsidRPr="00BF4958" w:rsidRDefault="008F6174" w:rsidP="009A65C7">
            <w:pPr>
              <w:pStyle w:val="BulletedListLevel1"/>
              <w:spacing w:line="280" w:lineRule="atLeast"/>
            </w:pPr>
            <w:r w:rsidRPr="00BF4958">
              <w:t>Provides direct/indirect client care in accordance with policies and procedures of the practice setting and within the scope of practice.</w:t>
            </w:r>
          </w:p>
          <w:p w14:paraId="3D542223" w14:textId="77777777" w:rsidR="008F6174" w:rsidRPr="00BF4958" w:rsidRDefault="008F6174" w:rsidP="009A65C7">
            <w:pPr>
              <w:pStyle w:val="BulletedListLevel1"/>
              <w:spacing w:line="280" w:lineRule="atLeast"/>
              <w:rPr>
                <w:b/>
                <w:bCs/>
              </w:rPr>
            </w:pPr>
            <w:r w:rsidRPr="00BF4958">
              <w:t xml:space="preserve">Exercises reasonable care in the performance of duties consistent with the </w:t>
            </w:r>
            <w:r>
              <w:t>Work</w:t>
            </w:r>
            <w:r w:rsidRPr="00BF4958">
              <w:t xml:space="preserve"> Health and Safety legislation.</w:t>
            </w:r>
          </w:p>
          <w:p w14:paraId="5FAE7433" w14:textId="06A2ABDA" w:rsidR="008F6174" w:rsidRPr="00BF4958" w:rsidRDefault="008F6174" w:rsidP="009A65C7">
            <w:pPr>
              <w:pStyle w:val="BulletedListLevel1"/>
              <w:spacing w:line="280" w:lineRule="atLeast"/>
              <w:rPr>
                <w:b/>
                <w:bCs/>
              </w:rPr>
            </w:pPr>
            <w:r w:rsidRPr="00BF4958">
              <w:t>Broad administrative direction from the Manager</w:t>
            </w:r>
            <w:r w:rsidR="009A65C7">
              <w:t xml:space="preserve"> - </w:t>
            </w:r>
            <w:r w:rsidRPr="00BF4958">
              <w:t>Community Forensic Mental Health Service.</w:t>
            </w:r>
          </w:p>
          <w:p w14:paraId="42ACC06A" w14:textId="5098CA9F" w:rsidR="008F6174" w:rsidRPr="00336C3E" w:rsidRDefault="008F6174" w:rsidP="009A65C7">
            <w:pPr>
              <w:pStyle w:val="BulletedListLevel1"/>
              <w:spacing w:line="280" w:lineRule="atLeast"/>
              <w:rPr>
                <w:b/>
                <w:bCs/>
              </w:rPr>
            </w:pPr>
            <w:r w:rsidRPr="00BF4958">
              <w:t xml:space="preserve">Professional accountability to the Senior </w:t>
            </w:r>
            <w:r w:rsidR="009A65C7">
              <w:t xml:space="preserve">Forensic/Clinical </w:t>
            </w:r>
            <w:r w:rsidRPr="00BF4958">
              <w:t>Psychologist.</w:t>
            </w:r>
          </w:p>
          <w:p w14:paraId="59AD4CD5" w14:textId="5C0997E4" w:rsidR="00806033" w:rsidRPr="00264A5A" w:rsidRDefault="009A65C7" w:rsidP="009A65C7">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5D0AEF4A" w14:textId="28E5D450" w:rsidR="0013547B" w:rsidRDefault="00831D3C" w:rsidP="009A65C7">
      <w:pPr>
        <w:pStyle w:val="Heading4"/>
        <w:spacing w:before="120" w:line="280" w:lineRule="atLeast"/>
      </w:pPr>
      <w:r>
        <w:t>Essential Requirements:</w:t>
      </w:r>
    </w:p>
    <w:p w14:paraId="1D6895F5" w14:textId="77777777" w:rsidR="008F6174" w:rsidRPr="00BF4958" w:rsidRDefault="008F6174" w:rsidP="009A65C7">
      <w:pPr>
        <w:pStyle w:val="BulletedListLevel1"/>
        <w:numPr>
          <w:ilvl w:val="0"/>
          <w:numId w:val="0"/>
        </w:numPr>
        <w:spacing w:line="280" w:lineRule="atLeast"/>
        <w:rPr>
          <w:b/>
        </w:rPr>
      </w:pPr>
      <w:r w:rsidRPr="00A85DF1">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04DA7F4" w14:textId="7107E090" w:rsidR="008F6174" w:rsidRPr="00BF4958" w:rsidRDefault="008F6174" w:rsidP="009A65C7">
      <w:pPr>
        <w:keepLines w:val="0"/>
        <w:widowControl w:val="0"/>
        <w:numPr>
          <w:ilvl w:val="0"/>
          <w:numId w:val="36"/>
        </w:numPr>
        <w:tabs>
          <w:tab w:val="clear" w:pos="567"/>
        </w:tabs>
        <w:spacing w:line="280" w:lineRule="atLeast"/>
        <w:ind w:left="567" w:hanging="567"/>
        <w:rPr>
          <w:rFonts w:cs="Tahoma"/>
          <w:szCs w:val="24"/>
        </w:rPr>
      </w:pPr>
      <w:r w:rsidRPr="00BF4958">
        <w:rPr>
          <w:rFonts w:cs="Tahoma"/>
          <w:szCs w:val="24"/>
        </w:rPr>
        <w:t xml:space="preserve">Registered with the Psychology Board of Australia and endorsed to practice in the approved area of practice of </w:t>
      </w:r>
      <w:r w:rsidR="006E3730">
        <w:rPr>
          <w:rFonts w:cs="Tahoma"/>
          <w:szCs w:val="24"/>
        </w:rPr>
        <w:t>Forensic Psychology or C</w:t>
      </w:r>
      <w:r w:rsidRPr="00BF4958">
        <w:rPr>
          <w:rFonts w:cs="Tahoma"/>
          <w:szCs w:val="24"/>
        </w:rPr>
        <w:t xml:space="preserve">linical </w:t>
      </w:r>
      <w:r w:rsidR="006E3730">
        <w:rPr>
          <w:rFonts w:cs="Tahoma"/>
          <w:szCs w:val="24"/>
        </w:rPr>
        <w:t>P</w:t>
      </w:r>
      <w:r w:rsidRPr="00BF4958">
        <w:rPr>
          <w:rFonts w:cs="Tahoma"/>
          <w:szCs w:val="24"/>
        </w:rPr>
        <w:t>sychology.</w:t>
      </w:r>
    </w:p>
    <w:p w14:paraId="4E310E36" w14:textId="77777777" w:rsidR="008F6174" w:rsidRPr="00BF4958" w:rsidRDefault="008F6174" w:rsidP="009A65C7">
      <w:pPr>
        <w:keepLines w:val="0"/>
        <w:widowControl w:val="0"/>
        <w:numPr>
          <w:ilvl w:val="0"/>
          <w:numId w:val="36"/>
        </w:numPr>
        <w:tabs>
          <w:tab w:val="clear" w:pos="567"/>
        </w:tabs>
        <w:spacing w:line="280" w:lineRule="atLeast"/>
        <w:ind w:left="567" w:hanging="567"/>
        <w:rPr>
          <w:rFonts w:cs="Tahoma"/>
          <w:szCs w:val="24"/>
        </w:rPr>
      </w:pPr>
      <w:r w:rsidRPr="00BF4958">
        <w:rPr>
          <w:rFonts w:cs="Tahoma"/>
          <w:szCs w:val="24"/>
        </w:rPr>
        <w:t>Current Tasmanian Working with Children Registration.</w:t>
      </w:r>
    </w:p>
    <w:p w14:paraId="4AFB0DE6" w14:textId="77777777" w:rsidR="008F6174" w:rsidRDefault="008F6174" w:rsidP="009A65C7">
      <w:pPr>
        <w:pStyle w:val="BulletedListLevel1"/>
        <w:tabs>
          <w:tab w:val="num" w:pos="927"/>
        </w:tabs>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1C511A0E" w14:textId="77777777" w:rsidR="008F6174" w:rsidRDefault="008F6174" w:rsidP="009A65C7">
      <w:pPr>
        <w:pStyle w:val="BulletedListLevel1"/>
        <w:numPr>
          <w:ilvl w:val="0"/>
          <w:numId w:val="32"/>
        </w:numPr>
        <w:spacing w:line="280" w:lineRule="atLeast"/>
      </w:pPr>
      <w:r>
        <w:t>Conviction checks in the following areas:</w:t>
      </w:r>
    </w:p>
    <w:p w14:paraId="6E615B55" w14:textId="77777777" w:rsidR="008F6174" w:rsidRDefault="008F6174" w:rsidP="009A65C7">
      <w:pPr>
        <w:pStyle w:val="BulletedListLevel1"/>
        <w:numPr>
          <w:ilvl w:val="1"/>
          <w:numId w:val="31"/>
        </w:numPr>
        <w:tabs>
          <w:tab w:val="left" w:pos="1134"/>
          <w:tab w:val="num" w:pos="1287"/>
          <w:tab w:val="num" w:pos="1701"/>
        </w:tabs>
        <w:spacing w:line="280" w:lineRule="atLeast"/>
        <w:ind w:left="1701" w:hanging="567"/>
      </w:pPr>
      <w:r>
        <w:t>crimes of violence</w:t>
      </w:r>
    </w:p>
    <w:p w14:paraId="27F9BA53" w14:textId="77777777" w:rsidR="008F6174" w:rsidRDefault="008F6174" w:rsidP="009A65C7">
      <w:pPr>
        <w:pStyle w:val="BulletedListLevel1"/>
        <w:numPr>
          <w:ilvl w:val="1"/>
          <w:numId w:val="31"/>
        </w:numPr>
        <w:tabs>
          <w:tab w:val="left" w:pos="1134"/>
          <w:tab w:val="num" w:pos="1287"/>
          <w:tab w:val="num" w:pos="1701"/>
        </w:tabs>
        <w:spacing w:line="280" w:lineRule="atLeast"/>
        <w:ind w:left="1701" w:hanging="567"/>
      </w:pPr>
      <w:r>
        <w:t>sex related offences</w:t>
      </w:r>
    </w:p>
    <w:p w14:paraId="326DD21A" w14:textId="77777777" w:rsidR="008F6174" w:rsidRDefault="008F6174" w:rsidP="009A65C7">
      <w:pPr>
        <w:pStyle w:val="BulletedListLevel1"/>
        <w:numPr>
          <w:ilvl w:val="1"/>
          <w:numId w:val="31"/>
        </w:numPr>
        <w:tabs>
          <w:tab w:val="left" w:pos="1134"/>
          <w:tab w:val="num" w:pos="1287"/>
          <w:tab w:val="num" w:pos="1701"/>
        </w:tabs>
        <w:spacing w:line="280" w:lineRule="atLeast"/>
        <w:ind w:left="1701" w:hanging="567"/>
      </w:pPr>
      <w:r>
        <w:t>serious drug offences</w:t>
      </w:r>
    </w:p>
    <w:p w14:paraId="3A220204" w14:textId="77777777" w:rsidR="008F6174" w:rsidRDefault="008F6174" w:rsidP="009A65C7">
      <w:pPr>
        <w:pStyle w:val="BulletedListLevel1"/>
        <w:numPr>
          <w:ilvl w:val="1"/>
          <w:numId w:val="31"/>
        </w:numPr>
        <w:tabs>
          <w:tab w:val="left" w:pos="1134"/>
          <w:tab w:val="num" w:pos="1287"/>
          <w:tab w:val="num" w:pos="1701"/>
        </w:tabs>
        <w:spacing w:line="280" w:lineRule="atLeast"/>
        <w:ind w:left="1701" w:hanging="567"/>
      </w:pPr>
      <w:r>
        <w:t>crimes involving dishonesty</w:t>
      </w:r>
    </w:p>
    <w:p w14:paraId="45B433BC" w14:textId="77777777" w:rsidR="008F6174" w:rsidRDefault="008F6174" w:rsidP="008F6174">
      <w:pPr>
        <w:pStyle w:val="BulletedListLevel1"/>
        <w:numPr>
          <w:ilvl w:val="0"/>
          <w:numId w:val="32"/>
        </w:numPr>
      </w:pPr>
      <w:r>
        <w:t>Identification check</w:t>
      </w:r>
    </w:p>
    <w:p w14:paraId="140EC16E" w14:textId="74E393BD" w:rsidR="008F6174" w:rsidRDefault="008F6174" w:rsidP="008743F7">
      <w:pPr>
        <w:pStyle w:val="BulletedListLevel1"/>
        <w:numPr>
          <w:ilvl w:val="0"/>
          <w:numId w:val="32"/>
        </w:numPr>
        <w:spacing w:after="0" w:line="240" w:lineRule="auto"/>
      </w:pPr>
      <w:r>
        <w:t>Disciplinary action in previous employment check</w:t>
      </w:r>
    </w:p>
    <w:p w14:paraId="078AE1C6" w14:textId="178ECFAA" w:rsidR="007D4E47" w:rsidRDefault="007D4E47" w:rsidP="008743F7">
      <w:pPr>
        <w:pStyle w:val="Heading4"/>
      </w:pPr>
      <w:r>
        <w:lastRenderedPageBreak/>
        <w:t>Desirable Requirements</w:t>
      </w:r>
      <w:r w:rsidR="005E71A7">
        <w:t>:</w:t>
      </w:r>
    </w:p>
    <w:p w14:paraId="5CC17164" w14:textId="59A7AAA7" w:rsidR="008F6174" w:rsidRPr="008F6174" w:rsidRDefault="008F6174" w:rsidP="008743F7">
      <w:pPr>
        <w:keepLines w:val="0"/>
        <w:widowControl w:val="0"/>
        <w:numPr>
          <w:ilvl w:val="0"/>
          <w:numId w:val="37"/>
        </w:numPr>
        <w:tabs>
          <w:tab w:val="clear" w:pos="567"/>
        </w:tabs>
        <w:spacing w:before="120" w:after="0"/>
        <w:ind w:left="567" w:hanging="567"/>
        <w:rPr>
          <w:szCs w:val="24"/>
        </w:rPr>
      </w:pPr>
      <w:r w:rsidRPr="00C336F3">
        <w:rPr>
          <w:szCs w:val="24"/>
        </w:rPr>
        <w:t>Current Driver’s Licence</w:t>
      </w:r>
      <w:r w:rsidR="009A65C7">
        <w:rPr>
          <w:szCs w:val="24"/>
        </w:rPr>
        <w:t>.</w:t>
      </w:r>
    </w:p>
    <w:p w14:paraId="2AF4A271" w14:textId="274FF621" w:rsidR="0013547B" w:rsidRDefault="0013547B" w:rsidP="008743F7">
      <w:pPr>
        <w:pStyle w:val="Heading4"/>
      </w:pPr>
      <w:r>
        <w:t>Selection Criteria:</w:t>
      </w:r>
    </w:p>
    <w:p w14:paraId="59740F37" w14:textId="77777777" w:rsidR="008F6174" w:rsidRPr="00BF4958" w:rsidRDefault="008F6174" w:rsidP="008F6174">
      <w:pPr>
        <w:pStyle w:val="BodyText"/>
        <w:keepLines w:val="0"/>
        <w:widowControl w:val="0"/>
        <w:numPr>
          <w:ilvl w:val="0"/>
          <w:numId w:val="38"/>
        </w:numPr>
        <w:tabs>
          <w:tab w:val="clear" w:pos="567"/>
          <w:tab w:val="clear" w:pos="720"/>
        </w:tabs>
        <w:ind w:left="567" w:hanging="567"/>
        <w:rPr>
          <w:szCs w:val="24"/>
        </w:rPr>
      </w:pPr>
      <w:r w:rsidRPr="00BF4958">
        <w:rPr>
          <w:szCs w:val="24"/>
        </w:rPr>
        <w:t>Demonstrated knowledge of contemporary psychological therapies especially within a forensic setting.</w:t>
      </w:r>
    </w:p>
    <w:p w14:paraId="54789CA7" w14:textId="77777777" w:rsidR="008F6174" w:rsidRPr="00BF4958" w:rsidRDefault="008F6174" w:rsidP="008F6174">
      <w:pPr>
        <w:pStyle w:val="BodyText"/>
        <w:keepLines w:val="0"/>
        <w:widowControl w:val="0"/>
        <w:numPr>
          <w:ilvl w:val="0"/>
          <w:numId w:val="38"/>
        </w:numPr>
        <w:tabs>
          <w:tab w:val="clear" w:pos="567"/>
          <w:tab w:val="clear" w:pos="720"/>
        </w:tabs>
        <w:ind w:left="567" w:hanging="567"/>
        <w:rPr>
          <w:szCs w:val="24"/>
        </w:rPr>
      </w:pPr>
      <w:r w:rsidRPr="00BF4958">
        <w:rPr>
          <w:szCs w:val="24"/>
        </w:rPr>
        <w:t>Demonstrated knowledge and experience in working with children, adolescents and their families in relation to mental health or a demonstrated ability to acquire such expertise.</w:t>
      </w:r>
    </w:p>
    <w:p w14:paraId="321E8D2F" w14:textId="77777777" w:rsidR="008F6174" w:rsidRPr="00BF4958" w:rsidRDefault="008F6174" w:rsidP="008F6174">
      <w:pPr>
        <w:pStyle w:val="BodyText"/>
        <w:keepLines w:val="0"/>
        <w:widowControl w:val="0"/>
        <w:numPr>
          <w:ilvl w:val="0"/>
          <w:numId w:val="38"/>
        </w:numPr>
        <w:tabs>
          <w:tab w:val="clear" w:pos="567"/>
          <w:tab w:val="clear" w:pos="720"/>
        </w:tabs>
        <w:ind w:left="567" w:hanging="567"/>
        <w:rPr>
          <w:szCs w:val="24"/>
        </w:rPr>
      </w:pPr>
      <w:r w:rsidRPr="00BF4958">
        <w:rPr>
          <w:szCs w:val="24"/>
        </w:rPr>
        <w:t>Proven high-level communication and interpersonal skills of establishing and maintaining staff and client relationships, including working collaboratively within a multi-disciplinary setting.</w:t>
      </w:r>
    </w:p>
    <w:p w14:paraId="591B07BC" w14:textId="77777777" w:rsidR="008F6174" w:rsidRPr="00BF4958" w:rsidRDefault="008F6174" w:rsidP="008F6174">
      <w:pPr>
        <w:pStyle w:val="BodyText"/>
        <w:keepLines w:val="0"/>
        <w:widowControl w:val="0"/>
        <w:numPr>
          <w:ilvl w:val="0"/>
          <w:numId w:val="38"/>
        </w:numPr>
        <w:tabs>
          <w:tab w:val="clear" w:pos="567"/>
          <w:tab w:val="clear" w:pos="720"/>
        </w:tabs>
        <w:ind w:left="567" w:hanging="567"/>
        <w:rPr>
          <w:szCs w:val="24"/>
        </w:rPr>
      </w:pPr>
      <w:r w:rsidRPr="00BF4958">
        <w:rPr>
          <w:color w:val="000000"/>
          <w:szCs w:val="24"/>
        </w:rPr>
        <w:t xml:space="preserve">Demonstrated knowledge of the </w:t>
      </w:r>
      <w:r w:rsidRPr="00BF4958">
        <w:rPr>
          <w:i/>
          <w:color w:val="000000"/>
          <w:szCs w:val="24"/>
        </w:rPr>
        <w:t>Youth Justice Act 1997</w:t>
      </w:r>
      <w:r w:rsidRPr="00BF4958">
        <w:rPr>
          <w:color w:val="000000"/>
          <w:szCs w:val="24"/>
        </w:rPr>
        <w:t>, other relevant legislation, and</w:t>
      </w:r>
      <w:r w:rsidRPr="00BF4958">
        <w:rPr>
          <w:szCs w:val="24"/>
        </w:rPr>
        <w:t xml:space="preserve"> national standards, and demonstrated knowledge of contemporary issues, practices and trends in respect to services for young people who have offended, and their families; together with a commitment to working with young offenders, and sensitivity to and capacity for working closely with young people in detention.</w:t>
      </w:r>
    </w:p>
    <w:p w14:paraId="7D0491F5" w14:textId="77777777" w:rsidR="008F6174" w:rsidRPr="00BF4958" w:rsidRDefault="008F6174" w:rsidP="008F6174">
      <w:pPr>
        <w:pStyle w:val="BodyText"/>
        <w:keepLines w:val="0"/>
        <w:widowControl w:val="0"/>
        <w:numPr>
          <w:ilvl w:val="0"/>
          <w:numId w:val="38"/>
        </w:numPr>
        <w:tabs>
          <w:tab w:val="clear" w:pos="567"/>
          <w:tab w:val="clear" w:pos="720"/>
        </w:tabs>
        <w:ind w:left="567" w:hanging="567"/>
        <w:rPr>
          <w:szCs w:val="24"/>
        </w:rPr>
      </w:pPr>
      <w:r w:rsidRPr="00BF4958">
        <w:rPr>
          <w:szCs w:val="24"/>
        </w:rPr>
        <w:t>Demonstrated ability to consult, liaise and negotiate with other services and agencies in the context of providing specialised mental health assessment, advice and training.</w:t>
      </w:r>
    </w:p>
    <w:p w14:paraId="41A2117A" w14:textId="46945F8C" w:rsidR="008F6174" w:rsidRPr="009A65C7" w:rsidRDefault="008F6174" w:rsidP="009A65C7">
      <w:pPr>
        <w:keepLines w:val="0"/>
        <w:widowControl w:val="0"/>
        <w:numPr>
          <w:ilvl w:val="0"/>
          <w:numId w:val="38"/>
        </w:numPr>
        <w:tabs>
          <w:tab w:val="clear" w:pos="567"/>
          <w:tab w:val="clear" w:pos="720"/>
        </w:tabs>
        <w:spacing w:after="240"/>
        <w:ind w:left="567" w:hanging="567"/>
        <w:rPr>
          <w:szCs w:val="24"/>
        </w:rPr>
      </w:pPr>
      <w:r w:rsidRPr="00BF4958">
        <w:rPr>
          <w:szCs w:val="24"/>
        </w:rPr>
        <w:t>Willingness and ability to develop and participate in ongoing quality assurance activities and promote a healthy and safe custodial environment in compliance with Agency policy.</w:t>
      </w:r>
    </w:p>
    <w:p w14:paraId="1EBBF21A" w14:textId="77777777" w:rsidR="0013547B" w:rsidRDefault="0013547B" w:rsidP="008743F7">
      <w:pPr>
        <w:pStyle w:val="Heading4"/>
      </w:pPr>
      <w:r>
        <w:t>Working Environment:</w:t>
      </w:r>
    </w:p>
    <w:p w14:paraId="0EEA0E5F" w14:textId="77777777" w:rsidR="009A65C7" w:rsidRPr="00014775" w:rsidRDefault="009A65C7" w:rsidP="009A65C7">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4360B75" w14:textId="77777777" w:rsidR="009A65C7" w:rsidRPr="00014775" w:rsidRDefault="009A65C7" w:rsidP="009A65C7">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8626324" w14:textId="012E10AF" w:rsidR="009A65C7" w:rsidRPr="00014775" w:rsidRDefault="009A65C7" w:rsidP="009A65C7">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21823B8A" w14:textId="77777777" w:rsidR="009A65C7" w:rsidRPr="00014775" w:rsidRDefault="009A65C7" w:rsidP="009A65C7">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C32E059" w14:textId="77777777" w:rsidR="009A65C7" w:rsidRPr="00014775" w:rsidRDefault="009A65C7" w:rsidP="009A65C7">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6D5672F" w14:textId="77777777" w:rsidR="009A65C7" w:rsidRPr="00014775" w:rsidRDefault="009A65C7" w:rsidP="009A65C7">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3E46066" w14:textId="77777777" w:rsidR="009A65C7" w:rsidRPr="00014775" w:rsidRDefault="009A65C7" w:rsidP="009A65C7">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0B52F93B" w14:textId="77777777" w:rsidR="009A65C7" w:rsidRPr="00D018FD" w:rsidRDefault="009A65C7" w:rsidP="009A65C7">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524246B" w14:textId="77777777" w:rsidR="005E71A7" w:rsidRPr="004B0994" w:rsidRDefault="005E71A7" w:rsidP="007C5DB4">
      <w:pPr>
        <w:rPr>
          <w:bCs/>
          <w:lang w:val="en-US"/>
        </w:rPr>
      </w:pPr>
    </w:p>
    <w:sectPr w:rsidR="005E71A7" w:rsidRPr="004B0994" w:rsidSect="009A65C7">
      <w:headerReference w:type="default" r:id="rId10"/>
      <w:footerReference w:type="default" r:id="rId11"/>
      <w:footerReference w:type="first" r:id="rId12"/>
      <w:pgSz w:w="11907" w:h="16840" w:code="9"/>
      <w:pgMar w:top="907" w:right="1134"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1412" w14:textId="77777777" w:rsidR="00DD2CB2" w:rsidRDefault="00DD2CB2">
      <w:r>
        <w:separator/>
      </w:r>
    </w:p>
  </w:endnote>
  <w:endnote w:type="continuationSeparator" w:id="0">
    <w:p w14:paraId="4A82B5FA" w14:textId="77777777" w:rsidR="00DD2CB2" w:rsidRDefault="00DD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DB2D"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5EE8"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EFC7" w14:textId="77777777" w:rsidR="00DD2CB2" w:rsidRDefault="00DD2CB2">
      <w:r>
        <w:separator/>
      </w:r>
    </w:p>
  </w:footnote>
  <w:footnote w:type="continuationSeparator" w:id="0">
    <w:p w14:paraId="0583A26D" w14:textId="77777777" w:rsidR="00DD2CB2" w:rsidRDefault="00DD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5690"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812197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E486678"/>
    <w:multiLevelType w:val="hybridMultilevel"/>
    <w:tmpl w:val="8E22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12ED3"/>
    <w:multiLevelType w:val="hybridMultilevel"/>
    <w:tmpl w:val="206C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297357E"/>
    <w:multiLevelType w:val="hybridMultilevel"/>
    <w:tmpl w:val="C2FE07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7CF6675"/>
    <w:multiLevelType w:val="hybridMultilevel"/>
    <w:tmpl w:val="1DB85D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2"/>
  </w:num>
  <w:num w:numId="12">
    <w:abstractNumId w:val="17"/>
  </w:num>
  <w:num w:numId="13">
    <w:abstractNumId w:val="16"/>
  </w:num>
  <w:num w:numId="14">
    <w:abstractNumId w:val="35"/>
  </w:num>
  <w:num w:numId="15">
    <w:abstractNumId w:val="26"/>
  </w:num>
  <w:num w:numId="16">
    <w:abstractNumId w:val="10"/>
  </w:num>
  <w:num w:numId="17">
    <w:abstractNumId w:val="12"/>
  </w:num>
  <w:num w:numId="18">
    <w:abstractNumId w:val="30"/>
  </w:num>
  <w:num w:numId="19">
    <w:abstractNumId w:val="33"/>
  </w:num>
  <w:num w:numId="20">
    <w:abstractNumId w:val="24"/>
  </w:num>
  <w:num w:numId="21">
    <w:abstractNumId w:val="8"/>
  </w:num>
  <w:num w:numId="22">
    <w:abstractNumId w:val="34"/>
  </w:num>
  <w:num w:numId="23">
    <w:abstractNumId w:val="10"/>
  </w:num>
  <w:num w:numId="24">
    <w:abstractNumId w:val="19"/>
  </w:num>
  <w:num w:numId="25">
    <w:abstractNumId w:val="29"/>
  </w:num>
  <w:num w:numId="26">
    <w:abstractNumId w:val="21"/>
  </w:num>
  <w:num w:numId="27">
    <w:abstractNumId w:val="28"/>
  </w:num>
  <w:num w:numId="28">
    <w:abstractNumId w:val="31"/>
  </w:num>
  <w:num w:numId="29">
    <w:abstractNumId w:val="9"/>
  </w:num>
  <w:num w:numId="30">
    <w:abstractNumId w:val="5"/>
  </w:num>
  <w:num w:numId="31">
    <w:abstractNumId w:val="18"/>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13"/>
  </w:num>
  <w:num w:numId="37">
    <w:abstractNumId w:val="14"/>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5C"/>
    <w:rsid w:val="00000794"/>
    <w:rsid w:val="00001C8D"/>
    <w:rsid w:val="00012640"/>
    <w:rsid w:val="00020DB7"/>
    <w:rsid w:val="0002652A"/>
    <w:rsid w:val="000270AE"/>
    <w:rsid w:val="00027DEB"/>
    <w:rsid w:val="00030382"/>
    <w:rsid w:val="00035074"/>
    <w:rsid w:val="00044CB7"/>
    <w:rsid w:val="000459C3"/>
    <w:rsid w:val="0004754F"/>
    <w:rsid w:val="00050894"/>
    <w:rsid w:val="00055DEF"/>
    <w:rsid w:val="00057178"/>
    <w:rsid w:val="00067719"/>
    <w:rsid w:val="00071637"/>
    <w:rsid w:val="00071A9D"/>
    <w:rsid w:val="00073630"/>
    <w:rsid w:val="00076F20"/>
    <w:rsid w:val="00077A9F"/>
    <w:rsid w:val="00093744"/>
    <w:rsid w:val="00095803"/>
    <w:rsid w:val="000A016F"/>
    <w:rsid w:val="000A06F3"/>
    <w:rsid w:val="000A10BF"/>
    <w:rsid w:val="000A18BE"/>
    <w:rsid w:val="000A2C55"/>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07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3B57"/>
    <w:rsid w:val="00255662"/>
    <w:rsid w:val="00261FB7"/>
    <w:rsid w:val="00264A5A"/>
    <w:rsid w:val="00264ADF"/>
    <w:rsid w:val="002659AB"/>
    <w:rsid w:val="002725DD"/>
    <w:rsid w:val="00275DE8"/>
    <w:rsid w:val="0027736E"/>
    <w:rsid w:val="00285690"/>
    <w:rsid w:val="00290EB4"/>
    <w:rsid w:val="002926D4"/>
    <w:rsid w:val="00297901"/>
    <w:rsid w:val="002A4B62"/>
    <w:rsid w:val="002B1A22"/>
    <w:rsid w:val="002B4F10"/>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3B0E"/>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3A23"/>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3730"/>
    <w:rsid w:val="006E6171"/>
    <w:rsid w:val="006E7DEF"/>
    <w:rsid w:val="006F05F9"/>
    <w:rsid w:val="006F1F8B"/>
    <w:rsid w:val="006F4386"/>
    <w:rsid w:val="006F4606"/>
    <w:rsid w:val="006F5D10"/>
    <w:rsid w:val="0071139C"/>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65C"/>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86E"/>
    <w:rsid w:val="007E3BCF"/>
    <w:rsid w:val="007F0235"/>
    <w:rsid w:val="007F58F3"/>
    <w:rsid w:val="007F62C5"/>
    <w:rsid w:val="007F6892"/>
    <w:rsid w:val="00800C63"/>
    <w:rsid w:val="00802D6F"/>
    <w:rsid w:val="008033A3"/>
    <w:rsid w:val="00805675"/>
    <w:rsid w:val="00806033"/>
    <w:rsid w:val="00813CF8"/>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6174"/>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A65C7"/>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74F36"/>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D5E9D"/>
    <w:rsid w:val="00BE77D2"/>
    <w:rsid w:val="00C02519"/>
    <w:rsid w:val="00C03029"/>
    <w:rsid w:val="00C11881"/>
    <w:rsid w:val="00C30D3A"/>
    <w:rsid w:val="00C372A3"/>
    <w:rsid w:val="00C41EA3"/>
    <w:rsid w:val="00C43DF3"/>
    <w:rsid w:val="00C508BF"/>
    <w:rsid w:val="00C55F75"/>
    <w:rsid w:val="00C63E7D"/>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2CB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C4A"/>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1743"/>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EE14A"/>
  <w15:docId w15:val="{4F7F362F-B1D2-4E4E-9DE8-FE61D8C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D8F5-9EB0-4013-BB6F-F9573062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10083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sdonati</dc:creator>
  <cp:keywords/>
  <dc:description/>
  <cp:lastModifiedBy>O'Shannessy, Katherine S</cp:lastModifiedBy>
  <cp:revision>3</cp:revision>
  <cp:lastPrinted>2020-03-12T01:43:00Z</cp:lastPrinted>
  <dcterms:created xsi:type="dcterms:W3CDTF">2020-03-27T04:34:00Z</dcterms:created>
  <dcterms:modified xsi:type="dcterms:W3CDTF">2020-03-27T04:34:00Z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