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31F0D" w14:textId="0BF0D405" w:rsidR="005D5969" w:rsidRPr="00B232E2" w:rsidRDefault="005D5969" w:rsidP="00FF1453">
      <w:pPr>
        <w:pStyle w:val="Heading1"/>
        <w:spacing w:line="240" w:lineRule="auto"/>
        <w:jc w:val="center"/>
        <w:rPr>
          <w:b/>
          <w:sz w:val="28"/>
        </w:rPr>
      </w:pPr>
      <w:r w:rsidRPr="00B232E2">
        <w:rPr>
          <w:b/>
          <w:sz w:val="28"/>
        </w:rPr>
        <w:t xml:space="preserve">Department of </w:t>
      </w:r>
      <w:r w:rsidR="00556FED">
        <w:rPr>
          <w:b/>
          <w:sz w:val="28"/>
        </w:rPr>
        <w:t>Natural Resources and Environment Tasmania</w:t>
      </w:r>
    </w:p>
    <w:p w14:paraId="28E31F0E" w14:textId="070E1A50" w:rsidR="005D5969" w:rsidRPr="00192887" w:rsidRDefault="00D313AD" w:rsidP="00FF1453">
      <w:pPr>
        <w:pStyle w:val="Heading1"/>
        <w:spacing w:before="240" w:line="240" w:lineRule="auto"/>
        <w:jc w:val="center"/>
        <w:rPr>
          <w:b/>
          <w:sz w:val="24"/>
          <w:szCs w:val="24"/>
        </w:rPr>
      </w:pPr>
      <w:r>
        <w:rPr>
          <w:b/>
          <w:szCs w:val="40"/>
        </w:rPr>
        <w:t xml:space="preserve">Water Resource and </w:t>
      </w:r>
      <w:r w:rsidR="0065543C">
        <w:rPr>
          <w:b/>
          <w:szCs w:val="40"/>
        </w:rPr>
        <w:t xml:space="preserve">River Health </w:t>
      </w:r>
      <w:r>
        <w:rPr>
          <w:b/>
          <w:szCs w:val="40"/>
        </w:rPr>
        <w:t>Scientist</w:t>
      </w:r>
    </w:p>
    <w:p w14:paraId="28E31F0F" w14:textId="77777777" w:rsidR="005D5969" w:rsidRPr="005D5969" w:rsidRDefault="005D5969" w:rsidP="00FF1453">
      <w:pPr>
        <w:pStyle w:val="Heading1"/>
        <w:spacing w:line="240" w:lineRule="auto"/>
        <w:jc w:val="center"/>
        <w:rPr>
          <w:rFonts w:cs="Arial"/>
          <w:sz w:val="32"/>
          <w:szCs w:val="32"/>
        </w:rPr>
      </w:pPr>
      <w:r w:rsidRPr="005D5969">
        <w:rPr>
          <w:rFonts w:cs="Arial"/>
          <w:noProof/>
          <w:sz w:val="32"/>
          <w:szCs w:val="32"/>
        </w:rPr>
        <w:t>Statement of Duties</w:t>
      </w:r>
    </w:p>
    <w:p w14:paraId="28E31F10" w14:textId="77777777" w:rsidR="007F73E6" w:rsidRPr="007F73E6" w:rsidRDefault="007F73E6" w:rsidP="003E4A5D">
      <w:pPr>
        <w:pBdr>
          <w:bottom w:val="single" w:sz="4" w:space="1" w:color="auto"/>
        </w:pBdr>
        <w:spacing w:before="0" w:line="240" w:lineRule="auto"/>
      </w:pPr>
    </w:p>
    <w:p w14:paraId="28E31F11" w14:textId="4F4062EA" w:rsidR="009D522C" w:rsidRPr="00E96058" w:rsidRDefault="009D522C" w:rsidP="003E4A5D">
      <w:pPr>
        <w:tabs>
          <w:tab w:val="clear" w:pos="2835"/>
          <w:tab w:val="left" w:pos="3261"/>
        </w:tabs>
        <w:spacing w:line="240" w:lineRule="auto"/>
      </w:pPr>
      <w:r w:rsidRPr="003951E9">
        <w:rPr>
          <w:rStyle w:val="Heading3Char"/>
        </w:rPr>
        <w:t>Position number:</w:t>
      </w:r>
      <w:r w:rsidRPr="00E96058">
        <w:tab/>
      </w:r>
      <w:r w:rsidR="00FF1453">
        <w:tab/>
      </w:r>
      <w:r w:rsidR="00FF1453">
        <w:tab/>
      </w:r>
      <w:r w:rsidR="00031BBF">
        <w:rPr>
          <w:rFonts w:cs="Arial"/>
          <w:szCs w:val="24"/>
        </w:rPr>
        <w:t>708804</w:t>
      </w:r>
    </w:p>
    <w:p w14:paraId="28E31F12" w14:textId="791B6049" w:rsidR="009D522C" w:rsidRPr="00E96058" w:rsidRDefault="009D522C" w:rsidP="003E4A5D">
      <w:pPr>
        <w:tabs>
          <w:tab w:val="clear" w:pos="2835"/>
          <w:tab w:val="left" w:pos="3261"/>
        </w:tabs>
        <w:spacing w:line="240" w:lineRule="auto"/>
      </w:pPr>
      <w:r w:rsidRPr="003951E9">
        <w:rPr>
          <w:rStyle w:val="Heading3Char"/>
        </w:rPr>
        <w:t>Award/Agreement:</w:t>
      </w:r>
      <w:r w:rsidRPr="00E96058">
        <w:tab/>
      </w:r>
      <w:r w:rsidR="00FF1453">
        <w:tab/>
      </w:r>
      <w:r w:rsidR="00FF1453">
        <w:tab/>
      </w:r>
      <w:r w:rsidR="00485CA0" w:rsidRPr="000A37B9">
        <w:rPr>
          <w:rFonts w:cs="Arial"/>
        </w:rPr>
        <w:t>Tasmanian State Service Award</w:t>
      </w:r>
    </w:p>
    <w:p w14:paraId="28E31F13" w14:textId="69FEFBCD" w:rsidR="009D522C" w:rsidRPr="00E96058" w:rsidRDefault="009D522C" w:rsidP="003E4A5D">
      <w:pPr>
        <w:tabs>
          <w:tab w:val="clear" w:pos="2835"/>
          <w:tab w:val="left" w:pos="3261"/>
        </w:tabs>
        <w:spacing w:line="240" w:lineRule="auto"/>
      </w:pPr>
      <w:r w:rsidRPr="003951E9">
        <w:rPr>
          <w:rStyle w:val="Heading3Char"/>
        </w:rPr>
        <w:t>Classification level:</w:t>
      </w:r>
      <w:r w:rsidR="00FE4F02">
        <w:tab/>
      </w:r>
      <w:r w:rsidR="00FF1453">
        <w:tab/>
      </w:r>
      <w:r w:rsidR="00FF1453">
        <w:tab/>
      </w:r>
      <w:r w:rsidR="00485CA0">
        <w:t>General Stream, Band 6</w:t>
      </w:r>
    </w:p>
    <w:p w14:paraId="28E31F14" w14:textId="63A1F842" w:rsidR="009D522C" w:rsidRPr="0022222B" w:rsidRDefault="009D522C" w:rsidP="00FF1453">
      <w:pPr>
        <w:tabs>
          <w:tab w:val="clear" w:pos="2835"/>
          <w:tab w:val="left" w:pos="3261"/>
        </w:tabs>
        <w:spacing w:line="240" w:lineRule="auto"/>
        <w:ind w:left="3969" w:hanging="3969"/>
        <w:rPr>
          <w:b/>
          <w:bCs/>
        </w:rPr>
      </w:pPr>
      <w:r w:rsidRPr="003951E9">
        <w:rPr>
          <w:rStyle w:val="Heading3Char"/>
        </w:rPr>
        <w:t>Division/</w:t>
      </w:r>
      <w:r w:rsidR="00FF1453">
        <w:rPr>
          <w:rStyle w:val="Heading3Char"/>
        </w:rPr>
        <w:t>Business Unit/Section</w:t>
      </w:r>
      <w:r w:rsidRPr="003951E9">
        <w:rPr>
          <w:rStyle w:val="Heading3Char"/>
        </w:rPr>
        <w:t>:</w:t>
      </w:r>
      <w:r w:rsidRPr="003951E9">
        <w:rPr>
          <w:rStyle w:val="Heading3Char"/>
        </w:rPr>
        <w:tab/>
      </w:r>
      <w:r w:rsidR="0022222B" w:rsidRPr="0022222B">
        <w:rPr>
          <w:rStyle w:val="Heading3Char"/>
          <w:b w:val="0"/>
          <w:bCs/>
        </w:rPr>
        <w:tab/>
      </w:r>
      <w:r w:rsidR="00822FA7">
        <w:rPr>
          <w:rStyle w:val="xheading3char"/>
          <w:b w:val="0"/>
          <w:bCs w:val="0"/>
          <w:szCs w:val="24"/>
        </w:rPr>
        <w:t xml:space="preserve">Primary Industries </w:t>
      </w:r>
      <w:r w:rsidR="00C44F2C">
        <w:rPr>
          <w:rStyle w:val="xheading3char"/>
          <w:b w:val="0"/>
          <w:bCs w:val="0"/>
          <w:szCs w:val="24"/>
        </w:rPr>
        <w:t>&amp;</w:t>
      </w:r>
      <w:r w:rsidR="00822FA7">
        <w:rPr>
          <w:rStyle w:val="xheading3char"/>
          <w:b w:val="0"/>
          <w:bCs w:val="0"/>
          <w:szCs w:val="24"/>
        </w:rPr>
        <w:t xml:space="preserve"> Water / Agriculture, Forestry </w:t>
      </w:r>
      <w:r w:rsidR="00C44F2C">
        <w:rPr>
          <w:rStyle w:val="xheading3char"/>
          <w:b w:val="0"/>
          <w:bCs w:val="0"/>
          <w:szCs w:val="24"/>
        </w:rPr>
        <w:t>&amp;</w:t>
      </w:r>
      <w:r w:rsidR="00822FA7">
        <w:rPr>
          <w:rStyle w:val="xheading3char"/>
          <w:b w:val="0"/>
          <w:bCs w:val="0"/>
          <w:szCs w:val="24"/>
        </w:rPr>
        <w:t xml:space="preserve"> Water / Water Management </w:t>
      </w:r>
      <w:r w:rsidR="00C44F2C">
        <w:rPr>
          <w:rStyle w:val="xheading3char"/>
          <w:b w:val="0"/>
          <w:bCs w:val="0"/>
          <w:szCs w:val="24"/>
        </w:rPr>
        <w:t>&amp;</w:t>
      </w:r>
      <w:r w:rsidR="00822FA7">
        <w:rPr>
          <w:rStyle w:val="xheading3char"/>
          <w:b w:val="0"/>
          <w:bCs w:val="0"/>
          <w:szCs w:val="24"/>
        </w:rPr>
        <w:t xml:space="preserve"> Assessment</w:t>
      </w:r>
    </w:p>
    <w:p w14:paraId="28E31F15" w14:textId="31B8AD9A" w:rsidR="009D522C" w:rsidRPr="00E96058" w:rsidRDefault="00D627F0" w:rsidP="003E4A5D">
      <w:pPr>
        <w:tabs>
          <w:tab w:val="clear" w:pos="2835"/>
          <w:tab w:val="left" w:pos="3261"/>
        </w:tabs>
        <w:spacing w:line="240" w:lineRule="auto"/>
      </w:pPr>
      <w:r>
        <w:rPr>
          <w:rStyle w:val="Heading3Char"/>
        </w:rPr>
        <w:t>F</w:t>
      </w:r>
      <w:r w:rsidR="009D522C" w:rsidRPr="003951E9">
        <w:rPr>
          <w:rStyle w:val="Heading3Char"/>
        </w:rPr>
        <w:t>ull Time Equivalent (FTE):</w:t>
      </w:r>
      <w:r w:rsidR="009D522C" w:rsidRPr="00E96058">
        <w:tab/>
      </w:r>
      <w:r w:rsidR="00FF1453">
        <w:tab/>
      </w:r>
      <w:r w:rsidR="00FF1453">
        <w:tab/>
      </w:r>
      <w:r w:rsidR="0022222B">
        <w:t>1</w:t>
      </w:r>
      <w:r w:rsidR="00031BBF">
        <w:t>.0</w:t>
      </w:r>
      <w:r w:rsidR="0022222B">
        <w:t xml:space="preserve"> FTE (minimum 0.8 FTE</w:t>
      </w:r>
      <w:r w:rsidR="00073A6C">
        <w:t>, by negotiation</w:t>
      </w:r>
      <w:r w:rsidR="0022222B">
        <w:t>)</w:t>
      </w:r>
    </w:p>
    <w:p w14:paraId="28E31F16" w14:textId="1EACC02D" w:rsidR="009D522C" w:rsidRPr="00E96058" w:rsidRDefault="009D522C" w:rsidP="003E4A5D">
      <w:pPr>
        <w:tabs>
          <w:tab w:val="clear" w:pos="2835"/>
          <w:tab w:val="left" w:pos="3261"/>
        </w:tabs>
        <w:spacing w:line="240" w:lineRule="auto"/>
      </w:pPr>
      <w:r w:rsidRPr="003951E9">
        <w:rPr>
          <w:rStyle w:val="Heading3Char"/>
        </w:rPr>
        <w:t>Location:</w:t>
      </w:r>
      <w:r w:rsidR="00FE4F02">
        <w:tab/>
      </w:r>
      <w:r w:rsidR="00FF1453">
        <w:tab/>
      </w:r>
      <w:r w:rsidR="00FF1453">
        <w:tab/>
      </w:r>
      <w:r w:rsidR="00822FA7">
        <w:t>State-wide</w:t>
      </w:r>
    </w:p>
    <w:p w14:paraId="28E31F17" w14:textId="359E63B8" w:rsidR="009D522C" w:rsidRPr="00E96058" w:rsidRDefault="009D522C" w:rsidP="003E4A5D">
      <w:pPr>
        <w:tabs>
          <w:tab w:val="clear" w:pos="2835"/>
          <w:tab w:val="left" w:pos="3261"/>
        </w:tabs>
        <w:spacing w:line="240" w:lineRule="auto"/>
      </w:pPr>
      <w:r w:rsidRPr="003951E9">
        <w:rPr>
          <w:rStyle w:val="Heading3Char"/>
        </w:rPr>
        <w:t>Employment status:</w:t>
      </w:r>
      <w:r w:rsidRPr="00E96058">
        <w:tab/>
      </w:r>
      <w:r w:rsidR="00FF1453">
        <w:tab/>
      </w:r>
      <w:r w:rsidR="00FF1453">
        <w:tab/>
      </w:r>
      <w:r w:rsidR="0065543C">
        <w:t>Permanent</w:t>
      </w:r>
    </w:p>
    <w:p w14:paraId="28E31F18" w14:textId="5CB314DE" w:rsidR="009D522C" w:rsidRPr="00E96058" w:rsidRDefault="009D522C" w:rsidP="003E4A5D">
      <w:pPr>
        <w:tabs>
          <w:tab w:val="clear" w:pos="2835"/>
          <w:tab w:val="left" w:pos="3261"/>
        </w:tabs>
        <w:spacing w:line="240" w:lineRule="auto"/>
      </w:pPr>
      <w:r w:rsidRPr="003951E9">
        <w:rPr>
          <w:rStyle w:val="Heading3Char"/>
        </w:rPr>
        <w:t>Ordinary hours per week:</w:t>
      </w:r>
      <w:r w:rsidR="003951E9">
        <w:rPr>
          <w:rStyle w:val="Heading3Char"/>
        </w:rPr>
        <w:tab/>
      </w:r>
      <w:r w:rsidR="00FF1453">
        <w:rPr>
          <w:rStyle w:val="Heading3Char"/>
        </w:rPr>
        <w:tab/>
      </w:r>
      <w:r w:rsidR="00FF1453">
        <w:rPr>
          <w:rStyle w:val="Heading3Char"/>
        </w:rPr>
        <w:tab/>
      </w:r>
      <w:r w:rsidR="0022222B">
        <w:t>36.75 hours</w:t>
      </w:r>
      <w:r w:rsidR="00073A6C">
        <w:t xml:space="preserve"> (min. 29.4</w:t>
      </w:r>
      <w:r w:rsidR="00031BBF">
        <w:t xml:space="preserve"> hours</w:t>
      </w:r>
      <w:r w:rsidR="00073A6C">
        <w:t>, by negotiation)</w:t>
      </w:r>
    </w:p>
    <w:p w14:paraId="28E31F19" w14:textId="4053C8D2" w:rsidR="009D522C" w:rsidRPr="00E96058" w:rsidRDefault="009D522C" w:rsidP="003E4A5D">
      <w:pPr>
        <w:tabs>
          <w:tab w:val="clear" w:pos="2835"/>
          <w:tab w:val="left" w:pos="3261"/>
        </w:tabs>
        <w:spacing w:line="240" w:lineRule="auto"/>
      </w:pPr>
      <w:r w:rsidRPr="003951E9">
        <w:rPr>
          <w:rStyle w:val="Heading3Char"/>
        </w:rPr>
        <w:t>Supervisor:</w:t>
      </w:r>
      <w:r w:rsidRPr="00E96058">
        <w:tab/>
      </w:r>
      <w:r w:rsidR="00FF1453">
        <w:tab/>
      </w:r>
      <w:r w:rsidR="00FF1453">
        <w:tab/>
      </w:r>
      <w:r w:rsidR="0022222B">
        <w:t>Section Head - Ecohydrology</w:t>
      </w:r>
    </w:p>
    <w:p w14:paraId="28E31F1A" w14:textId="77777777" w:rsidR="00A27736" w:rsidRPr="00BB79E6" w:rsidRDefault="00A27736" w:rsidP="003E4A5D">
      <w:pPr>
        <w:pStyle w:val="Heading3"/>
        <w:pBdr>
          <w:top w:val="single" w:sz="4" w:space="1" w:color="auto"/>
        </w:pBdr>
        <w:spacing w:before="0" w:after="0" w:line="240" w:lineRule="auto"/>
        <w:rPr>
          <w:b w:val="0"/>
          <w:sz w:val="22"/>
        </w:rPr>
      </w:pPr>
    </w:p>
    <w:p w14:paraId="28E31F1B" w14:textId="77777777" w:rsidR="00CD42F8" w:rsidRPr="00A4574A" w:rsidRDefault="00CD42F8" w:rsidP="00A12351">
      <w:pPr>
        <w:tabs>
          <w:tab w:val="left" w:pos="2977"/>
          <w:tab w:val="left" w:pos="3686"/>
          <w:tab w:val="left" w:pos="5103"/>
          <w:tab w:val="left" w:pos="5812"/>
          <w:tab w:val="left" w:pos="7088"/>
        </w:tabs>
        <w:spacing w:before="0" w:line="240" w:lineRule="auto"/>
        <w:jc w:val="both"/>
        <w:rPr>
          <w:rFonts w:cs="Arial"/>
          <w:b/>
          <w:szCs w:val="24"/>
        </w:rPr>
      </w:pPr>
      <w:r w:rsidRPr="00A4574A">
        <w:rPr>
          <w:rFonts w:cs="Arial"/>
          <w:b/>
          <w:szCs w:val="24"/>
        </w:rPr>
        <w:t>Position Objective</w:t>
      </w:r>
    </w:p>
    <w:p w14:paraId="47A45516" w14:textId="607A732D" w:rsidR="00D313AD" w:rsidRDefault="007A4FEA" w:rsidP="00A12351">
      <w:pPr>
        <w:tabs>
          <w:tab w:val="clear" w:pos="2835"/>
          <w:tab w:val="center" w:pos="4513"/>
        </w:tabs>
        <w:spacing w:before="240" w:line="240" w:lineRule="auto"/>
        <w:jc w:val="both"/>
      </w:pPr>
      <w:r>
        <w:t>T</w:t>
      </w:r>
      <w:r w:rsidR="00D313AD" w:rsidRPr="00F47CA0">
        <w:t xml:space="preserve">o undertake </w:t>
      </w:r>
      <w:r w:rsidR="00F47CA0" w:rsidRPr="00AD14A0">
        <w:t xml:space="preserve">scientific </w:t>
      </w:r>
      <w:r w:rsidR="00D313AD" w:rsidRPr="00F47CA0">
        <w:t xml:space="preserve">analysis and reporting on </w:t>
      </w:r>
      <w:r w:rsidR="00EE2E8C" w:rsidRPr="00F47CA0">
        <w:t xml:space="preserve">Tasmania’s </w:t>
      </w:r>
      <w:r w:rsidR="00D313AD" w:rsidRPr="00F47CA0">
        <w:t>water resources</w:t>
      </w:r>
      <w:r w:rsidR="0065543C">
        <w:t>, river health</w:t>
      </w:r>
      <w:r w:rsidR="00D313AD" w:rsidRPr="00F47CA0">
        <w:t xml:space="preserve"> </w:t>
      </w:r>
      <w:r w:rsidR="00EE2E8C" w:rsidRPr="00F47CA0">
        <w:t>and catchments</w:t>
      </w:r>
      <w:r w:rsidR="00F47CA0" w:rsidRPr="00F47CA0">
        <w:t xml:space="preserve"> and to provide science-based advice </w:t>
      </w:r>
      <w:r w:rsidR="00D313AD" w:rsidRPr="00F47CA0">
        <w:t>to support the implementation of the Rural Water Use Strategy including the River Health Advisory Project</w:t>
      </w:r>
      <w:r w:rsidR="00F47CA0" w:rsidRPr="00F47CA0">
        <w:t xml:space="preserve"> and other policy and program initiatives</w:t>
      </w:r>
      <w:r w:rsidR="00D313AD" w:rsidRPr="00F47CA0">
        <w:t xml:space="preserve">. The position provides fit-for-purpose information and advice to ensure Tasmania’s water resources are managed </w:t>
      </w:r>
      <w:r w:rsidR="00F47CA0" w:rsidRPr="00F47CA0">
        <w:t>sustainably</w:t>
      </w:r>
      <w:r w:rsidR="00D313AD" w:rsidRPr="00F47CA0">
        <w:t xml:space="preserve"> to support the continued prosperity and development of t</w:t>
      </w:r>
      <w:r w:rsidR="00D313AD" w:rsidRPr="00253F21">
        <w:t>he State’s industries and the community’s standard of living.</w:t>
      </w:r>
    </w:p>
    <w:p w14:paraId="28E31F1E" w14:textId="4F4C92B0" w:rsidR="00CD42F8" w:rsidRPr="00A4574A" w:rsidRDefault="00FE4F02" w:rsidP="00A12351">
      <w:pPr>
        <w:tabs>
          <w:tab w:val="clear" w:pos="2835"/>
          <w:tab w:val="center" w:pos="4513"/>
        </w:tabs>
        <w:spacing w:before="240" w:line="240" w:lineRule="auto"/>
        <w:jc w:val="both"/>
        <w:rPr>
          <w:rFonts w:cs="Arial"/>
          <w:b/>
          <w:szCs w:val="24"/>
        </w:rPr>
      </w:pPr>
      <w:r>
        <w:rPr>
          <w:rFonts w:cs="Arial"/>
          <w:b/>
          <w:szCs w:val="24"/>
        </w:rPr>
        <w:t>Major Duties</w:t>
      </w:r>
    </w:p>
    <w:p w14:paraId="7D77EE80" w14:textId="77777777" w:rsidR="003D4108" w:rsidRPr="00D313AD" w:rsidRDefault="003D4108" w:rsidP="00E1366B">
      <w:pPr>
        <w:pStyle w:val="ListParagraph"/>
        <w:numPr>
          <w:ilvl w:val="0"/>
          <w:numId w:val="5"/>
        </w:numPr>
        <w:tabs>
          <w:tab w:val="left" w:pos="2977"/>
          <w:tab w:val="left" w:pos="3686"/>
          <w:tab w:val="left" w:pos="5103"/>
          <w:tab w:val="left" w:pos="5812"/>
          <w:tab w:val="left" w:pos="7088"/>
        </w:tabs>
        <w:spacing w:before="80" w:after="80" w:line="240" w:lineRule="auto"/>
        <w:ind w:left="357" w:hanging="357"/>
        <w:contextualSpacing w:val="0"/>
        <w:jc w:val="both"/>
        <w:rPr>
          <w:rFonts w:cs="Arial"/>
          <w:iCs/>
          <w:szCs w:val="24"/>
        </w:rPr>
      </w:pPr>
      <w:r w:rsidRPr="00D313AD">
        <w:rPr>
          <w:rFonts w:cs="Arial"/>
          <w:iCs/>
          <w:szCs w:val="24"/>
        </w:rPr>
        <w:t>In close collaboration with the Ecohydrology section staff</w:t>
      </w:r>
      <w:r>
        <w:rPr>
          <w:rFonts w:cs="Arial"/>
          <w:iCs/>
          <w:szCs w:val="24"/>
        </w:rPr>
        <w:t>,</w:t>
      </w:r>
      <w:r w:rsidRPr="00D313AD">
        <w:rPr>
          <w:rFonts w:cs="Arial"/>
          <w:iCs/>
          <w:szCs w:val="24"/>
        </w:rPr>
        <w:t xml:space="preserve"> work within multi-disciplinary teams to design and plan work programs and develop project applications to </w:t>
      </w:r>
      <w:r>
        <w:rPr>
          <w:rFonts w:cs="Arial"/>
          <w:iCs/>
          <w:szCs w:val="24"/>
        </w:rPr>
        <w:t>support implementation of the Rural Water Use Strategy and the River Health Advisory Project</w:t>
      </w:r>
      <w:r w:rsidRPr="00D313AD">
        <w:rPr>
          <w:rFonts w:cs="Arial"/>
          <w:iCs/>
          <w:szCs w:val="24"/>
        </w:rPr>
        <w:t>.</w:t>
      </w:r>
    </w:p>
    <w:p w14:paraId="500C7449" w14:textId="06CBF36D" w:rsidR="00D313AD" w:rsidRDefault="00D313AD" w:rsidP="00E1366B">
      <w:pPr>
        <w:pStyle w:val="ListParagraph"/>
        <w:numPr>
          <w:ilvl w:val="0"/>
          <w:numId w:val="5"/>
        </w:numPr>
        <w:tabs>
          <w:tab w:val="left" w:pos="2977"/>
          <w:tab w:val="left" w:pos="3686"/>
          <w:tab w:val="left" w:pos="5103"/>
          <w:tab w:val="left" w:pos="5812"/>
          <w:tab w:val="left" w:pos="7088"/>
        </w:tabs>
        <w:spacing w:before="80" w:after="80" w:line="240" w:lineRule="auto"/>
        <w:ind w:left="357" w:hanging="357"/>
        <w:contextualSpacing w:val="0"/>
        <w:jc w:val="both"/>
        <w:rPr>
          <w:rFonts w:cs="Arial"/>
          <w:iCs/>
          <w:szCs w:val="24"/>
        </w:rPr>
      </w:pPr>
      <w:r w:rsidRPr="00D313AD">
        <w:rPr>
          <w:rFonts w:cs="Arial"/>
          <w:iCs/>
          <w:szCs w:val="24"/>
        </w:rPr>
        <w:t xml:space="preserve">Undertake </w:t>
      </w:r>
      <w:r w:rsidR="00EE2E8C">
        <w:rPr>
          <w:rFonts w:cs="Arial"/>
          <w:iCs/>
          <w:szCs w:val="24"/>
        </w:rPr>
        <w:t>water resource and catchment science</w:t>
      </w:r>
      <w:r w:rsidRPr="00D313AD">
        <w:rPr>
          <w:rFonts w:cs="Arial"/>
          <w:iCs/>
          <w:szCs w:val="24"/>
        </w:rPr>
        <w:t xml:space="preserve"> research</w:t>
      </w:r>
      <w:r w:rsidR="00D41742">
        <w:rPr>
          <w:rFonts w:cs="Arial"/>
          <w:iCs/>
          <w:szCs w:val="24"/>
        </w:rPr>
        <w:t>,</w:t>
      </w:r>
      <w:r w:rsidR="00073A6C">
        <w:rPr>
          <w:rFonts w:cs="Arial"/>
          <w:iCs/>
          <w:szCs w:val="24"/>
        </w:rPr>
        <w:t xml:space="preserve"> provide </w:t>
      </w:r>
      <w:r w:rsidR="00D41742">
        <w:rPr>
          <w:rFonts w:cs="Arial"/>
          <w:iCs/>
          <w:szCs w:val="24"/>
        </w:rPr>
        <w:t>policy advice</w:t>
      </w:r>
      <w:r w:rsidR="00EE2E8C">
        <w:rPr>
          <w:rFonts w:cs="Arial"/>
          <w:iCs/>
          <w:szCs w:val="24"/>
        </w:rPr>
        <w:t xml:space="preserve"> and reporting to support implementation of the Rural Water Use Strategy. </w:t>
      </w:r>
    </w:p>
    <w:p w14:paraId="42222C96" w14:textId="5C9BF322" w:rsidR="005E379E" w:rsidRPr="00AD14A0" w:rsidRDefault="005E379E" w:rsidP="00E1366B">
      <w:pPr>
        <w:pStyle w:val="ListParagraph"/>
        <w:numPr>
          <w:ilvl w:val="0"/>
          <w:numId w:val="5"/>
        </w:numPr>
        <w:tabs>
          <w:tab w:val="left" w:pos="2977"/>
          <w:tab w:val="left" w:pos="3686"/>
          <w:tab w:val="left" w:pos="5103"/>
          <w:tab w:val="left" w:pos="5812"/>
          <w:tab w:val="left" w:pos="7088"/>
        </w:tabs>
        <w:spacing w:before="80" w:after="80" w:line="240" w:lineRule="auto"/>
        <w:ind w:left="357" w:hanging="357"/>
        <w:contextualSpacing w:val="0"/>
        <w:jc w:val="both"/>
        <w:rPr>
          <w:rFonts w:cs="Arial"/>
          <w:i/>
          <w:color w:val="0070C0"/>
          <w:szCs w:val="24"/>
        </w:rPr>
      </w:pPr>
      <w:r>
        <w:rPr>
          <w:rFonts w:cs="Arial"/>
          <w:iCs/>
          <w:szCs w:val="24"/>
        </w:rPr>
        <w:t>In partnership with other staff from the Water Resources group, work proactively with industry and other stakeholders to identify opportunities to enhance Rural Water Use Strategy implementation program outcomes through information sharing and collaboration.</w:t>
      </w:r>
    </w:p>
    <w:p w14:paraId="150E8F9A" w14:textId="71984EAB" w:rsidR="00D313AD" w:rsidRPr="00D313AD" w:rsidRDefault="00D313AD" w:rsidP="00E1366B">
      <w:pPr>
        <w:pStyle w:val="ListParagraph"/>
        <w:numPr>
          <w:ilvl w:val="0"/>
          <w:numId w:val="5"/>
        </w:numPr>
        <w:tabs>
          <w:tab w:val="left" w:pos="2977"/>
          <w:tab w:val="left" w:pos="3686"/>
          <w:tab w:val="left" w:pos="5103"/>
          <w:tab w:val="left" w:pos="5812"/>
          <w:tab w:val="left" w:pos="7088"/>
        </w:tabs>
        <w:spacing w:before="80" w:after="80" w:line="240" w:lineRule="auto"/>
        <w:ind w:left="357" w:hanging="357"/>
        <w:contextualSpacing w:val="0"/>
        <w:jc w:val="both"/>
        <w:rPr>
          <w:rFonts w:cs="Arial"/>
          <w:iCs/>
          <w:szCs w:val="24"/>
        </w:rPr>
      </w:pPr>
      <w:r w:rsidRPr="00D313AD">
        <w:rPr>
          <w:rFonts w:cs="Arial"/>
          <w:iCs/>
          <w:szCs w:val="24"/>
        </w:rPr>
        <w:t xml:space="preserve">Establish and maintain knowledge of the policy and strategic context relevant to the wider water assessment, planning, management, and resource development goals of the Division, and </w:t>
      </w:r>
      <w:r w:rsidR="00A726E9">
        <w:rPr>
          <w:rFonts w:cs="Arial"/>
          <w:iCs/>
          <w:szCs w:val="24"/>
        </w:rPr>
        <w:t>in collaboration with staff from across the Water Resources Group, develop</w:t>
      </w:r>
      <w:r w:rsidRPr="00D313AD">
        <w:rPr>
          <w:rFonts w:cs="Arial"/>
          <w:iCs/>
          <w:szCs w:val="24"/>
        </w:rPr>
        <w:t xml:space="preserve"> authoritative and professional advice on relevant </w:t>
      </w:r>
      <w:r w:rsidR="00EE2E8C">
        <w:rPr>
          <w:rFonts w:cs="Arial"/>
          <w:iCs/>
          <w:szCs w:val="24"/>
        </w:rPr>
        <w:t>water resource management and catchment science issues to inform policy and project delivery under the Rural Water Use Strategy Implementation program</w:t>
      </w:r>
      <w:r w:rsidRPr="00D313AD">
        <w:rPr>
          <w:rFonts w:cs="Arial"/>
          <w:iCs/>
          <w:szCs w:val="24"/>
        </w:rPr>
        <w:t>.</w:t>
      </w:r>
    </w:p>
    <w:p w14:paraId="436B1AAA" w14:textId="54D30385" w:rsidR="00A726E9" w:rsidRPr="009B1D9F" w:rsidRDefault="00A726E9" w:rsidP="00E1366B">
      <w:pPr>
        <w:pStyle w:val="ListParagraph"/>
        <w:numPr>
          <w:ilvl w:val="0"/>
          <w:numId w:val="5"/>
        </w:numPr>
        <w:tabs>
          <w:tab w:val="left" w:pos="2977"/>
          <w:tab w:val="left" w:pos="3686"/>
          <w:tab w:val="left" w:pos="5103"/>
          <w:tab w:val="left" w:pos="5812"/>
          <w:tab w:val="left" w:pos="7088"/>
        </w:tabs>
        <w:spacing w:before="80" w:after="80" w:line="240" w:lineRule="auto"/>
        <w:ind w:left="357" w:hanging="357"/>
        <w:contextualSpacing w:val="0"/>
        <w:jc w:val="both"/>
        <w:rPr>
          <w:rFonts w:cs="Arial"/>
          <w:iCs/>
          <w:color w:val="0070C0"/>
          <w:szCs w:val="24"/>
        </w:rPr>
      </w:pPr>
      <w:r w:rsidRPr="00A726E9">
        <w:rPr>
          <w:rFonts w:cs="Arial"/>
          <w:iCs/>
          <w:szCs w:val="24"/>
        </w:rPr>
        <w:lastRenderedPageBreak/>
        <w:t xml:space="preserve">Proactively partner with other Water Resources Group staff to </w:t>
      </w:r>
      <w:r>
        <w:rPr>
          <w:rFonts w:cs="Arial"/>
          <w:iCs/>
          <w:szCs w:val="24"/>
        </w:rPr>
        <w:t xml:space="preserve">support delivery of priority </w:t>
      </w:r>
      <w:r w:rsidR="0022222B">
        <w:rPr>
          <w:rFonts w:cs="Arial"/>
          <w:iCs/>
          <w:szCs w:val="24"/>
        </w:rPr>
        <w:t xml:space="preserve">communication and </w:t>
      </w:r>
      <w:r w:rsidRPr="00A726E9">
        <w:rPr>
          <w:rFonts w:cs="Arial"/>
          <w:iCs/>
          <w:szCs w:val="24"/>
        </w:rPr>
        <w:t xml:space="preserve">engagement activities and initiatives, and to enhance the </w:t>
      </w:r>
      <w:r w:rsidRPr="009B1D9F">
        <w:rPr>
          <w:rFonts w:cs="Arial"/>
          <w:iCs/>
          <w:szCs w:val="24"/>
        </w:rPr>
        <w:t xml:space="preserve">accessibility of water management </w:t>
      </w:r>
      <w:r w:rsidR="00C67C18" w:rsidRPr="009B1D9F">
        <w:rPr>
          <w:rFonts w:cs="Arial"/>
          <w:iCs/>
          <w:szCs w:val="24"/>
        </w:rPr>
        <w:t xml:space="preserve">data </w:t>
      </w:r>
      <w:r w:rsidR="003D4108" w:rsidRPr="009B1D9F">
        <w:rPr>
          <w:rFonts w:cs="Arial"/>
          <w:iCs/>
          <w:szCs w:val="24"/>
        </w:rPr>
        <w:t>and science</w:t>
      </w:r>
      <w:r w:rsidRPr="009B1D9F">
        <w:rPr>
          <w:rFonts w:cs="Arial"/>
          <w:iCs/>
          <w:szCs w:val="24"/>
        </w:rPr>
        <w:t>.</w:t>
      </w:r>
    </w:p>
    <w:p w14:paraId="2B252FC8" w14:textId="5E606388" w:rsidR="009B1D9F" w:rsidRPr="009B1D9F" w:rsidRDefault="009B1D9F" w:rsidP="00E1366B">
      <w:pPr>
        <w:pStyle w:val="ListParagraph"/>
        <w:numPr>
          <w:ilvl w:val="0"/>
          <w:numId w:val="5"/>
        </w:numPr>
        <w:tabs>
          <w:tab w:val="left" w:pos="2977"/>
          <w:tab w:val="left" w:pos="3686"/>
          <w:tab w:val="left" w:pos="5103"/>
          <w:tab w:val="left" w:pos="5812"/>
          <w:tab w:val="left" w:pos="7088"/>
        </w:tabs>
        <w:spacing w:before="80" w:after="80" w:line="240" w:lineRule="auto"/>
        <w:jc w:val="both"/>
        <w:rPr>
          <w:rFonts w:cs="Arial"/>
          <w:iCs/>
          <w:szCs w:val="24"/>
        </w:rPr>
      </w:pPr>
      <w:r w:rsidRPr="009B1D9F">
        <w:rPr>
          <w:rFonts w:cs="Arial"/>
          <w:iCs/>
          <w:szCs w:val="24"/>
        </w:rPr>
        <w:t xml:space="preserve">Apply suitable and robust scientific methods to the integrated development and management of knowledge, databases, tools, </w:t>
      </w:r>
      <w:proofErr w:type="gramStart"/>
      <w:r w:rsidRPr="009B1D9F">
        <w:rPr>
          <w:rFonts w:cs="Arial"/>
          <w:iCs/>
          <w:szCs w:val="24"/>
        </w:rPr>
        <w:t>modelling</w:t>
      </w:r>
      <w:proofErr w:type="gramEnd"/>
      <w:r w:rsidRPr="009B1D9F">
        <w:rPr>
          <w:rFonts w:cs="Arial"/>
          <w:iCs/>
          <w:szCs w:val="24"/>
        </w:rPr>
        <w:t xml:space="preserve"> and techniques related to understanding catchment processes, river health and water resource and integrated catchment management; and</w:t>
      </w:r>
    </w:p>
    <w:p w14:paraId="5A6788B4" w14:textId="77777777" w:rsidR="009B1D9F" w:rsidRPr="009B1D9F" w:rsidRDefault="009B1D9F" w:rsidP="00E1366B">
      <w:pPr>
        <w:pStyle w:val="ListParagraph"/>
        <w:tabs>
          <w:tab w:val="left" w:pos="2977"/>
          <w:tab w:val="left" w:pos="3686"/>
          <w:tab w:val="left" w:pos="5103"/>
          <w:tab w:val="left" w:pos="5812"/>
          <w:tab w:val="left" w:pos="7088"/>
        </w:tabs>
        <w:spacing w:before="80" w:after="80" w:line="240" w:lineRule="auto"/>
        <w:ind w:left="360"/>
        <w:jc w:val="both"/>
        <w:rPr>
          <w:rFonts w:cs="Arial"/>
          <w:iCs/>
          <w:color w:val="0070C0"/>
          <w:szCs w:val="24"/>
        </w:rPr>
      </w:pPr>
    </w:p>
    <w:p w14:paraId="28E31F22" w14:textId="36F3D625" w:rsidR="00642E5D" w:rsidRPr="00A4574A" w:rsidRDefault="00CD42F8" w:rsidP="00E1366B">
      <w:pPr>
        <w:pStyle w:val="ListParagraph"/>
        <w:numPr>
          <w:ilvl w:val="0"/>
          <w:numId w:val="5"/>
        </w:numPr>
        <w:tabs>
          <w:tab w:val="left" w:pos="2977"/>
          <w:tab w:val="left" w:pos="3686"/>
          <w:tab w:val="left" w:pos="5103"/>
          <w:tab w:val="left" w:pos="5812"/>
          <w:tab w:val="left" w:pos="7088"/>
        </w:tabs>
        <w:spacing w:before="80" w:after="80" w:line="240" w:lineRule="auto"/>
        <w:ind w:left="357" w:hanging="357"/>
        <w:contextualSpacing w:val="0"/>
        <w:jc w:val="both"/>
        <w:rPr>
          <w:rFonts w:cs="Arial"/>
          <w:i/>
          <w:color w:val="0070C0"/>
          <w:szCs w:val="24"/>
        </w:rPr>
      </w:pPr>
      <w:r w:rsidRPr="00A4574A">
        <w:rPr>
          <w:szCs w:val="24"/>
        </w:rPr>
        <w:t>Perform any other assigned duties at the classification level that are within the employee’s competence and training.</w:t>
      </w:r>
    </w:p>
    <w:p w14:paraId="28E31F23" w14:textId="77777777" w:rsidR="00965A0F" w:rsidRPr="00A4574A" w:rsidRDefault="00965A0F" w:rsidP="00A12351">
      <w:pPr>
        <w:tabs>
          <w:tab w:val="left" w:pos="2977"/>
          <w:tab w:val="left" w:pos="3686"/>
          <w:tab w:val="left" w:pos="5103"/>
          <w:tab w:val="left" w:pos="5812"/>
          <w:tab w:val="left" w:pos="7088"/>
        </w:tabs>
        <w:spacing w:line="240" w:lineRule="auto"/>
        <w:jc w:val="both"/>
        <w:rPr>
          <w:rFonts w:cs="Arial"/>
          <w:b/>
          <w:szCs w:val="24"/>
        </w:rPr>
      </w:pPr>
      <w:r w:rsidRPr="00A4574A">
        <w:rPr>
          <w:rFonts w:cs="Arial"/>
          <w:b/>
          <w:szCs w:val="24"/>
        </w:rPr>
        <w:t>Classification Band Advanced Assessment Point</w:t>
      </w:r>
    </w:p>
    <w:p w14:paraId="28E31F24" w14:textId="77777777" w:rsidR="00965A0F" w:rsidRPr="00A4574A" w:rsidRDefault="00965A0F" w:rsidP="00FE4F02">
      <w:pPr>
        <w:tabs>
          <w:tab w:val="left" w:pos="2977"/>
          <w:tab w:val="left" w:pos="3686"/>
          <w:tab w:val="left" w:pos="5103"/>
          <w:tab w:val="left" w:pos="5812"/>
          <w:tab w:val="left" w:pos="7088"/>
        </w:tabs>
        <w:spacing w:after="240" w:line="240" w:lineRule="auto"/>
        <w:jc w:val="both"/>
        <w:rPr>
          <w:rFonts w:cs="Arial"/>
          <w:szCs w:val="24"/>
        </w:rPr>
      </w:pPr>
      <w:r w:rsidRPr="00A4574A">
        <w:rPr>
          <w:rFonts w:cs="Arial"/>
          <w:szCs w:val="24"/>
        </w:rPr>
        <w:t>The classification of this position under the Tasmanian State Service Award provides the opportunity for its current occupant to advance from Range 1 to Range 2 within the same Band. Performance requirements at the upper end of the band are expected to be more challenging and assessment criteria are expected to be more rigorous than those that apply to normal salary progression. Employees are to have served at least six months at their current salary level prior to the salary movement and are assessed as meeting the performance criteria of their Performance Plan to at least a satisfactory level.</w:t>
      </w:r>
    </w:p>
    <w:p w14:paraId="28E31F25" w14:textId="3DDD2D31" w:rsidR="00CD42F8" w:rsidRPr="00A4574A" w:rsidRDefault="00CD42F8" w:rsidP="00A12351">
      <w:pPr>
        <w:tabs>
          <w:tab w:val="clear" w:pos="2835"/>
          <w:tab w:val="left" w:pos="2977"/>
          <w:tab w:val="left" w:pos="3686"/>
          <w:tab w:val="left" w:pos="5103"/>
          <w:tab w:val="left" w:pos="5812"/>
          <w:tab w:val="left" w:pos="7088"/>
        </w:tabs>
        <w:spacing w:before="0" w:after="0" w:line="240" w:lineRule="auto"/>
        <w:jc w:val="both"/>
        <w:rPr>
          <w:rFonts w:cs="Arial"/>
          <w:b/>
          <w:szCs w:val="24"/>
        </w:rPr>
      </w:pPr>
      <w:r w:rsidRPr="00A4574A">
        <w:rPr>
          <w:rFonts w:cs="Arial"/>
          <w:b/>
          <w:szCs w:val="24"/>
        </w:rPr>
        <w:t>Responsibility, Dec</w:t>
      </w:r>
      <w:r w:rsidR="002533F2" w:rsidRPr="00A4574A">
        <w:rPr>
          <w:rFonts w:cs="Arial"/>
          <w:b/>
          <w:szCs w:val="24"/>
        </w:rPr>
        <w:t>ision-Making and Direction Recei</w:t>
      </w:r>
      <w:r w:rsidRPr="00A4574A">
        <w:rPr>
          <w:rFonts w:cs="Arial"/>
          <w:b/>
          <w:szCs w:val="24"/>
        </w:rPr>
        <w:t>ved</w:t>
      </w:r>
    </w:p>
    <w:p w14:paraId="28E31F27" w14:textId="77777777" w:rsidR="00CD42F8" w:rsidRPr="00A4574A" w:rsidRDefault="00CD42F8" w:rsidP="00A12351">
      <w:pPr>
        <w:spacing w:before="60" w:line="240" w:lineRule="auto"/>
        <w:jc w:val="both"/>
        <w:rPr>
          <w:rFonts w:cs="Arial"/>
          <w:szCs w:val="24"/>
        </w:rPr>
      </w:pPr>
      <w:r w:rsidRPr="00A4574A">
        <w:rPr>
          <w:rFonts w:cs="Arial"/>
          <w:szCs w:val="24"/>
        </w:rPr>
        <w:t>The occupant of the position is responsible for:</w:t>
      </w:r>
    </w:p>
    <w:p w14:paraId="5B86C6F8" w14:textId="77777777" w:rsidR="00817F04" w:rsidRPr="00E1366B" w:rsidRDefault="00817F04" w:rsidP="00E1366B">
      <w:pPr>
        <w:pStyle w:val="ListParagraph"/>
        <w:numPr>
          <w:ilvl w:val="0"/>
          <w:numId w:val="5"/>
        </w:numPr>
        <w:tabs>
          <w:tab w:val="left" w:pos="2977"/>
          <w:tab w:val="left" w:pos="3686"/>
          <w:tab w:val="left" w:pos="5103"/>
          <w:tab w:val="left" w:pos="5812"/>
          <w:tab w:val="left" w:pos="7088"/>
        </w:tabs>
        <w:spacing w:before="80" w:after="80" w:line="240" w:lineRule="auto"/>
        <w:ind w:left="357" w:hanging="357"/>
        <w:contextualSpacing w:val="0"/>
        <w:jc w:val="both"/>
        <w:rPr>
          <w:rFonts w:cs="Arial"/>
          <w:iCs/>
          <w:szCs w:val="24"/>
        </w:rPr>
      </w:pPr>
      <w:r w:rsidRPr="00E1366B">
        <w:rPr>
          <w:rFonts w:cs="Arial"/>
          <w:iCs/>
          <w:szCs w:val="24"/>
        </w:rPr>
        <w:t xml:space="preserve">implementing policies, regulations and plans to provide efficient and effective program or service delivery </w:t>
      </w:r>
      <w:proofErr w:type="gramStart"/>
      <w:r w:rsidRPr="00E1366B">
        <w:rPr>
          <w:rFonts w:cs="Arial"/>
          <w:iCs/>
          <w:szCs w:val="24"/>
        </w:rPr>
        <w:t>outcomes;</w:t>
      </w:r>
      <w:proofErr w:type="gramEnd"/>
    </w:p>
    <w:p w14:paraId="5C8C0184" w14:textId="77777777" w:rsidR="00817F04" w:rsidRPr="00E1366B" w:rsidRDefault="00817F04" w:rsidP="00E1366B">
      <w:pPr>
        <w:pStyle w:val="ListParagraph"/>
        <w:numPr>
          <w:ilvl w:val="0"/>
          <w:numId w:val="5"/>
        </w:numPr>
        <w:tabs>
          <w:tab w:val="left" w:pos="2977"/>
          <w:tab w:val="left" w:pos="3686"/>
          <w:tab w:val="left" w:pos="5103"/>
          <w:tab w:val="left" w:pos="5812"/>
          <w:tab w:val="left" w:pos="7088"/>
        </w:tabs>
        <w:spacing w:before="80" w:after="80" w:line="240" w:lineRule="auto"/>
        <w:ind w:left="357" w:hanging="357"/>
        <w:contextualSpacing w:val="0"/>
        <w:jc w:val="both"/>
        <w:rPr>
          <w:rFonts w:cs="Arial"/>
          <w:iCs/>
          <w:szCs w:val="24"/>
        </w:rPr>
      </w:pPr>
      <w:r w:rsidRPr="00E1366B">
        <w:rPr>
          <w:rFonts w:cs="Arial"/>
          <w:iCs/>
          <w:szCs w:val="24"/>
        </w:rPr>
        <w:t xml:space="preserve">management and/or quality control of outcomes, processes, systems, resources, </w:t>
      </w:r>
      <w:proofErr w:type="gramStart"/>
      <w:r w:rsidRPr="00E1366B">
        <w:rPr>
          <w:rFonts w:cs="Arial"/>
          <w:iCs/>
          <w:szCs w:val="24"/>
        </w:rPr>
        <w:t>assets</w:t>
      </w:r>
      <w:proofErr w:type="gramEnd"/>
      <w:r w:rsidRPr="00E1366B">
        <w:rPr>
          <w:rFonts w:cs="Arial"/>
          <w:iCs/>
          <w:szCs w:val="24"/>
        </w:rPr>
        <w:t xml:space="preserve"> and infrastructure.  This includes managing the performance of subordinate </w:t>
      </w:r>
      <w:proofErr w:type="gramStart"/>
      <w:r w:rsidRPr="00E1366B">
        <w:rPr>
          <w:rFonts w:cs="Arial"/>
          <w:iCs/>
          <w:szCs w:val="24"/>
        </w:rPr>
        <w:t>staff;</w:t>
      </w:r>
      <w:proofErr w:type="gramEnd"/>
    </w:p>
    <w:p w14:paraId="0223149A" w14:textId="77777777" w:rsidR="00817F04" w:rsidRPr="00E1366B" w:rsidRDefault="00817F04" w:rsidP="00E1366B">
      <w:pPr>
        <w:pStyle w:val="ListParagraph"/>
        <w:numPr>
          <w:ilvl w:val="0"/>
          <w:numId w:val="5"/>
        </w:numPr>
        <w:tabs>
          <w:tab w:val="left" w:pos="2977"/>
          <w:tab w:val="left" w:pos="3686"/>
          <w:tab w:val="left" w:pos="5103"/>
          <w:tab w:val="left" w:pos="5812"/>
          <w:tab w:val="left" w:pos="7088"/>
        </w:tabs>
        <w:spacing w:before="80" w:after="80" w:line="240" w:lineRule="auto"/>
        <w:ind w:left="357" w:hanging="357"/>
        <w:contextualSpacing w:val="0"/>
        <w:jc w:val="both"/>
        <w:rPr>
          <w:rFonts w:cs="Arial"/>
          <w:iCs/>
          <w:szCs w:val="24"/>
        </w:rPr>
      </w:pPr>
      <w:r w:rsidRPr="00E1366B">
        <w:rPr>
          <w:rFonts w:cs="Arial"/>
          <w:iCs/>
          <w:szCs w:val="24"/>
        </w:rPr>
        <w:t>providing advice on the application of policy to systems and processes in meeting specified program objectives; and</w:t>
      </w:r>
    </w:p>
    <w:p w14:paraId="532BAAB7" w14:textId="62369284" w:rsidR="00FE4F02" w:rsidRPr="00E1366B" w:rsidRDefault="00CD42F8" w:rsidP="00E1366B">
      <w:pPr>
        <w:pStyle w:val="ListParagraph"/>
        <w:numPr>
          <w:ilvl w:val="0"/>
          <w:numId w:val="5"/>
        </w:numPr>
        <w:tabs>
          <w:tab w:val="left" w:pos="2977"/>
          <w:tab w:val="left" w:pos="3686"/>
          <w:tab w:val="left" w:pos="5103"/>
          <w:tab w:val="left" w:pos="5812"/>
          <w:tab w:val="left" w:pos="7088"/>
        </w:tabs>
        <w:spacing w:before="80" w:after="80" w:line="240" w:lineRule="auto"/>
        <w:ind w:left="357" w:hanging="357"/>
        <w:contextualSpacing w:val="0"/>
        <w:jc w:val="both"/>
        <w:rPr>
          <w:rFonts w:cs="Arial"/>
          <w:iCs/>
          <w:szCs w:val="24"/>
        </w:rPr>
      </w:pPr>
      <w:r w:rsidRPr="00E1366B">
        <w:rPr>
          <w:rFonts w:cs="Arial"/>
          <w:iCs/>
          <w:szCs w:val="24"/>
        </w:rPr>
        <w:t>ensuring a safe working environment by complying with relevant Work Health and Safety (WHS) legislation, codes of practice and policies, procedures and guidelines issued under the Department’s WHS Management System.</w:t>
      </w:r>
    </w:p>
    <w:p w14:paraId="28E31F2C" w14:textId="47210A24" w:rsidR="00CD42F8" w:rsidRPr="00A4574A" w:rsidRDefault="00CD42F8" w:rsidP="00FE4F02">
      <w:pPr>
        <w:widowControl w:val="0"/>
        <w:spacing w:before="240" w:after="0" w:line="240" w:lineRule="auto"/>
        <w:jc w:val="both"/>
        <w:rPr>
          <w:color w:val="000000"/>
          <w:szCs w:val="24"/>
        </w:rPr>
      </w:pPr>
      <w:r w:rsidRPr="00A4574A">
        <w:rPr>
          <w:color w:val="000000"/>
          <w:szCs w:val="24"/>
        </w:rPr>
        <w:t>The decision making and direction received in relation to the role are</w:t>
      </w:r>
      <w:r w:rsidR="00FE4F02">
        <w:rPr>
          <w:color w:val="000000"/>
          <w:szCs w:val="24"/>
        </w:rPr>
        <w:t xml:space="preserve"> that</w:t>
      </w:r>
      <w:r w:rsidRPr="00A4574A">
        <w:rPr>
          <w:color w:val="000000"/>
          <w:szCs w:val="24"/>
        </w:rPr>
        <w:t>:</w:t>
      </w:r>
    </w:p>
    <w:p w14:paraId="28E31F2D" w14:textId="402C3B61" w:rsidR="00965A0F" w:rsidRPr="00E1366B" w:rsidRDefault="00FE4F02" w:rsidP="00E1366B">
      <w:pPr>
        <w:pStyle w:val="ListParagraph"/>
        <w:numPr>
          <w:ilvl w:val="0"/>
          <w:numId w:val="5"/>
        </w:numPr>
        <w:tabs>
          <w:tab w:val="left" w:pos="2977"/>
          <w:tab w:val="left" w:pos="3686"/>
          <w:tab w:val="left" w:pos="5103"/>
          <w:tab w:val="left" w:pos="5812"/>
          <w:tab w:val="left" w:pos="7088"/>
        </w:tabs>
        <w:spacing w:before="80" w:after="80" w:line="240" w:lineRule="auto"/>
        <w:ind w:left="357" w:hanging="357"/>
        <w:contextualSpacing w:val="0"/>
        <w:jc w:val="both"/>
        <w:rPr>
          <w:rFonts w:cs="Arial"/>
          <w:iCs/>
          <w:szCs w:val="24"/>
        </w:rPr>
      </w:pPr>
      <w:r w:rsidRPr="00E1366B">
        <w:rPr>
          <w:rFonts w:cs="Arial"/>
          <w:iCs/>
          <w:szCs w:val="24"/>
        </w:rPr>
        <w:t>g</w:t>
      </w:r>
      <w:r w:rsidR="00965A0F" w:rsidRPr="00E1366B">
        <w:rPr>
          <w:rFonts w:cs="Arial"/>
          <w:iCs/>
          <w:szCs w:val="24"/>
        </w:rPr>
        <w:t>uidance and instruction may on occasion be received on the implementation of modifications consistent with policy, regulatory and/or technologica</w:t>
      </w:r>
      <w:r w:rsidR="00AF1E81" w:rsidRPr="00E1366B">
        <w:rPr>
          <w:rFonts w:cs="Arial"/>
          <w:iCs/>
          <w:szCs w:val="24"/>
        </w:rPr>
        <w:t xml:space="preserve">l requirements and </w:t>
      </w:r>
      <w:proofErr w:type="gramStart"/>
      <w:r w:rsidR="00AF1E81" w:rsidRPr="00E1366B">
        <w:rPr>
          <w:rFonts w:cs="Arial"/>
          <w:iCs/>
          <w:szCs w:val="24"/>
        </w:rPr>
        <w:t>developments;</w:t>
      </w:r>
      <w:proofErr w:type="gramEnd"/>
    </w:p>
    <w:p w14:paraId="28E31F2E" w14:textId="135A4250" w:rsidR="00965A0F" w:rsidRPr="00E1366B" w:rsidRDefault="00FE4F02" w:rsidP="00E1366B">
      <w:pPr>
        <w:pStyle w:val="ListParagraph"/>
        <w:numPr>
          <w:ilvl w:val="0"/>
          <w:numId w:val="5"/>
        </w:numPr>
        <w:tabs>
          <w:tab w:val="left" w:pos="2977"/>
          <w:tab w:val="left" w:pos="3686"/>
          <w:tab w:val="left" w:pos="5103"/>
          <w:tab w:val="left" w:pos="5812"/>
          <w:tab w:val="left" w:pos="7088"/>
        </w:tabs>
        <w:spacing w:before="80" w:after="80" w:line="240" w:lineRule="auto"/>
        <w:ind w:left="357" w:hanging="357"/>
        <w:contextualSpacing w:val="0"/>
        <w:jc w:val="both"/>
        <w:rPr>
          <w:rFonts w:cs="Arial"/>
          <w:iCs/>
          <w:szCs w:val="24"/>
        </w:rPr>
      </w:pPr>
      <w:r w:rsidRPr="00E1366B">
        <w:rPr>
          <w:rFonts w:cs="Arial"/>
          <w:iCs/>
          <w:szCs w:val="24"/>
        </w:rPr>
        <w:t>t</w:t>
      </w:r>
      <w:r w:rsidR="00965A0F" w:rsidRPr="00E1366B">
        <w:rPr>
          <w:rFonts w:cs="Arial"/>
          <w:iCs/>
          <w:szCs w:val="24"/>
        </w:rPr>
        <w:t xml:space="preserve">he occupant operates with considerable independence in determining priorities, </w:t>
      </w:r>
      <w:proofErr w:type="gramStart"/>
      <w:r w:rsidR="00965A0F" w:rsidRPr="00E1366B">
        <w:rPr>
          <w:rFonts w:cs="Arial"/>
          <w:iCs/>
          <w:szCs w:val="24"/>
        </w:rPr>
        <w:t>procedures</w:t>
      </w:r>
      <w:proofErr w:type="gramEnd"/>
      <w:r w:rsidR="00965A0F" w:rsidRPr="00E1366B">
        <w:rPr>
          <w:rFonts w:cs="Arial"/>
          <w:iCs/>
          <w:szCs w:val="24"/>
        </w:rPr>
        <w:t xml:space="preserve"> and approach in implementing policies, plans, systems and procedures in a </w:t>
      </w:r>
      <w:r w:rsidR="00AF1E81" w:rsidRPr="00E1366B">
        <w:rPr>
          <w:rFonts w:cs="Arial"/>
          <w:iCs/>
          <w:szCs w:val="24"/>
        </w:rPr>
        <w:t>complex specialised environment; and</w:t>
      </w:r>
    </w:p>
    <w:p w14:paraId="28E31F2F" w14:textId="266FCDCD" w:rsidR="00965A0F" w:rsidRPr="00E1366B" w:rsidRDefault="00FE4F02" w:rsidP="00E1366B">
      <w:pPr>
        <w:pStyle w:val="ListParagraph"/>
        <w:numPr>
          <w:ilvl w:val="0"/>
          <w:numId w:val="5"/>
        </w:numPr>
        <w:tabs>
          <w:tab w:val="left" w:pos="2977"/>
          <w:tab w:val="left" w:pos="3686"/>
          <w:tab w:val="left" w:pos="5103"/>
          <w:tab w:val="left" w:pos="5812"/>
          <w:tab w:val="left" w:pos="7088"/>
        </w:tabs>
        <w:spacing w:before="80" w:after="80" w:line="240" w:lineRule="auto"/>
        <w:ind w:left="357" w:hanging="357"/>
        <w:contextualSpacing w:val="0"/>
        <w:jc w:val="both"/>
        <w:rPr>
          <w:rFonts w:cs="Arial"/>
          <w:iCs/>
          <w:szCs w:val="24"/>
        </w:rPr>
      </w:pPr>
      <w:r w:rsidRPr="00E1366B">
        <w:rPr>
          <w:rFonts w:cs="Arial"/>
          <w:iCs/>
          <w:szCs w:val="24"/>
        </w:rPr>
        <w:t>w</w:t>
      </w:r>
      <w:r w:rsidR="00965A0F" w:rsidRPr="00E1366B">
        <w:rPr>
          <w:rFonts w:cs="Arial"/>
          <w:iCs/>
          <w:szCs w:val="24"/>
        </w:rPr>
        <w:t>ork of a highly technically complex nature or with a varied range of activities may receive instruction and/or provide innovative solutions to meet program or service delivery outcomes.</w:t>
      </w:r>
    </w:p>
    <w:p w14:paraId="6F35C62B" w14:textId="77777777" w:rsidR="00E1366B" w:rsidRDefault="00E1366B"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Cs w:val="24"/>
        </w:rPr>
      </w:pPr>
    </w:p>
    <w:p w14:paraId="28E31F30" w14:textId="7D0040A6" w:rsidR="00CD42F8" w:rsidRPr="00A4574A" w:rsidRDefault="00CD42F8"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Cs w:val="24"/>
        </w:rPr>
      </w:pPr>
      <w:r w:rsidRPr="00A4574A">
        <w:rPr>
          <w:rFonts w:cs="Arial"/>
          <w:b/>
          <w:szCs w:val="24"/>
        </w:rPr>
        <w:t>Knowledge, Skills and Experience (Selection Criteria)</w:t>
      </w:r>
    </w:p>
    <w:p w14:paraId="28E31F31" w14:textId="30B17581" w:rsidR="00CD42F8" w:rsidRDefault="00CD42F8" w:rsidP="00A12351">
      <w:pPr>
        <w:tabs>
          <w:tab w:val="left" w:pos="567"/>
          <w:tab w:val="left" w:pos="1134"/>
          <w:tab w:val="left" w:pos="2977"/>
          <w:tab w:val="left" w:pos="3686"/>
          <w:tab w:val="left" w:pos="5103"/>
          <w:tab w:val="left" w:pos="5812"/>
          <w:tab w:val="left" w:pos="7088"/>
        </w:tabs>
        <w:spacing w:before="0" w:line="240" w:lineRule="auto"/>
        <w:jc w:val="both"/>
        <w:rPr>
          <w:rFonts w:cs="Arial"/>
          <w:b/>
          <w:szCs w:val="24"/>
        </w:rPr>
      </w:pPr>
      <w:r w:rsidRPr="00A4574A">
        <w:rPr>
          <w:rFonts w:cs="Arial"/>
          <w:b/>
          <w:szCs w:val="24"/>
        </w:rPr>
        <w:t>(</w:t>
      </w:r>
      <w:proofErr w:type="gramStart"/>
      <w:r w:rsidRPr="00A4574A">
        <w:rPr>
          <w:rFonts w:cs="Arial"/>
          <w:b/>
          <w:szCs w:val="24"/>
        </w:rPr>
        <w:t>in</w:t>
      </w:r>
      <w:proofErr w:type="gramEnd"/>
      <w:r w:rsidRPr="00A4574A">
        <w:rPr>
          <w:rFonts w:cs="Arial"/>
          <w:b/>
          <w:szCs w:val="24"/>
        </w:rPr>
        <w:t xml:space="preserve"> relation to the Major Duties)</w:t>
      </w:r>
    </w:p>
    <w:p w14:paraId="0B34A472" w14:textId="06DCFD7E" w:rsidR="0026476A" w:rsidRPr="00E1366B" w:rsidRDefault="0026476A" w:rsidP="00E1366B">
      <w:pPr>
        <w:pStyle w:val="ListParagraph"/>
        <w:numPr>
          <w:ilvl w:val="0"/>
          <w:numId w:val="5"/>
        </w:numPr>
        <w:tabs>
          <w:tab w:val="left" w:pos="2977"/>
          <w:tab w:val="left" w:pos="3686"/>
          <w:tab w:val="left" w:pos="5103"/>
          <w:tab w:val="left" w:pos="5812"/>
          <w:tab w:val="left" w:pos="7088"/>
        </w:tabs>
        <w:spacing w:before="80" w:after="80" w:line="240" w:lineRule="auto"/>
        <w:ind w:left="357" w:hanging="357"/>
        <w:contextualSpacing w:val="0"/>
        <w:jc w:val="both"/>
        <w:rPr>
          <w:rFonts w:cs="Arial"/>
          <w:iCs/>
          <w:szCs w:val="24"/>
        </w:rPr>
      </w:pPr>
      <w:r w:rsidRPr="00E1366B">
        <w:rPr>
          <w:rFonts w:cs="Arial"/>
          <w:iCs/>
          <w:szCs w:val="24"/>
        </w:rPr>
        <w:t xml:space="preserve">Demonstrated </w:t>
      </w:r>
      <w:r w:rsidR="008836FB" w:rsidRPr="00E1366B">
        <w:rPr>
          <w:rFonts w:cs="Arial"/>
          <w:iCs/>
          <w:szCs w:val="24"/>
        </w:rPr>
        <w:t xml:space="preserve">expert </w:t>
      </w:r>
      <w:r w:rsidRPr="00E1366B">
        <w:rPr>
          <w:rFonts w:cs="Arial"/>
          <w:iCs/>
          <w:szCs w:val="24"/>
        </w:rPr>
        <w:t xml:space="preserve">knowledge and </w:t>
      </w:r>
      <w:r w:rsidR="008836FB" w:rsidRPr="00E1366B">
        <w:rPr>
          <w:rFonts w:cs="Arial"/>
          <w:iCs/>
          <w:szCs w:val="24"/>
        </w:rPr>
        <w:t>experience in</w:t>
      </w:r>
      <w:r w:rsidRPr="00E1366B">
        <w:rPr>
          <w:rFonts w:cs="Arial"/>
          <w:iCs/>
          <w:szCs w:val="24"/>
        </w:rPr>
        <w:t xml:space="preserve"> </w:t>
      </w:r>
      <w:r w:rsidR="008D4117" w:rsidRPr="00E1366B">
        <w:rPr>
          <w:rFonts w:cs="Arial"/>
          <w:iCs/>
          <w:szCs w:val="24"/>
        </w:rPr>
        <w:t>water resource and catchment science</w:t>
      </w:r>
      <w:r w:rsidRPr="00E1366B">
        <w:rPr>
          <w:rFonts w:cs="Arial"/>
          <w:iCs/>
          <w:szCs w:val="24"/>
        </w:rPr>
        <w:t xml:space="preserve">, including a detailed understanding of the interactions between land use, water quantity, water quality and </w:t>
      </w:r>
      <w:r w:rsidR="002818DA" w:rsidRPr="00E1366B">
        <w:rPr>
          <w:rFonts w:cs="Arial"/>
          <w:iCs/>
          <w:szCs w:val="24"/>
        </w:rPr>
        <w:t xml:space="preserve">aquatic </w:t>
      </w:r>
      <w:r w:rsidRPr="00E1366B">
        <w:rPr>
          <w:rFonts w:cs="Arial"/>
          <w:iCs/>
          <w:szCs w:val="24"/>
        </w:rPr>
        <w:t>ecosystem health.</w:t>
      </w:r>
    </w:p>
    <w:p w14:paraId="549F3256" w14:textId="4CB4B127" w:rsidR="008B6A5C" w:rsidRPr="00E1366B" w:rsidRDefault="008B6A5C" w:rsidP="00E1366B">
      <w:pPr>
        <w:pStyle w:val="ListParagraph"/>
        <w:numPr>
          <w:ilvl w:val="0"/>
          <w:numId w:val="5"/>
        </w:numPr>
        <w:tabs>
          <w:tab w:val="left" w:pos="2977"/>
          <w:tab w:val="left" w:pos="3686"/>
          <w:tab w:val="left" w:pos="5103"/>
          <w:tab w:val="left" w:pos="5812"/>
          <w:tab w:val="left" w:pos="7088"/>
        </w:tabs>
        <w:spacing w:before="80" w:after="80" w:line="240" w:lineRule="auto"/>
        <w:ind w:left="357" w:hanging="357"/>
        <w:contextualSpacing w:val="0"/>
        <w:jc w:val="both"/>
        <w:rPr>
          <w:rFonts w:cs="Arial"/>
          <w:iCs/>
          <w:szCs w:val="24"/>
        </w:rPr>
      </w:pPr>
      <w:r w:rsidRPr="00E1366B">
        <w:rPr>
          <w:rFonts w:cs="Arial"/>
          <w:iCs/>
          <w:szCs w:val="24"/>
        </w:rPr>
        <w:t xml:space="preserve">Highly developed conceptual and reasoning skills to research, investigate, analyse, </w:t>
      </w:r>
      <w:proofErr w:type="gramStart"/>
      <w:r w:rsidRPr="00E1366B">
        <w:rPr>
          <w:rFonts w:cs="Arial"/>
          <w:iCs/>
          <w:szCs w:val="24"/>
        </w:rPr>
        <w:t>evaluate</w:t>
      </w:r>
      <w:proofErr w:type="gramEnd"/>
      <w:r w:rsidRPr="00E1366B">
        <w:rPr>
          <w:rFonts w:cs="Arial"/>
          <w:iCs/>
          <w:szCs w:val="24"/>
        </w:rPr>
        <w:t xml:space="preserve"> and integrate relevant solutions from diverse disciplines or fields into </w:t>
      </w:r>
      <w:r w:rsidR="002818DA" w:rsidRPr="00E1366B">
        <w:rPr>
          <w:rFonts w:cs="Arial"/>
          <w:iCs/>
          <w:szCs w:val="24"/>
        </w:rPr>
        <w:t xml:space="preserve">catchment, </w:t>
      </w:r>
      <w:r w:rsidRPr="00E1366B">
        <w:rPr>
          <w:rFonts w:cs="Arial"/>
          <w:iCs/>
          <w:szCs w:val="24"/>
        </w:rPr>
        <w:t>water resource and waterway health management. Initiative, flexibility and creativity in developing options and recommendations to resolve problems and improve service delivery</w:t>
      </w:r>
      <w:r w:rsidR="005E379E" w:rsidRPr="00E1366B">
        <w:rPr>
          <w:rFonts w:cs="Arial"/>
          <w:iCs/>
          <w:szCs w:val="24"/>
        </w:rPr>
        <w:t xml:space="preserve"> outcomes</w:t>
      </w:r>
      <w:r w:rsidRPr="00E1366B">
        <w:rPr>
          <w:rFonts w:cs="Arial"/>
          <w:iCs/>
          <w:szCs w:val="24"/>
        </w:rPr>
        <w:t xml:space="preserve">. </w:t>
      </w:r>
    </w:p>
    <w:p w14:paraId="151A7332" w14:textId="3711E076" w:rsidR="0026476A" w:rsidRPr="00E1366B" w:rsidRDefault="0026476A" w:rsidP="00E1366B">
      <w:pPr>
        <w:pStyle w:val="ListParagraph"/>
        <w:numPr>
          <w:ilvl w:val="0"/>
          <w:numId w:val="5"/>
        </w:numPr>
        <w:tabs>
          <w:tab w:val="left" w:pos="2977"/>
          <w:tab w:val="left" w:pos="3686"/>
          <w:tab w:val="left" w:pos="5103"/>
          <w:tab w:val="left" w:pos="5812"/>
          <w:tab w:val="left" w:pos="7088"/>
        </w:tabs>
        <w:spacing w:before="80" w:after="80" w:line="240" w:lineRule="auto"/>
        <w:ind w:left="357" w:hanging="357"/>
        <w:contextualSpacing w:val="0"/>
        <w:jc w:val="both"/>
        <w:rPr>
          <w:rFonts w:cs="Arial"/>
          <w:iCs/>
          <w:szCs w:val="24"/>
        </w:rPr>
      </w:pPr>
      <w:r w:rsidRPr="00E1366B">
        <w:rPr>
          <w:rFonts w:cs="Arial"/>
          <w:iCs/>
          <w:szCs w:val="24"/>
        </w:rPr>
        <w:t xml:space="preserve">High level liaison, communication and </w:t>
      </w:r>
      <w:r w:rsidR="00D41742" w:rsidRPr="00E1366B">
        <w:rPr>
          <w:rFonts w:cs="Arial"/>
          <w:iCs/>
          <w:szCs w:val="24"/>
        </w:rPr>
        <w:t xml:space="preserve">conflict resolution </w:t>
      </w:r>
      <w:r w:rsidRPr="00E1366B">
        <w:rPr>
          <w:rFonts w:cs="Arial"/>
          <w:iCs/>
          <w:szCs w:val="24"/>
        </w:rPr>
        <w:t>skills, with the ability to</w:t>
      </w:r>
      <w:r w:rsidR="008B6A5C" w:rsidRPr="00E1366B">
        <w:rPr>
          <w:rFonts w:cs="Arial"/>
          <w:iCs/>
          <w:szCs w:val="24"/>
        </w:rPr>
        <w:t xml:space="preserve"> communicate with scientists, </w:t>
      </w:r>
      <w:proofErr w:type="gramStart"/>
      <w:r w:rsidR="008B6A5C" w:rsidRPr="00E1366B">
        <w:rPr>
          <w:rFonts w:cs="Arial"/>
          <w:iCs/>
          <w:szCs w:val="24"/>
        </w:rPr>
        <w:t>policy-makers</w:t>
      </w:r>
      <w:proofErr w:type="gramEnd"/>
      <w:r w:rsidR="008B6A5C" w:rsidRPr="00E1366B">
        <w:rPr>
          <w:rFonts w:cs="Arial"/>
          <w:iCs/>
          <w:szCs w:val="24"/>
        </w:rPr>
        <w:t xml:space="preserve">, community groups, industry bodies and individuals to inform and </w:t>
      </w:r>
      <w:r w:rsidRPr="00E1366B">
        <w:rPr>
          <w:rFonts w:cs="Arial"/>
          <w:iCs/>
          <w:szCs w:val="24"/>
        </w:rPr>
        <w:t xml:space="preserve">constructively negotiate with stakeholders and interest groups on water </w:t>
      </w:r>
      <w:r w:rsidR="003F5BFA" w:rsidRPr="00E1366B">
        <w:rPr>
          <w:rFonts w:cs="Arial"/>
          <w:iCs/>
          <w:szCs w:val="24"/>
        </w:rPr>
        <w:t xml:space="preserve">resource </w:t>
      </w:r>
      <w:r w:rsidRPr="00E1366B">
        <w:rPr>
          <w:rFonts w:cs="Arial"/>
          <w:iCs/>
          <w:szCs w:val="24"/>
        </w:rPr>
        <w:t xml:space="preserve">management </w:t>
      </w:r>
      <w:r w:rsidR="003F5BFA" w:rsidRPr="00E1366B">
        <w:rPr>
          <w:rFonts w:cs="Arial"/>
          <w:iCs/>
          <w:szCs w:val="24"/>
        </w:rPr>
        <w:t xml:space="preserve">and /or integrated catchment management </w:t>
      </w:r>
      <w:r w:rsidRPr="00E1366B">
        <w:rPr>
          <w:rFonts w:cs="Arial"/>
          <w:iCs/>
          <w:szCs w:val="24"/>
        </w:rPr>
        <w:t>issues.</w:t>
      </w:r>
    </w:p>
    <w:p w14:paraId="097E6519" w14:textId="77777777" w:rsidR="005A21C7" w:rsidRPr="00E1366B" w:rsidRDefault="00965A0F" w:rsidP="00E1366B">
      <w:pPr>
        <w:pStyle w:val="ListParagraph"/>
        <w:numPr>
          <w:ilvl w:val="0"/>
          <w:numId w:val="5"/>
        </w:numPr>
        <w:tabs>
          <w:tab w:val="left" w:pos="2977"/>
          <w:tab w:val="left" w:pos="3686"/>
          <w:tab w:val="left" w:pos="5103"/>
          <w:tab w:val="left" w:pos="5812"/>
          <w:tab w:val="left" w:pos="7088"/>
        </w:tabs>
        <w:spacing w:before="80" w:after="80" w:line="240" w:lineRule="auto"/>
        <w:ind w:left="357" w:hanging="357"/>
        <w:contextualSpacing w:val="0"/>
        <w:jc w:val="both"/>
        <w:rPr>
          <w:rFonts w:cs="Arial"/>
          <w:iCs/>
          <w:szCs w:val="24"/>
        </w:rPr>
      </w:pPr>
      <w:r w:rsidRPr="00E1366B">
        <w:rPr>
          <w:rFonts w:cs="Arial"/>
          <w:iCs/>
          <w:szCs w:val="24"/>
        </w:rPr>
        <w:t>High level organisational skills which enable the coordination, facilitation and conduct of a variety of activities, and the planning and completion of work activities within tight timeframes.</w:t>
      </w:r>
    </w:p>
    <w:p w14:paraId="3E29B10F" w14:textId="0F309469" w:rsidR="005A21C7" w:rsidRDefault="005A21C7" w:rsidP="00E1366B">
      <w:pPr>
        <w:pStyle w:val="ListParagraph"/>
        <w:numPr>
          <w:ilvl w:val="0"/>
          <w:numId w:val="5"/>
        </w:numPr>
        <w:tabs>
          <w:tab w:val="left" w:pos="2977"/>
          <w:tab w:val="left" w:pos="3686"/>
          <w:tab w:val="left" w:pos="5103"/>
          <w:tab w:val="left" w:pos="5812"/>
          <w:tab w:val="left" w:pos="7088"/>
        </w:tabs>
        <w:spacing w:before="80" w:after="80" w:line="240" w:lineRule="auto"/>
        <w:ind w:left="357" w:hanging="357"/>
        <w:contextualSpacing w:val="0"/>
        <w:jc w:val="both"/>
        <w:rPr>
          <w:rFonts w:cs="Arial"/>
          <w:iCs/>
          <w:szCs w:val="24"/>
        </w:rPr>
      </w:pPr>
      <w:r w:rsidRPr="00E1366B">
        <w:rPr>
          <w:rFonts w:cs="Arial"/>
          <w:iCs/>
          <w:szCs w:val="24"/>
        </w:rPr>
        <w:t>Experience in project design, project planning and project management.</w:t>
      </w:r>
    </w:p>
    <w:p w14:paraId="55BA44DA" w14:textId="77777777" w:rsidR="00E1366B" w:rsidRPr="00E1366B" w:rsidRDefault="00E1366B" w:rsidP="00E1366B">
      <w:pPr>
        <w:pStyle w:val="ListParagraph"/>
        <w:tabs>
          <w:tab w:val="left" w:pos="2977"/>
          <w:tab w:val="left" w:pos="3686"/>
          <w:tab w:val="left" w:pos="5103"/>
          <w:tab w:val="left" w:pos="5812"/>
          <w:tab w:val="left" w:pos="7088"/>
        </w:tabs>
        <w:spacing w:before="80" w:after="80" w:line="240" w:lineRule="auto"/>
        <w:ind w:left="357"/>
        <w:contextualSpacing w:val="0"/>
        <w:jc w:val="both"/>
        <w:rPr>
          <w:rFonts w:cs="Arial"/>
          <w:iCs/>
          <w:szCs w:val="24"/>
        </w:rPr>
      </w:pPr>
    </w:p>
    <w:p w14:paraId="07E20C8B" w14:textId="77777777" w:rsidR="007A6DE1" w:rsidRDefault="007A6DE1" w:rsidP="007A6DE1">
      <w:pPr>
        <w:pStyle w:val="Headinglevel2"/>
        <w:spacing w:before="0" w:line="240" w:lineRule="auto"/>
        <w:jc w:val="both"/>
        <w:rPr>
          <w:rFonts w:ascii="Gill Sans MT" w:hAnsi="Gill Sans MT" w:cs="Arial"/>
          <w:color w:val="auto"/>
          <w:sz w:val="24"/>
        </w:rPr>
      </w:pPr>
      <w:r>
        <w:rPr>
          <w:rFonts w:ascii="Gill Sans MT" w:hAnsi="Gill Sans MT" w:cs="Arial"/>
          <w:color w:val="auto"/>
          <w:sz w:val="24"/>
        </w:rPr>
        <w:t>Essential Requirement:</w:t>
      </w:r>
    </w:p>
    <w:p w14:paraId="0607DE82" w14:textId="77777777" w:rsidR="007A6DE1" w:rsidRPr="00566D25" w:rsidRDefault="007A6DE1" w:rsidP="007A6DE1">
      <w:pPr>
        <w:jc w:val="both"/>
        <w:rPr>
          <w:rFonts w:cs="Arial"/>
          <w:color w:val="000000"/>
          <w:szCs w:val="24"/>
        </w:rPr>
      </w:pPr>
      <w:r w:rsidRPr="00566D25">
        <w:rPr>
          <w:rFonts w:cs="Arial"/>
          <w:color w:val="000000"/>
          <w:szCs w:val="24"/>
        </w:rPr>
        <w:t xml:space="preserve">A person is to provide evidence that they are vaccinated against COVID-19 or have an approved exemption. </w:t>
      </w:r>
    </w:p>
    <w:p w14:paraId="76EFC291" w14:textId="77777777" w:rsidR="007A6DE1" w:rsidRPr="00566D25" w:rsidRDefault="007A6DE1" w:rsidP="007A6DE1">
      <w:pPr>
        <w:jc w:val="both"/>
        <w:rPr>
          <w:rFonts w:cs="Arial"/>
          <w:color w:val="000000"/>
          <w:szCs w:val="24"/>
        </w:rPr>
      </w:pPr>
      <w:r w:rsidRPr="00566D25">
        <w:rPr>
          <w:rFonts w:cs="Arial"/>
          <w:color w:val="000000"/>
          <w:szCs w:val="24"/>
        </w:rPr>
        <w:t xml:space="preserve">A person is vaccinated against COVID-19 if the person has received </w:t>
      </w:r>
      <w:proofErr w:type="gramStart"/>
      <w:r w:rsidRPr="00566D25">
        <w:rPr>
          <w:rFonts w:cs="Arial"/>
          <w:color w:val="000000"/>
          <w:szCs w:val="24"/>
        </w:rPr>
        <w:t>all of</w:t>
      </w:r>
      <w:proofErr w:type="gramEnd"/>
      <w:r w:rsidRPr="00566D25">
        <w:rPr>
          <w:rFonts w:cs="Arial"/>
          <w:color w:val="000000"/>
          <w:szCs w:val="24"/>
        </w:rPr>
        <w:t xml:space="preserve"> the doses of a vaccine for COVID-19, necessary for the person to be issued with a vaccination certificate in respect of COVID-19 by the Australian Immunisation Register, or an equivalent document from a jurisdiction outside of Australia. </w:t>
      </w:r>
    </w:p>
    <w:p w14:paraId="67082E5B" w14:textId="77777777" w:rsidR="007A6DE1" w:rsidRPr="00566D25" w:rsidRDefault="007A6DE1" w:rsidP="007A6DE1">
      <w:pPr>
        <w:jc w:val="both"/>
        <w:rPr>
          <w:rFonts w:cs="Arial"/>
          <w:color w:val="000000"/>
          <w:szCs w:val="24"/>
        </w:rPr>
      </w:pPr>
      <w:r w:rsidRPr="00566D25">
        <w:rPr>
          <w:rFonts w:cs="Arial"/>
          <w:color w:val="000000"/>
          <w:szCs w:val="24"/>
        </w:rPr>
        <w:t xml:space="preserve">A person may be granted an exemption from providing evidence that they are vaccinated against the disease where the person demonstrates –    </w:t>
      </w:r>
    </w:p>
    <w:p w14:paraId="3FE758A9" w14:textId="77777777" w:rsidR="007A6DE1" w:rsidRPr="00BA45B4" w:rsidRDefault="007A6DE1" w:rsidP="007A6DE1">
      <w:pPr>
        <w:pStyle w:val="paragraph"/>
        <w:numPr>
          <w:ilvl w:val="0"/>
          <w:numId w:val="11"/>
        </w:numPr>
        <w:spacing w:before="0" w:beforeAutospacing="0" w:after="0" w:afterAutospacing="0"/>
        <w:jc w:val="both"/>
        <w:textAlignment w:val="baseline"/>
        <w:rPr>
          <w:rFonts w:ascii="Gill Sans MT" w:hAnsi="Gill Sans MT" w:cs="Arial"/>
          <w:b/>
          <w:bCs/>
          <w:color w:val="000000"/>
          <w:lang w:eastAsia="en-US"/>
        </w:rPr>
      </w:pPr>
      <w:r w:rsidRPr="00BA45B4">
        <w:rPr>
          <w:rFonts w:ascii="Gill Sans MT" w:hAnsi="Gill Sans MT" w:cs="Arial"/>
          <w:b/>
          <w:bCs/>
          <w:color w:val="000000"/>
          <w:lang w:eastAsia="en-US"/>
        </w:rPr>
        <w:t>Medical contraindication</w:t>
      </w:r>
    </w:p>
    <w:p w14:paraId="2941320C" w14:textId="77777777" w:rsidR="007A6DE1" w:rsidRPr="00566D25" w:rsidRDefault="007A6DE1" w:rsidP="007A6DE1">
      <w:pPr>
        <w:pStyle w:val="paragraph"/>
        <w:spacing w:before="0" w:beforeAutospacing="0" w:after="0" w:afterAutospacing="0"/>
        <w:ind w:left="360"/>
        <w:jc w:val="both"/>
        <w:textAlignment w:val="baseline"/>
        <w:rPr>
          <w:rFonts w:ascii="Gill Sans MT" w:hAnsi="Gill Sans MT" w:cs="Arial"/>
          <w:color w:val="000000"/>
          <w:lang w:eastAsia="en-US"/>
        </w:rPr>
      </w:pPr>
      <w:r w:rsidRPr="00566D25">
        <w:rPr>
          <w:rFonts w:ascii="Gill Sans MT" w:hAnsi="Gill Sans MT" w:cs="Arial"/>
          <w:color w:val="000000"/>
          <w:lang w:eastAsia="en-US"/>
        </w:rPr>
        <w:t xml:space="preserve">A person is unable to be vaccinated against the disease due to a medical         contraindication if they: </w:t>
      </w:r>
    </w:p>
    <w:p w14:paraId="4529CA5B" w14:textId="77777777" w:rsidR="007A6DE1" w:rsidRPr="00566D25" w:rsidRDefault="007A6DE1" w:rsidP="007A6DE1">
      <w:pPr>
        <w:pStyle w:val="ListParagraph"/>
        <w:numPr>
          <w:ilvl w:val="0"/>
          <w:numId w:val="10"/>
        </w:numPr>
        <w:shd w:val="clear" w:color="auto" w:fill="FFFFFF"/>
        <w:tabs>
          <w:tab w:val="clear" w:pos="2835"/>
        </w:tabs>
        <w:autoSpaceDE w:val="0"/>
        <w:autoSpaceDN w:val="0"/>
        <w:spacing w:before="0" w:after="0" w:line="240" w:lineRule="auto"/>
        <w:jc w:val="both"/>
        <w:rPr>
          <w:rFonts w:cs="Arial"/>
          <w:color w:val="000000"/>
          <w:szCs w:val="24"/>
        </w:rPr>
      </w:pPr>
      <w:r w:rsidRPr="00566D25">
        <w:rPr>
          <w:rFonts w:cs="Arial"/>
          <w:color w:val="000000"/>
          <w:szCs w:val="24"/>
        </w:rPr>
        <w:t xml:space="preserve">provide evidence in a form provided and accepted by the Head of Agency from a medical practitioner (as defined by the Australian Immunisation Register as a medical practitioner </w:t>
      </w:r>
      <w:hyperlink r:id="rId11" w:anchor="a3" w:history="1">
        <w:r w:rsidRPr="00315630">
          <w:rPr>
            <w:rFonts w:cs="Arial"/>
            <w:szCs w:val="24"/>
            <w:u w:val="single"/>
          </w:rPr>
          <w:t>who can grant a medical exemption</w:t>
        </w:r>
      </w:hyperlink>
      <w:r w:rsidRPr="00315630">
        <w:rPr>
          <w:rFonts w:cs="Arial"/>
          <w:color w:val="000000"/>
          <w:szCs w:val="24"/>
          <w:u w:val="single"/>
        </w:rPr>
        <w:t>)</w:t>
      </w:r>
      <w:r w:rsidRPr="00566D25">
        <w:rPr>
          <w:rFonts w:cs="Arial"/>
          <w:color w:val="000000"/>
          <w:szCs w:val="24"/>
        </w:rPr>
        <w:t xml:space="preserve"> which certifies that the person has a medical contraindication that prevents them from being vaccinated against the disease.  </w:t>
      </w:r>
    </w:p>
    <w:p w14:paraId="6F44D049" w14:textId="77777777" w:rsidR="007A6DE1" w:rsidRPr="00566D25" w:rsidRDefault="007A6DE1" w:rsidP="007A6DE1">
      <w:pPr>
        <w:pStyle w:val="ListParagraph"/>
        <w:shd w:val="clear" w:color="auto" w:fill="FFFFFF"/>
        <w:spacing w:after="0"/>
        <w:ind w:left="1440" w:firstLine="720"/>
        <w:jc w:val="both"/>
        <w:rPr>
          <w:rFonts w:cs="Arial"/>
          <w:color w:val="000000"/>
          <w:szCs w:val="24"/>
        </w:rPr>
      </w:pPr>
      <w:r w:rsidRPr="00566D25">
        <w:rPr>
          <w:rFonts w:cs="Arial"/>
          <w:color w:val="000000"/>
          <w:szCs w:val="24"/>
        </w:rPr>
        <w:t>Or</w:t>
      </w:r>
    </w:p>
    <w:p w14:paraId="3DF76872" w14:textId="77777777" w:rsidR="007A6DE1" w:rsidRDefault="007A6DE1" w:rsidP="007A6DE1">
      <w:pPr>
        <w:pStyle w:val="ListParagraph"/>
        <w:numPr>
          <w:ilvl w:val="0"/>
          <w:numId w:val="10"/>
        </w:numPr>
        <w:shd w:val="clear" w:color="auto" w:fill="FFFFFF"/>
        <w:tabs>
          <w:tab w:val="clear" w:pos="2835"/>
        </w:tabs>
        <w:autoSpaceDE w:val="0"/>
        <w:autoSpaceDN w:val="0"/>
        <w:spacing w:before="0" w:after="0" w:line="240" w:lineRule="auto"/>
        <w:jc w:val="both"/>
        <w:rPr>
          <w:rFonts w:cs="Arial"/>
          <w:color w:val="000000"/>
          <w:szCs w:val="24"/>
        </w:rPr>
      </w:pPr>
      <w:r w:rsidRPr="00566D25">
        <w:rPr>
          <w:rFonts w:cs="Arial"/>
          <w:color w:val="000000"/>
          <w:szCs w:val="24"/>
        </w:rPr>
        <w:t>have a medical exemption, that applies to the vaccinations for the disease, that has been recorded on the Australian Immunisation Register, operated by or on behalf of the Commonwealth Government.</w:t>
      </w:r>
    </w:p>
    <w:p w14:paraId="576EB4DB" w14:textId="77777777" w:rsidR="007A6DE1" w:rsidRPr="00566D25" w:rsidRDefault="007A6DE1" w:rsidP="007A6DE1">
      <w:pPr>
        <w:pStyle w:val="ListParagraph"/>
        <w:shd w:val="clear" w:color="auto" w:fill="FFFFFF"/>
        <w:tabs>
          <w:tab w:val="clear" w:pos="2835"/>
        </w:tabs>
        <w:autoSpaceDE w:val="0"/>
        <w:autoSpaceDN w:val="0"/>
        <w:spacing w:before="0" w:after="0" w:line="240" w:lineRule="auto"/>
        <w:jc w:val="both"/>
        <w:rPr>
          <w:rFonts w:cs="Arial"/>
          <w:color w:val="000000"/>
          <w:szCs w:val="24"/>
        </w:rPr>
      </w:pPr>
    </w:p>
    <w:p w14:paraId="4D1D0E6C" w14:textId="77777777" w:rsidR="007A6DE1" w:rsidRPr="00566D25" w:rsidRDefault="007A6DE1" w:rsidP="007A6DE1">
      <w:pPr>
        <w:pStyle w:val="ListParagraph"/>
        <w:numPr>
          <w:ilvl w:val="0"/>
          <w:numId w:val="11"/>
        </w:numPr>
        <w:tabs>
          <w:tab w:val="clear" w:pos="2835"/>
        </w:tabs>
        <w:spacing w:before="0" w:after="0" w:line="252" w:lineRule="auto"/>
        <w:jc w:val="both"/>
        <w:rPr>
          <w:rFonts w:cs="Arial"/>
          <w:b/>
          <w:bCs/>
          <w:color w:val="000000"/>
          <w:szCs w:val="24"/>
        </w:rPr>
      </w:pPr>
      <w:r w:rsidRPr="00566D25">
        <w:rPr>
          <w:rFonts w:cs="Arial"/>
          <w:b/>
          <w:bCs/>
          <w:color w:val="000000"/>
          <w:szCs w:val="24"/>
        </w:rPr>
        <w:t>Exceptional circumstances</w:t>
      </w:r>
    </w:p>
    <w:p w14:paraId="6EBF2F68" w14:textId="77777777" w:rsidR="007A6DE1" w:rsidRPr="00566D25" w:rsidRDefault="007A6DE1" w:rsidP="007A6DE1">
      <w:pPr>
        <w:pStyle w:val="ListParagraph"/>
        <w:tabs>
          <w:tab w:val="left" w:pos="2977"/>
          <w:tab w:val="left" w:pos="3686"/>
          <w:tab w:val="left" w:pos="5103"/>
          <w:tab w:val="left" w:pos="5812"/>
          <w:tab w:val="left" w:pos="7088"/>
        </w:tabs>
        <w:spacing w:before="80" w:after="80" w:line="240" w:lineRule="auto"/>
        <w:ind w:left="357"/>
        <w:contextualSpacing w:val="0"/>
        <w:jc w:val="both"/>
        <w:rPr>
          <w:rFonts w:cs="Arial"/>
          <w:color w:val="000000"/>
          <w:szCs w:val="24"/>
        </w:rPr>
      </w:pPr>
      <w:r w:rsidRPr="00566D25">
        <w:rPr>
          <w:rFonts w:cs="Arial"/>
          <w:color w:val="000000"/>
          <w:szCs w:val="24"/>
        </w:rPr>
        <w:t xml:space="preserve">Demonstrated to the satisfaction of the Head of Agency. </w:t>
      </w:r>
    </w:p>
    <w:p w14:paraId="3F06EDEA" w14:textId="77777777" w:rsidR="007A6DE1" w:rsidRDefault="007A6DE1" w:rsidP="00A12351">
      <w:pPr>
        <w:pStyle w:val="Headinglevel2"/>
        <w:spacing w:before="0" w:line="240" w:lineRule="auto"/>
        <w:jc w:val="both"/>
        <w:rPr>
          <w:rFonts w:ascii="Gill Sans MT" w:hAnsi="Gill Sans MT" w:cs="Arial"/>
          <w:color w:val="auto"/>
          <w:sz w:val="24"/>
        </w:rPr>
      </w:pPr>
    </w:p>
    <w:p w14:paraId="28E31F3E" w14:textId="07395F3A" w:rsidR="00CD42F8" w:rsidRPr="00A4574A" w:rsidRDefault="00CD42F8" w:rsidP="00A12351">
      <w:pPr>
        <w:pStyle w:val="Headinglevel2"/>
        <w:spacing w:before="0" w:line="240" w:lineRule="auto"/>
        <w:jc w:val="both"/>
        <w:rPr>
          <w:rFonts w:ascii="Gill Sans MT" w:hAnsi="Gill Sans MT" w:cs="Arial"/>
          <w:color w:val="auto"/>
          <w:sz w:val="24"/>
        </w:rPr>
      </w:pPr>
      <w:r w:rsidRPr="00A4574A">
        <w:rPr>
          <w:rFonts w:ascii="Gill Sans MT" w:hAnsi="Gill Sans MT" w:cs="Arial"/>
          <w:color w:val="auto"/>
          <w:sz w:val="24"/>
        </w:rPr>
        <w:t>Desirable Qualifications and Requirements</w:t>
      </w:r>
    </w:p>
    <w:p w14:paraId="37944E37" w14:textId="74091F4B" w:rsidR="007D11AC" w:rsidRPr="00E1366B" w:rsidRDefault="007D11AC" w:rsidP="00E1366B">
      <w:pPr>
        <w:pStyle w:val="ListParagraph"/>
        <w:numPr>
          <w:ilvl w:val="0"/>
          <w:numId w:val="5"/>
        </w:numPr>
        <w:tabs>
          <w:tab w:val="left" w:pos="2977"/>
          <w:tab w:val="left" w:pos="3686"/>
          <w:tab w:val="left" w:pos="5103"/>
          <w:tab w:val="left" w:pos="5812"/>
          <w:tab w:val="left" w:pos="7088"/>
        </w:tabs>
        <w:spacing w:before="80" w:after="80" w:line="240" w:lineRule="auto"/>
        <w:ind w:left="357" w:hanging="357"/>
        <w:contextualSpacing w:val="0"/>
        <w:jc w:val="both"/>
        <w:rPr>
          <w:rFonts w:cs="Arial"/>
          <w:iCs/>
          <w:szCs w:val="24"/>
        </w:rPr>
      </w:pPr>
      <w:r w:rsidRPr="00E1366B">
        <w:rPr>
          <w:rFonts w:cs="Arial"/>
          <w:iCs/>
          <w:szCs w:val="24"/>
        </w:rPr>
        <w:t xml:space="preserve">A tertiary qualification within </w:t>
      </w:r>
      <w:r w:rsidR="004277BD" w:rsidRPr="00E1366B">
        <w:rPr>
          <w:rFonts w:cs="Arial"/>
          <w:iCs/>
          <w:szCs w:val="24"/>
        </w:rPr>
        <w:t>a relevant</w:t>
      </w:r>
      <w:r w:rsidRPr="00E1366B">
        <w:rPr>
          <w:rFonts w:cs="Arial"/>
          <w:iCs/>
          <w:szCs w:val="24"/>
        </w:rPr>
        <w:t xml:space="preserve"> field of water resource and catchment scienc</w:t>
      </w:r>
      <w:r w:rsidR="00EB494B" w:rsidRPr="00E1366B">
        <w:rPr>
          <w:rFonts w:cs="Arial"/>
          <w:iCs/>
          <w:szCs w:val="24"/>
        </w:rPr>
        <w:t>e.</w:t>
      </w:r>
    </w:p>
    <w:p w14:paraId="0939D20E" w14:textId="1B4E740D" w:rsidR="00CC5B25" w:rsidRPr="00E1366B" w:rsidRDefault="00EB494B" w:rsidP="00E1366B">
      <w:pPr>
        <w:pStyle w:val="ListParagraph"/>
        <w:numPr>
          <w:ilvl w:val="0"/>
          <w:numId w:val="5"/>
        </w:numPr>
        <w:tabs>
          <w:tab w:val="left" w:pos="2977"/>
          <w:tab w:val="left" w:pos="3686"/>
          <w:tab w:val="left" w:pos="5103"/>
          <w:tab w:val="left" w:pos="5812"/>
          <w:tab w:val="left" w:pos="7088"/>
        </w:tabs>
        <w:spacing w:before="80" w:after="80" w:line="240" w:lineRule="auto"/>
        <w:ind w:left="357" w:hanging="357"/>
        <w:contextualSpacing w:val="0"/>
        <w:jc w:val="both"/>
        <w:rPr>
          <w:rFonts w:cs="Arial"/>
          <w:iCs/>
          <w:szCs w:val="24"/>
        </w:rPr>
      </w:pPr>
      <w:r w:rsidRPr="00E1366B">
        <w:rPr>
          <w:rFonts w:cs="Arial"/>
          <w:iCs/>
          <w:szCs w:val="24"/>
        </w:rPr>
        <w:t xml:space="preserve">A current motor vehicles </w:t>
      </w:r>
      <w:r w:rsidR="00E537F0" w:rsidRPr="00E1366B">
        <w:rPr>
          <w:rFonts w:cs="Arial"/>
          <w:iCs/>
          <w:szCs w:val="24"/>
        </w:rPr>
        <w:t>drivers’</w:t>
      </w:r>
      <w:r w:rsidRPr="00E1366B">
        <w:rPr>
          <w:rFonts w:cs="Arial"/>
          <w:iCs/>
          <w:szCs w:val="24"/>
        </w:rPr>
        <w:t xml:space="preserve"> licence.</w:t>
      </w:r>
    </w:p>
    <w:p w14:paraId="2BC6E7DF" w14:textId="77777777" w:rsidR="00E1366B" w:rsidRPr="00E1366B" w:rsidRDefault="00E1366B" w:rsidP="00E1366B">
      <w:pPr>
        <w:pStyle w:val="ListParagraph"/>
        <w:spacing w:line="240" w:lineRule="auto"/>
        <w:ind w:left="360"/>
        <w:contextualSpacing w:val="0"/>
        <w:jc w:val="both"/>
        <w:rPr>
          <w:szCs w:val="24"/>
        </w:rPr>
      </w:pPr>
    </w:p>
    <w:p w14:paraId="62C705F5" w14:textId="77777777" w:rsidR="00644303" w:rsidRPr="009F7973" w:rsidRDefault="00644303" w:rsidP="00644303">
      <w:pPr>
        <w:spacing w:line="240" w:lineRule="auto"/>
        <w:jc w:val="both"/>
        <w:rPr>
          <w:b/>
          <w:szCs w:val="24"/>
        </w:rPr>
      </w:pPr>
      <w:r w:rsidRPr="009F7973">
        <w:rPr>
          <w:b/>
          <w:szCs w:val="24"/>
        </w:rPr>
        <w:t>Department’s Role</w:t>
      </w:r>
    </w:p>
    <w:p w14:paraId="083C666B" w14:textId="77777777" w:rsidR="00644303" w:rsidRPr="004F41AE" w:rsidRDefault="00644303" w:rsidP="00644303">
      <w:pPr>
        <w:spacing w:line="240" w:lineRule="auto"/>
        <w:jc w:val="both"/>
        <w:rPr>
          <w:rFonts w:cs="Arial"/>
          <w:color w:val="000000"/>
          <w:szCs w:val="24"/>
        </w:rPr>
      </w:pPr>
      <w:r w:rsidRPr="004F41AE">
        <w:rPr>
          <w:rFonts w:cs="Arial"/>
          <w:b/>
          <w:color w:val="000000"/>
          <w:szCs w:val="24"/>
        </w:rPr>
        <w:t>The Department of Natural Resources and Environment Tasmania</w:t>
      </w:r>
      <w:r w:rsidRPr="004F41AE">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1031C541" w14:textId="77777777" w:rsidR="00644303" w:rsidRPr="00A4574A" w:rsidRDefault="00644303" w:rsidP="00644303">
      <w:pPr>
        <w:autoSpaceDE w:val="0"/>
        <w:autoSpaceDN w:val="0"/>
        <w:adjustRightInd w:val="0"/>
        <w:spacing w:after="240" w:line="240" w:lineRule="auto"/>
        <w:jc w:val="both"/>
        <w:rPr>
          <w:rFonts w:cs="Arial"/>
          <w:color w:val="000000"/>
          <w:szCs w:val="24"/>
        </w:rPr>
      </w:pPr>
      <w:r w:rsidRPr="004F41AE">
        <w:rPr>
          <w:rFonts w:cs="Arial"/>
          <w:color w:val="000000"/>
          <w:szCs w:val="24"/>
        </w:rPr>
        <w:t xml:space="preserve">Under Tasmania’s emergency management </w:t>
      </w:r>
      <w:proofErr w:type="gramStart"/>
      <w:r w:rsidRPr="004F41AE">
        <w:rPr>
          <w:rFonts w:cs="Arial"/>
          <w:color w:val="000000"/>
          <w:szCs w:val="24"/>
        </w:rPr>
        <w:t>arrangement</w:t>
      </w:r>
      <w:r>
        <w:rPr>
          <w:rFonts w:cs="Arial"/>
          <w:color w:val="000000"/>
          <w:szCs w:val="24"/>
        </w:rPr>
        <w:t>s</w:t>
      </w:r>
      <w:proofErr w:type="gramEnd"/>
      <w:r w:rsidRPr="004F41AE">
        <w:rPr>
          <w:rFonts w:cs="Arial"/>
          <w:color w:val="000000"/>
          <w:szCs w:val="24"/>
        </w:rPr>
        <w:t xml:space="preserve"> the Department of Natural Resources and Environment Tasmania is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w:t>
      </w:r>
      <w:proofErr w:type="gramStart"/>
      <w:r w:rsidRPr="004F41AE">
        <w:rPr>
          <w:rFonts w:cs="Arial"/>
          <w:color w:val="000000"/>
          <w:szCs w:val="24"/>
        </w:rPr>
        <w:t>In regard to</w:t>
      </w:r>
      <w:proofErr w:type="gramEnd"/>
      <w:r w:rsidRPr="004F41AE">
        <w:rPr>
          <w:rFonts w:cs="Arial"/>
          <w:color w:val="000000"/>
          <w:szCs w:val="24"/>
        </w:rPr>
        <w:t xml:space="preserve"> those types of emergency prevention, preparedness and response activities are core business of this agency and potentially may involve all staff in some way.</w:t>
      </w:r>
    </w:p>
    <w:p w14:paraId="606912CC" w14:textId="77777777" w:rsidR="00644303" w:rsidRPr="00A4574A" w:rsidRDefault="00644303" w:rsidP="00644303">
      <w:pPr>
        <w:spacing w:line="240" w:lineRule="auto"/>
        <w:jc w:val="both"/>
        <w:rPr>
          <w:rFonts w:cs="Arial"/>
          <w:color w:val="000000"/>
          <w:szCs w:val="24"/>
        </w:rPr>
      </w:pPr>
      <w:r>
        <w:rPr>
          <w:rFonts w:cs="Arial"/>
          <w:color w:val="000000"/>
          <w:szCs w:val="24"/>
        </w:rPr>
        <w:t xml:space="preserve">The Department’s </w:t>
      </w:r>
      <w:r w:rsidRPr="00A4574A">
        <w:rPr>
          <w:rFonts w:cs="Arial"/>
          <w:color w:val="000000"/>
          <w:szCs w:val="24"/>
        </w:rPr>
        <w:t xml:space="preserve">website </w:t>
      </w:r>
      <w:r w:rsidRPr="00F9797E">
        <w:rPr>
          <w:rFonts w:cs="Arial"/>
          <w:color w:val="000000"/>
          <w:szCs w:val="24"/>
        </w:rPr>
        <w:t xml:space="preserve">at </w:t>
      </w:r>
      <w:hyperlink r:id="rId12" w:history="1">
        <w:r w:rsidRPr="00CE5E31">
          <w:rPr>
            <w:rStyle w:val="Hyperlink"/>
            <w:rFonts w:cs="Arial"/>
            <w:szCs w:val="24"/>
          </w:rPr>
          <w:t>www.nre.tas.gov.au</w:t>
        </w:r>
      </w:hyperlink>
      <w:r>
        <w:rPr>
          <w:rFonts w:cs="Arial"/>
          <w:color w:val="000000"/>
          <w:szCs w:val="24"/>
        </w:rPr>
        <w:t xml:space="preserve"> </w:t>
      </w:r>
      <w:r w:rsidRPr="00A4574A">
        <w:rPr>
          <w:rFonts w:cs="Arial"/>
          <w:color w:val="000000"/>
          <w:szCs w:val="24"/>
        </w:rPr>
        <w:t>provides more information.</w:t>
      </w:r>
    </w:p>
    <w:p w14:paraId="73472C36" w14:textId="77777777" w:rsidR="00031BBF" w:rsidRDefault="00031BBF" w:rsidP="00031BBF">
      <w:pPr>
        <w:spacing w:line="240" w:lineRule="auto"/>
        <w:jc w:val="both"/>
        <w:rPr>
          <w:rFonts w:cs="Arial"/>
          <w:b/>
          <w:szCs w:val="24"/>
        </w:rPr>
      </w:pPr>
    </w:p>
    <w:p w14:paraId="594B3AA4" w14:textId="71C18457" w:rsidR="00031BBF" w:rsidRDefault="00DD1205" w:rsidP="00031BBF">
      <w:pPr>
        <w:spacing w:line="240" w:lineRule="auto"/>
        <w:jc w:val="both"/>
        <w:rPr>
          <w:rFonts w:cs="Arial"/>
          <w:b/>
          <w:szCs w:val="24"/>
        </w:rPr>
      </w:pPr>
      <w:r w:rsidRPr="00A4574A">
        <w:rPr>
          <w:rFonts w:cs="Arial"/>
          <w:b/>
          <w:szCs w:val="24"/>
        </w:rPr>
        <w:t>Working Environment</w:t>
      </w:r>
      <w:bookmarkStart w:id="0" w:name="OLE_LINK1"/>
    </w:p>
    <w:p w14:paraId="1138FD5F" w14:textId="77777777" w:rsidR="00031BBF" w:rsidRDefault="00DD1205" w:rsidP="00031BBF">
      <w:pPr>
        <w:spacing w:line="240" w:lineRule="auto"/>
        <w:jc w:val="both"/>
        <w:rPr>
          <w:rFonts w:cs="Arial"/>
          <w:szCs w:val="24"/>
          <w:lang w:val="en-GB"/>
        </w:rPr>
      </w:pPr>
      <w:r w:rsidRPr="00A4574A">
        <w:rPr>
          <w:rFonts w:cs="Arial"/>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5DCA950" w14:textId="1D4BE825" w:rsidR="00FE4F02" w:rsidRPr="00031BBF" w:rsidRDefault="00644303" w:rsidP="00031BBF">
      <w:pPr>
        <w:spacing w:line="240" w:lineRule="auto"/>
        <w:jc w:val="both"/>
        <w:rPr>
          <w:szCs w:val="24"/>
        </w:rPr>
      </w:pPr>
      <w:r>
        <w:t xml:space="preserve">The </w:t>
      </w:r>
      <w:r w:rsidR="00300933">
        <w:t>Department of Natural Resources and Environment Tasmania</w:t>
      </w:r>
      <w:r w:rsidR="00FE4F02" w:rsidRPr="00FE4F02">
        <w:rPr>
          <w:rFonts w:eastAsia="Times New Roman"/>
          <w:szCs w:val="24"/>
        </w:rPr>
        <w:t xml:space="preserve"> has a culture of zero tolerance towards violence, includin</w:t>
      </w:r>
      <w:r w:rsidR="00FE4F02">
        <w:rPr>
          <w:rFonts w:eastAsia="Times New Roman"/>
          <w:szCs w:val="24"/>
        </w:rPr>
        <w:t xml:space="preserve">g any form of family violence. </w:t>
      </w:r>
      <w:r w:rsidR="00FE4F02" w:rsidRPr="00FE4F02">
        <w:rPr>
          <w:rFonts w:eastAsia="Times New Roman"/>
          <w:szCs w:val="24"/>
        </w:rPr>
        <w:t>We will take an active role to support employees and their families by providing a workplace environment that promotes their safety and provides the flexibility to support employees to live free from violence.</w:t>
      </w:r>
    </w:p>
    <w:p w14:paraId="28E31F48" w14:textId="6835A470" w:rsidR="00DD1205" w:rsidRPr="00A4574A" w:rsidRDefault="00DD1205" w:rsidP="00A12351">
      <w:pPr>
        <w:pStyle w:val="Heading1"/>
        <w:spacing w:before="120" w:after="120" w:line="240" w:lineRule="auto"/>
        <w:jc w:val="both"/>
        <w:rPr>
          <w:rFonts w:eastAsia="Calibri" w:cs="Arial"/>
          <w:color w:val="000000"/>
          <w:sz w:val="24"/>
          <w:szCs w:val="24"/>
        </w:rPr>
      </w:pPr>
      <w:r w:rsidRPr="00A4574A">
        <w:rPr>
          <w:rFonts w:eastAsia="Calibri" w:cs="Arial"/>
          <w:color w:val="000000"/>
          <w:sz w:val="24"/>
          <w:szCs w:val="24"/>
        </w:rPr>
        <w:t xml:space="preserve">There is a strong emphasis on building leadership capacity throughout </w:t>
      </w:r>
      <w:r w:rsidR="00644303">
        <w:rPr>
          <w:rFonts w:eastAsia="Calibri" w:cs="Arial"/>
          <w:color w:val="000000"/>
          <w:sz w:val="24"/>
          <w:szCs w:val="24"/>
        </w:rPr>
        <w:t xml:space="preserve">the </w:t>
      </w:r>
      <w:r w:rsidR="00644303" w:rsidRPr="00644303">
        <w:rPr>
          <w:rFonts w:eastAsia="Calibri" w:cs="Arial"/>
          <w:color w:val="000000"/>
          <w:sz w:val="24"/>
          <w:szCs w:val="24"/>
        </w:rPr>
        <w:t>Department of Natural Resources and Environment Tasmania</w:t>
      </w:r>
      <w:r w:rsidRPr="00A4574A">
        <w:rPr>
          <w:rFonts w:eastAsia="Calibri" w:cs="Arial"/>
          <w:color w:val="000000"/>
          <w:sz w:val="24"/>
          <w:szCs w:val="24"/>
        </w:rPr>
        <w:t>.</w:t>
      </w:r>
    </w:p>
    <w:p w14:paraId="28E31F49" w14:textId="77777777" w:rsidR="00DD1205" w:rsidRPr="00A4574A" w:rsidRDefault="00DD1205" w:rsidP="00FE4F02">
      <w:pPr>
        <w:pStyle w:val="Heading1"/>
        <w:spacing w:after="240" w:line="240" w:lineRule="auto"/>
        <w:jc w:val="both"/>
        <w:rPr>
          <w:rFonts w:cs="Arial"/>
          <w:sz w:val="24"/>
          <w:szCs w:val="24"/>
          <w:lang w:val="en-GB"/>
        </w:rPr>
      </w:pPr>
      <w:r w:rsidRPr="00A4574A">
        <w:rPr>
          <w:rFonts w:cs="Arial"/>
          <w:sz w:val="24"/>
          <w:szCs w:val="24"/>
          <w:lang w:val="en-GB"/>
        </w:rPr>
        <w:t xml:space="preserve">The expected behaviours and performance of the Department’s employees and managers are enshrined in the </w:t>
      </w:r>
      <w:r w:rsidRPr="00A4574A">
        <w:rPr>
          <w:rFonts w:cs="Arial"/>
          <w:i/>
          <w:sz w:val="24"/>
          <w:szCs w:val="24"/>
          <w:lang w:val="en-GB"/>
        </w:rPr>
        <w:t>State Service Act 2000</w:t>
      </w:r>
      <w:r w:rsidRPr="00A4574A">
        <w:rPr>
          <w:rFonts w:cs="Arial"/>
          <w:sz w:val="24"/>
          <w:szCs w:val="24"/>
          <w:lang w:val="en-GB"/>
        </w:rPr>
        <w:t xml:space="preserve"> through the State Service Principles and Code of Conduct. These can be located at </w:t>
      </w:r>
      <w:hyperlink r:id="rId13" w:history="1">
        <w:r w:rsidRPr="00A4574A">
          <w:rPr>
            <w:rStyle w:val="Hyperlink"/>
            <w:rFonts w:cs="Arial"/>
            <w:sz w:val="24"/>
            <w:szCs w:val="24"/>
          </w:rPr>
          <w:t>www.dpac.tas.gov.au/divisions/ssmo</w:t>
        </w:r>
      </w:hyperlink>
      <w:r w:rsidRPr="00A4574A">
        <w:rPr>
          <w:rFonts w:cs="Arial"/>
          <w:sz w:val="24"/>
          <w:szCs w:val="24"/>
        </w:rPr>
        <w:t>.</w:t>
      </w:r>
    </w:p>
    <w:p w14:paraId="28E31F4A" w14:textId="77777777" w:rsidR="00DD1205" w:rsidRPr="00A4574A" w:rsidRDefault="00DD1205" w:rsidP="00A12351">
      <w:pPr>
        <w:spacing w:before="240" w:line="240" w:lineRule="auto"/>
        <w:ind w:right="-1"/>
        <w:jc w:val="both"/>
        <w:rPr>
          <w:rFonts w:cs="Arial"/>
          <w:b/>
          <w:szCs w:val="24"/>
        </w:rPr>
      </w:pPr>
      <w:r w:rsidRPr="00A4574A">
        <w:rPr>
          <w:rFonts w:cs="Arial"/>
          <w:b/>
          <w:szCs w:val="24"/>
        </w:rPr>
        <w:t>Special Employment Conditions</w:t>
      </w:r>
    </w:p>
    <w:bookmarkEnd w:id="0"/>
    <w:p w14:paraId="28E31F4F" w14:textId="61C6DC66" w:rsidR="001E7B7E" w:rsidRPr="007A6DE1" w:rsidRDefault="00DD1205" w:rsidP="007A6DE1">
      <w:pPr>
        <w:tabs>
          <w:tab w:val="left" w:pos="2977"/>
          <w:tab w:val="left" w:pos="3686"/>
          <w:tab w:val="left" w:pos="5103"/>
          <w:tab w:val="left" w:pos="5812"/>
          <w:tab w:val="left" w:pos="7088"/>
        </w:tabs>
        <w:spacing w:line="240" w:lineRule="auto"/>
        <w:jc w:val="both"/>
        <w:rPr>
          <w:rFonts w:cs="Arial"/>
          <w:iCs/>
          <w:szCs w:val="24"/>
        </w:rPr>
      </w:pPr>
      <w:r w:rsidRPr="00EB54B4">
        <w:rPr>
          <w:rFonts w:cs="Arial"/>
          <w:iCs/>
          <w:szCs w:val="24"/>
        </w:rPr>
        <w:t>Some intrastate travel may be required.</w:t>
      </w:r>
    </w:p>
    <w:sectPr w:rsidR="001E7B7E" w:rsidRPr="007A6DE1" w:rsidSect="00A83370">
      <w:headerReference w:type="default" r:id="rId14"/>
      <w:footerReference w:type="default" r:id="rId15"/>
      <w:footerReference w:type="first" r:id="rId16"/>
      <w:pgSz w:w="11906" w:h="16838"/>
      <w:pgMar w:top="1304" w:right="1440" w:bottom="198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F92A3" w14:textId="77777777" w:rsidR="00A32716" w:rsidRDefault="00A32716" w:rsidP="00BC49A5">
      <w:r>
        <w:separator/>
      </w:r>
    </w:p>
  </w:endnote>
  <w:endnote w:type="continuationSeparator" w:id="0">
    <w:p w14:paraId="7A854522" w14:textId="77777777" w:rsidR="00A32716" w:rsidRDefault="00A32716"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5A274423" w14:textId="77777777" w:rsidR="007A6DE1" w:rsidRDefault="00CC6B72" w:rsidP="007F73E6">
        <w:pPr>
          <w:pStyle w:val="Footer"/>
          <w:tabs>
            <w:tab w:val="clear" w:pos="4513"/>
            <w:tab w:val="center" w:pos="5529"/>
          </w:tabs>
        </w:pPr>
        <w:r>
          <w:t xml:space="preserve">Department of </w:t>
        </w:r>
        <w:r w:rsidR="00300933">
          <w:t>Natural Resources and Environment Tasmania</w:t>
        </w:r>
      </w:p>
      <w:p w14:paraId="28E31F55" w14:textId="591390B6" w:rsidR="007F73E6" w:rsidRDefault="007A6DE1" w:rsidP="007F73E6">
        <w:pPr>
          <w:pStyle w:val="Footer"/>
          <w:tabs>
            <w:tab w:val="clear" w:pos="4513"/>
            <w:tab w:val="center" w:pos="5529"/>
          </w:tabs>
        </w:pPr>
        <w:r>
          <w:t>Revision Date: 20 December 2021</w:t>
        </w:r>
        <w:r w:rsidR="007F73E6">
          <w:tab/>
        </w:r>
        <w:r w:rsidR="007F73E6">
          <w:fldChar w:fldCharType="begin"/>
        </w:r>
        <w:r w:rsidR="007F73E6">
          <w:instrText xml:space="preserve"> PAGE   \* MERGEFORMAT </w:instrText>
        </w:r>
        <w:r w:rsidR="007F73E6">
          <w:fldChar w:fldCharType="separate"/>
        </w:r>
        <w:r w:rsidR="00C67C18">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6" w14:textId="1A8F66DE" w:rsidR="00642E5D" w:rsidRPr="00E42668" w:rsidRDefault="00E42668" w:rsidP="00E42668">
    <w:pPr>
      <w:pStyle w:val="Footer"/>
    </w:pPr>
    <w:r>
      <w:rPr>
        <w:noProof/>
        <w:lang w:eastAsia="en-AU"/>
      </w:rPr>
      <mc:AlternateContent>
        <mc:Choice Requires="wpg">
          <w:drawing>
            <wp:anchor distT="0" distB="0" distL="114300" distR="114300" simplePos="0" relativeHeight="251659264" behindDoc="0" locked="0" layoutInCell="1" allowOverlap="1" wp14:anchorId="28E31F57" wp14:editId="28E31F58">
              <wp:simplePos x="0" y="0"/>
              <wp:positionH relativeFrom="page">
                <wp:posOffset>0</wp:posOffset>
              </wp:positionH>
              <wp:positionV relativeFrom="paragraph">
                <wp:posOffset>-414111</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46AB56D" id="Group 1" o:spid="_x0000_s1026" alt="Title: Decorative Tasmanian Government - Description: Decorative Tasmanian Government" style="position:absolute;margin-left:0;margin-top:-32.6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B/m7CDf&#10;AAAACAEAAA8AAABkcnMvZG93bnJldi54bWxMj0FrwkAUhO+F/oflFXrTTZQEm+ZFRNqepFAtlN6e&#10;2WcSzO6G7JrEf9/1VI/DDDPf5OtJt2Lg3jXWIMTzCASb0qrGVAjfh/fZCoTzZBS11jDClR2si8eH&#10;nDJlR/PFw95XIpQYlxFC7X2XSenKmjW5ue3YBO9ke00+yL6SqqcxlOtWLqIolZoaExZq6nhbc3ne&#10;XzTCx0jjZhm/DbvzaXv9PSSfP7uYEZ+fps0rCM+T/w/DDT+gQxGYjvZilBMtQjjiEWZpsgBxs+PV&#10;MgZxREhfEpBFLu8PFH8A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BAi0AFAAG&#10;AAgAAAAhANDgc88UAQAARwIAABMAAAAAAAAAAAAAAAAAAAAAAFtDb250ZW50X1R5cGVzXS54bWxQ&#10;SwECLQAUAAYACAAAACEAOP0h/9YAAACUAQAACwAAAAAAAAAAAAAAAABFAQAAX3JlbHMvLnJlbHNQ&#10;SwECLQAUAAYACAAAACEA1HF+WxQDAACmCAAADgAAAAAAAAAAAAAAAABEAgAAZHJzL2Uyb0RvYy54&#10;bWxQSwECLQAKAAAAAAAAACEAWXzVyHcpAAB3KQAAFAAAAAAAAAAAAAAAAACEBQAAZHJzL21lZGlh&#10;L2ltYWdlMS5wbmdQSwECLQAKAAAAAAAAACEAri1u/1R7AABUewAAFQAAAAAAAAAAAAAAAAAtLwAA&#10;ZHJzL21lZGlhL2ltYWdlMi5qcGVnUEsBAi0AFAAGAAgAAAAhAB/m7CDfAAAACAEAAA8AAAAAAAAA&#10;AAAAAAAAtKoAAGRycy9kb3ducmV2LnhtbFBLAQItABQABgAIAAAAIQCMmn+7yAAAAKYBAAAZAAAA&#10;AAAAAAAAAAAAAMCrAABkcnMvX3JlbHMvZTJvRG9jLnhtbC5yZWxzUEsFBgAAAAAHAAcAvwEAAL+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r>
      <w:t xml:space="preserve">Department of </w:t>
    </w:r>
    <w:r w:rsidR="00644303">
      <w:t>Natural Resources and</w:t>
    </w:r>
    <w:r>
      <w:t xml:space="preserve"> Environment</w:t>
    </w:r>
    <w:r w:rsidR="00644303">
      <w:t xml:space="preserve"> Tasmania</w:t>
    </w: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C231B" w14:textId="77777777" w:rsidR="00A32716" w:rsidRDefault="00A32716" w:rsidP="00BC49A5">
      <w:r>
        <w:separator/>
      </w:r>
    </w:p>
  </w:footnote>
  <w:footnote w:type="continuationSeparator" w:id="0">
    <w:p w14:paraId="0EBDC7AE" w14:textId="77777777" w:rsidR="00A32716" w:rsidRDefault="00A32716"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4" w14:textId="00FEBB07" w:rsidR="00EB220A" w:rsidRPr="00EB220A" w:rsidRDefault="00EB220A" w:rsidP="000436F6">
    <w:pPr>
      <w:pStyle w:val="Header"/>
      <w:spacing w:after="240"/>
    </w:pPr>
    <w:r>
      <w:t xml:space="preserve">Statement of Duties: </w:t>
    </w:r>
    <w:r w:rsidR="00EB54B4">
      <w:t xml:space="preserve">Water Resources and </w:t>
    </w:r>
    <w:r w:rsidR="008538EA" w:rsidRPr="00B27659">
      <w:t xml:space="preserve">River Health </w:t>
    </w:r>
    <w:r w:rsidR="00EB54B4">
      <w:t>Scientist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F7E57"/>
    <w:multiLevelType w:val="hybridMultilevel"/>
    <w:tmpl w:val="EBD28BB6"/>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A073BF"/>
    <w:multiLevelType w:val="hybridMultilevel"/>
    <w:tmpl w:val="2EBC6048"/>
    <w:lvl w:ilvl="0" w:tplc="4A92556A">
      <w:start w:val="1"/>
      <w:numFmt w:val="lowerLetter"/>
      <w:lvlText w:val="%1)"/>
      <w:lvlJc w:val="left"/>
      <w:pPr>
        <w:ind w:left="720" w:hanging="360"/>
      </w:pPr>
      <w:rPr>
        <w:rFonts w:eastAsiaTheme="minorHAnsi" w:cstheme="minorBidi"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3BA4CBE"/>
    <w:multiLevelType w:val="hybridMultilevel"/>
    <w:tmpl w:val="063EB4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9"/>
  </w:num>
  <w:num w:numId="2">
    <w:abstractNumId w:val="4"/>
  </w:num>
  <w:num w:numId="3">
    <w:abstractNumId w:val="7"/>
  </w:num>
  <w:num w:numId="4">
    <w:abstractNumId w:val="1"/>
  </w:num>
  <w:num w:numId="5">
    <w:abstractNumId w:val="3"/>
  </w:num>
  <w:num w:numId="6">
    <w:abstractNumId w:val="5"/>
  </w:num>
  <w:num w:numId="7">
    <w:abstractNumId w:val="0"/>
  </w:num>
  <w:num w:numId="8">
    <w:abstractNumId w:val="6"/>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05892"/>
    <w:rsid w:val="00021EE9"/>
    <w:rsid w:val="00031BBF"/>
    <w:rsid w:val="000436F6"/>
    <w:rsid w:val="00073A6C"/>
    <w:rsid w:val="00085651"/>
    <w:rsid w:val="000979C8"/>
    <w:rsid w:val="00097D09"/>
    <w:rsid w:val="000A687B"/>
    <w:rsid w:val="000B113E"/>
    <w:rsid w:val="000E4700"/>
    <w:rsid w:val="001165AA"/>
    <w:rsid w:val="00134E94"/>
    <w:rsid w:val="00162DD3"/>
    <w:rsid w:val="0016305A"/>
    <w:rsid w:val="00185BDA"/>
    <w:rsid w:val="00192887"/>
    <w:rsid w:val="00192E23"/>
    <w:rsid w:val="001947A1"/>
    <w:rsid w:val="00195C91"/>
    <w:rsid w:val="001963E4"/>
    <w:rsid w:val="001B0F06"/>
    <w:rsid w:val="001C06F8"/>
    <w:rsid w:val="001E7B7E"/>
    <w:rsid w:val="00204218"/>
    <w:rsid w:val="0022222B"/>
    <w:rsid w:val="002275BA"/>
    <w:rsid w:val="002533F2"/>
    <w:rsid w:val="00263E12"/>
    <w:rsid w:val="0026476A"/>
    <w:rsid w:val="002818DA"/>
    <w:rsid w:val="00287BE7"/>
    <w:rsid w:val="002A584C"/>
    <w:rsid w:val="002F6F6A"/>
    <w:rsid w:val="00300933"/>
    <w:rsid w:val="003058D6"/>
    <w:rsid w:val="00323951"/>
    <w:rsid w:val="00331842"/>
    <w:rsid w:val="003420FF"/>
    <w:rsid w:val="00342B82"/>
    <w:rsid w:val="00347D88"/>
    <w:rsid w:val="003669A2"/>
    <w:rsid w:val="00371F59"/>
    <w:rsid w:val="00372057"/>
    <w:rsid w:val="00391075"/>
    <w:rsid w:val="003930E7"/>
    <w:rsid w:val="003951E9"/>
    <w:rsid w:val="003C5DE2"/>
    <w:rsid w:val="003D4108"/>
    <w:rsid w:val="003E4A5D"/>
    <w:rsid w:val="003F442E"/>
    <w:rsid w:val="003F5BFA"/>
    <w:rsid w:val="003F7D4A"/>
    <w:rsid w:val="004049C3"/>
    <w:rsid w:val="00411FA3"/>
    <w:rsid w:val="00417933"/>
    <w:rsid w:val="004277BD"/>
    <w:rsid w:val="00485CA0"/>
    <w:rsid w:val="00486C56"/>
    <w:rsid w:val="00490402"/>
    <w:rsid w:val="004A67F6"/>
    <w:rsid w:val="004B08F5"/>
    <w:rsid w:val="004B724E"/>
    <w:rsid w:val="004F2DAF"/>
    <w:rsid w:val="005107FD"/>
    <w:rsid w:val="00542542"/>
    <w:rsid w:val="00547824"/>
    <w:rsid w:val="00551733"/>
    <w:rsid w:val="00556FED"/>
    <w:rsid w:val="005601E2"/>
    <w:rsid w:val="00595FE1"/>
    <w:rsid w:val="005A21C7"/>
    <w:rsid w:val="005A39A5"/>
    <w:rsid w:val="005B21FD"/>
    <w:rsid w:val="005D0CC6"/>
    <w:rsid w:val="005D5969"/>
    <w:rsid w:val="005D5E7E"/>
    <w:rsid w:val="005E379E"/>
    <w:rsid w:val="00600395"/>
    <w:rsid w:val="00614DDF"/>
    <w:rsid w:val="006243ED"/>
    <w:rsid w:val="006363E5"/>
    <w:rsid w:val="00642E5D"/>
    <w:rsid w:val="00644303"/>
    <w:rsid w:val="0065543C"/>
    <w:rsid w:val="00655B5F"/>
    <w:rsid w:val="006E7198"/>
    <w:rsid w:val="006F2AF5"/>
    <w:rsid w:val="006F4AF4"/>
    <w:rsid w:val="00710239"/>
    <w:rsid w:val="00726E06"/>
    <w:rsid w:val="007563BB"/>
    <w:rsid w:val="00771662"/>
    <w:rsid w:val="00771F92"/>
    <w:rsid w:val="007A4FEA"/>
    <w:rsid w:val="007A6DE1"/>
    <w:rsid w:val="007C2B71"/>
    <w:rsid w:val="007C2B83"/>
    <w:rsid w:val="007D11AC"/>
    <w:rsid w:val="007E2DF3"/>
    <w:rsid w:val="007F73E6"/>
    <w:rsid w:val="0080197F"/>
    <w:rsid w:val="00817F04"/>
    <w:rsid w:val="00822FA7"/>
    <w:rsid w:val="00825D62"/>
    <w:rsid w:val="008315BD"/>
    <w:rsid w:val="008538EA"/>
    <w:rsid w:val="00872E1A"/>
    <w:rsid w:val="008732A5"/>
    <w:rsid w:val="008836FB"/>
    <w:rsid w:val="008A0513"/>
    <w:rsid w:val="008B12A1"/>
    <w:rsid w:val="008B6A5C"/>
    <w:rsid w:val="008C3502"/>
    <w:rsid w:val="008D4117"/>
    <w:rsid w:val="008F1AEF"/>
    <w:rsid w:val="008F3009"/>
    <w:rsid w:val="0093612C"/>
    <w:rsid w:val="00965A0F"/>
    <w:rsid w:val="00967604"/>
    <w:rsid w:val="00997371"/>
    <w:rsid w:val="009A65F9"/>
    <w:rsid w:val="009B1D9F"/>
    <w:rsid w:val="009B4518"/>
    <w:rsid w:val="009D522C"/>
    <w:rsid w:val="009F211A"/>
    <w:rsid w:val="00A12351"/>
    <w:rsid w:val="00A27736"/>
    <w:rsid w:val="00A32716"/>
    <w:rsid w:val="00A44F84"/>
    <w:rsid w:val="00A4574A"/>
    <w:rsid w:val="00A726E9"/>
    <w:rsid w:val="00A83370"/>
    <w:rsid w:val="00A84771"/>
    <w:rsid w:val="00A874B5"/>
    <w:rsid w:val="00A94B2C"/>
    <w:rsid w:val="00AB6C43"/>
    <w:rsid w:val="00AC6312"/>
    <w:rsid w:val="00AD14A0"/>
    <w:rsid w:val="00AD1722"/>
    <w:rsid w:val="00AE7056"/>
    <w:rsid w:val="00AF1E81"/>
    <w:rsid w:val="00B232E2"/>
    <w:rsid w:val="00B6253B"/>
    <w:rsid w:val="00BA5A6C"/>
    <w:rsid w:val="00BB79E6"/>
    <w:rsid w:val="00BC49A5"/>
    <w:rsid w:val="00BD238B"/>
    <w:rsid w:val="00BE0907"/>
    <w:rsid w:val="00BF28DD"/>
    <w:rsid w:val="00C03AA0"/>
    <w:rsid w:val="00C44F2C"/>
    <w:rsid w:val="00C544B6"/>
    <w:rsid w:val="00C67C18"/>
    <w:rsid w:val="00C96242"/>
    <w:rsid w:val="00CC5B25"/>
    <w:rsid w:val="00CC6B72"/>
    <w:rsid w:val="00CD42F8"/>
    <w:rsid w:val="00CD7335"/>
    <w:rsid w:val="00D0096D"/>
    <w:rsid w:val="00D214C4"/>
    <w:rsid w:val="00D313AD"/>
    <w:rsid w:val="00D41742"/>
    <w:rsid w:val="00D574F0"/>
    <w:rsid w:val="00D627F0"/>
    <w:rsid w:val="00DA4D5D"/>
    <w:rsid w:val="00DD1205"/>
    <w:rsid w:val="00DE517B"/>
    <w:rsid w:val="00DF0BB8"/>
    <w:rsid w:val="00E1366B"/>
    <w:rsid w:val="00E26C57"/>
    <w:rsid w:val="00E3048D"/>
    <w:rsid w:val="00E3049F"/>
    <w:rsid w:val="00E42668"/>
    <w:rsid w:val="00E52895"/>
    <w:rsid w:val="00E537CB"/>
    <w:rsid w:val="00E537F0"/>
    <w:rsid w:val="00E8550A"/>
    <w:rsid w:val="00E96058"/>
    <w:rsid w:val="00EB220A"/>
    <w:rsid w:val="00EB494B"/>
    <w:rsid w:val="00EB54B4"/>
    <w:rsid w:val="00EE1363"/>
    <w:rsid w:val="00EE2E8C"/>
    <w:rsid w:val="00F2463C"/>
    <w:rsid w:val="00F35E17"/>
    <w:rsid w:val="00F423A5"/>
    <w:rsid w:val="00F47CA0"/>
    <w:rsid w:val="00F821D2"/>
    <w:rsid w:val="00FE4F02"/>
    <w:rsid w:val="00FF14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character" w:styleId="CommentReference">
    <w:name w:val="annotation reference"/>
    <w:basedOn w:val="DefaultParagraphFont"/>
    <w:uiPriority w:val="99"/>
    <w:semiHidden/>
    <w:unhideWhenUsed/>
    <w:rsid w:val="00E8550A"/>
    <w:rPr>
      <w:sz w:val="16"/>
      <w:szCs w:val="16"/>
    </w:rPr>
  </w:style>
  <w:style w:type="paragraph" w:styleId="CommentText">
    <w:name w:val="annotation text"/>
    <w:basedOn w:val="Normal"/>
    <w:link w:val="CommentTextChar"/>
    <w:uiPriority w:val="99"/>
    <w:unhideWhenUsed/>
    <w:rsid w:val="00E8550A"/>
    <w:pPr>
      <w:spacing w:line="240" w:lineRule="auto"/>
    </w:pPr>
    <w:rPr>
      <w:sz w:val="20"/>
      <w:szCs w:val="20"/>
    </w:rPr>
  </w:style>
  <w:style w:type="character" w:customStyle="1" w:styleId="CommentTextChar">
    <w:name w:val="Comment Text Char"/>
    <w:basedOn w:val="DefaultParagraphFont"/>
    <w:link w:val="CommentText"/>
    <w:uiPriority w:val="99"/>
    <w:rsid w:val="00E8550A"/>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E8550A"/>
    <w:rPr>
      <w:b/>
      <w:bCs/>
    </w:rPr>
  </w:style>
  <w:style w:type="character" w:customStyle="1" w:styleId="CommentSubjectChar">
    <w:name w:val="Comment Subject Char"/>
    <w:basedOn w:val="CommentTextChar"/>
    <w:link w:val="CommentSubject"/>
    <w:uiPriority w:val="99"/>
    <w:semiHidden/>
    <w:rsid w:val="00E8550A"/>
    <w:rPr>
      <w:rFonts w:ascii="Gill Sans MT" w:hAnsi="Gill Sans MT"/>
      <w:b/>
      <w:bCs/>
      <w:sz w:val="20"/>
      <w:szCs w:val="20"/>
    </w:rPr>
  </w:style>
  <w:style w:type="paragraph" w:styleId="BalloonText">
    <w:name w:val="Balloon Text"/>
    <w:basedOn w:val="Normal"/>
    <w:link w:val="BalloonTextChar"/>
    <w:uiPriority w:val="99"/>
    <w:semiHidden/>
    <w:unhideWhenUsed/>
    <w:rsid w:val="00D417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742"/>
    <w:rPr>
      <w:rFonts w:ascii="Segoe UI" w:hAnsi="Segoe UI" w:cs="Segoe UI"/>
      <w:sz w:val="18"/>
      <w:szCs w:val="18"/>
    </w:rPr>
  </w:style>
  <w:style w:type="paragraph" w:customStyle="1" w:styleId="xmsolistparagraph">
    <w:name w:val="x_msolistparagraph"/>
    <w:basedOn w:val="Normal"/>
    <w:rsid w:val="00031BBF"/>
    <w:pPr>
      <w:tabs>
        <w:tab w:val="clear" w:pos="2835"/>
      </w:tabs>
      <w:spacing w:before="0" w:after="0" w:line="240" w:lineRule="auto"/>
      <w:ind w:left="720"/>
    </w:pPr>
    <w:rPr>
      <w:rFonts w:ascii="Calibri" w:hAnsi="Calibri" w:cs="Calibri"/>
      <w:sz w:val="22"/>
      <w:lang w:eastAsia="en-AU"/>
    </w:rPr>
  </w:style>
  <w:style w:type="character" w:customStyle="1" w:styleId="xheading3char">
    <w:name w:val="x_heading3char"/>
    <w:basedOn w:val="DefaultParagraphFont"/>
    <w:rsid w:val="00822FA7"/>
    <w:rPr>
      <w:rFonts w:ascii="Gill Sans MT" w:hAnsi="Gill Sans MT" w:hint="default"/>
      <w:b/>
      <w:bCs/>
      <w:color w:val="000000"/>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7A6DE1"/>
    <w:rPr>
      <w:rFonts w:ascii="Gill Sans MT" w:hAnsi="Gill Sans MT"/>
      <w:sz w:val="24"/>
    </w:rPr>
  </w:style>
  <w:style w:type="paragraph" w:customStyle="1" w:styleId="paragraph">
    <w:name w:val="paragraph"/>
    <w:basedOn w:val="Normal"/>
    <w:uiPriority w:val="99"/>
    <w:rsid w:val="007A6DE1"/>
    <w:pPr>
      <w:tabs>
        <w:tab w:val="clear" w:pos="2835"/>
      </w:tabs>
      <w:spacing w:before="100" w:beforeAutospacing="1" w:after="100" w:afterAutospacing="1" w:line="240" w:lineRule="auto"/>
    </w:pPr>
    <w:rPr>
      <w:rFonts w:ascii="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7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ac.tas.gov.au/divisions/ssm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re.ta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vicesaustralia.gov.au/individuals/services/medicare/australian-immunisation-register/what-register/immunisation-medical-exemp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22c6a54962f09b645212c184977a00ae">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9baf0bbc9a6a9b154cf3fd26e273527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6B63E8-FB8E-44B5-AD7F-A0AC6948699E}">
  <ds:schemaRefs>
    <ds:schemaRef ds:uri="http://schemas.openxmlformats.org/officeDocument/2006/bibliography"/>
  </ds:schemaRefs>
</ds:datastoreItem>
</file>

<file path=customXml/itemProps2.xml><?xml version="1.0" encoding="utf-8"?>
<ds:datastoreItem xmlns:ds="http://schemas.openxmlformats.org/officeDocument/2006/customXml" ds:itemID="{6F6833B9-B5F9-4D07-8710-01E21CCDA7D0}">
  <ds:schemaRefs>
    <ds:schemaRef ds:uri="http://schemas.microsoft.com/sharepoint/v3/contenttype/forms"/>
  </ds:schemaRefs>
</ds:datastoreItem>
</file>

<file path=customXml/itemProps3.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customXml/itemProps4.xml><?xml version="1.0" encoding="utf-8"?>
<ds:datastoreItem xmlns:ds="http://schemas.openxmlformats.org/officeDocument/2006/customXml" ds:itemID="{0706A2F2-42BD-4FF0-A867-DBDB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1572</Words>
  <Characters>8961</Characters>
  <Application>Microsoft Office Word</Application>
  <DocSecurity>0</DocSecurity>
  <Lines>74</Lines>
  <Paragraphs>21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SoD Template - General Stream Band 6</vt:lpstr>
      <vt:lpstr>Department of Natural Resources and Environment Tasmania</vt:lpstr>
      <vt:lpstr>Water Resource and River Health Scientist</vt:lpstr>
      <vt:lpstr>Statement of Duties</vt:lpstr>
      <vt:lpstr>        </vt:lpstr>
      <vt:lpstr>Desirable Qualifications and Requirements</vt:lpstr>
      <vt:lpstr>There is a strong emphasis on building leadership capacity throughout DPIPWE.</vt:lpstr>
      <vt:lpstr>The expected behaviours and performance of the Department’s employees and manage</vt:lpstr>
    </vt:vector>
  </TitlesOfParts>
  <Company>Department of Premier and Cabinet</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6</dc:title>
  <dc:creator>Molhuysen, Jodi</dc:creator>
  <cp:lastModifiedBy>Wilson, Anna</cp:lastModifiedBy>
  <cp:revision>2</cp:revision>
  <cp:lastPrinted>2021-12-03T03:33:00Z</cp:lastPrinted>
  <dcterms:created xsi:type="dcterms:W3CDTF">2021-12-19T23:26:00Z</dcterms:created>
  <dcterms:modified xsi:type="dcterms:W3CDTF">2021-12-19T23:26:00Z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