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6B86AB" w14:textId="77777777" w:rsidR="00F721CA" w:rsidRDefault="00170FE8">
      <w:r>
        <w:rPr>
          <w:noProof/>
        </w:rPr>
        <w:drawing>
          <wp:anchor distT="0" distB="0" distL="114300" distR="114300" simplePos="0" relativeHeight="251661312" behindDoc="0" locked="0" layoutInCell="1" allowOverlap="1" wp14:anchorId="012ABFA4" wp14:editId="6006B358">
            <wp:simplePos x="0" y="0"/>
            <wp:positionH relativeFrom="column">
              <wp:posOffset>172085</wp:posOffset>
            </wp:positionH>
            <wp:positionV relativeFrom="paragraph">
              <wp:posOffset>-532765</wp:posOffset>
            </wp:positionV>
            <wp:extent cx="2026920" cy="666115"/>
            <wp:effectExtent l="0" t="0" r="0" b="63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2026920" cy="66611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9360" w:type="dxa"/>
        <w:tblLayout w:type="fixed"/>
        <w:tblCellMar>
          <w:left w:w="0" w:type="dxa"/>
          <w:right w:w="0" w:type="dxa"/>
        </w:tblCellMar>
        <w:tblLook w:val="0000" w:firstRow="0" w:lastRow="0" w:firstColumn="0" w:lastColumn="0" w:noHBand="0" w:noVBand="0"/>
      </w:tblPr>
      <w:tblGrid>
        <w:gridCol w:w="4111"/>
        <w:gridCol w:w="5249"/>
      </w:tblGrid>
      <w:tr w:rsidR="00F721CA" w14:paraId="708E35DA" w14:textId="77777777" w:rsidTr="00F721CA">
        <w:tc>
          <w:tcPr>
            <w:tcW w:w="4111" w:type="dxa"/>
            <w:tcBorders>
              <w:top w:val="nil"/>
              <w:left w:val="nil"/>
              <w:bottom w:val="nil"/>
              <w:right w:val="nil"/>
            </w:tcBorders>
          </w:tcPr>
          <w:p w14:paraId="391A335A" w14:textId="77777777" w:rsidR="000D7D25" w:rsidRDefault="00024C09" w:rsidP="000D7D25">
            <w:r>
              <w:rPr>
                <w:noProof/>
              </w:rPr>
              <mc:AlternateContent>
                <mc:Choice Requires="wps">
                  <w:drawing>
                    <wp:anchor distT="0" distB="0" distL="114300" distR="114300" simplePos="0" relativeHeight="251660288" behindDoc="0" locked="0" layoutInCell="1" allowOverlap="1" wp14:anchorId="7C1B1CB8" wp14:editId="3729BDC6">
                      <wp:simplePos x="0" y="0"/>
                      <wp:positionH relativeFrom="column">
                        <wp:posOffset>4062730</wp:posOffset>
                      </wp:positionH>
                      <wp:positionV relativeFrom="paragraph">
                        <wp:posOffset>-802005</wp:posOffset>
                      </wp:positionV>
                      <wp:extent cx="2609850" cy="215900"/>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9850" cy="215900"/>
                              </a:xfrm>
                              <a:prstGeom prst="rect">
                                <a:avLst/>
                              </a:prstGeom>
                              <a:solidFill>
                                <a:srgbClr val="7AC4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50CE23A9" id="Rectangle 3" o:spid="_x0000_s1026" style="position:absolute;margin-left:319.9pt;margin-top:-63.15pt;width:205.5pt;height:1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" fillcolor="#7ac4d9" stroked="f"/>
                  </w:pict>
                </mc:Fallback>
              </mc:AlternateContent>
            </w:r>
          </w:p>
          <w:p w14:paraId="3D30C675" w14:textId="77777777" w:rsidR="000D7D25" w:rsidRDefault="000D7D25" w:rsidP="000D7D25">
            <w:pPr>
              <w:spacing w:before="120"/>
              <w:rPr>
                <w:rFonts w:ascii="Arial-BoldMT" w:hAnsi="Arial-BoldMT" w:cs="Arial-BoldMT"/>
                <w:b/>
                <w:bCs/>
                <w:sz w:val="22"/>
                <w:szCs w:val="22"/>
              </w:rPr>
            </w:pPr>
          </w:p>
          <w:p w14:paraId="133A4A47" w14:textId="77777777" w:rsidR="000D7D25" w:rsidRDefault="000D7D25" w:rsidP="000D7D25">
            <w:pPr>
              <w:spacing w:before="120"/>
              <w:rPr>
                <w:rFonts w:ascii="Arial-BoldMT" w:hAnsi="Arial-BoldMT" w:cs="Arial-BoldMT"/>
                <w:b/>
                <w:bCs/>
                <w:sz w:val="22"/>
                <w:szCs w:val="22"/>
              </w:rPr>
            </w:pPr>
          </w:p>
          <w:p w14:paraId="3E403C1E" w14:textId="77777777" w:rsidR="00F721CA" w:rsidRDefault="00F721CA" w:rsidP="000D7D25">
            <w:pPr>
              <w:spacing w:before="120"/>
              <w:rPr>
                <w:rFonts w:ascii="Arial-BoldMT" w:hAnsi="Arial-BoldMT" w:cs="Arial-BoldMT"/>
                <w:b/>
                <w:bCs/>
                <w:sz w:val="22"/>
                <w:szCs w:val="22"/>
              </w:rPr>
            </w:pPr>
            <w:r>
              <w:rPr>
                <w:rFonts w:ascii="Arial-BoldMT" w:hAnsi="Arial-BoldMT" w:cs="Arial-BoldMT"/>
                <w:b/>
                <w:bCs/>
                <w:sz w:val="22"/>
                <w:szCs w:val="22"/>
              </w:rPr>
              <w:t>Position Title:</w:t>
            </w:r>
          </w:p>
        </w:tc>
        <w:tc>
          <w:tcPr>
            <w:tcW w:w="5249" w:type="dxa"/>
            <w:tcBorders>
              <w:top w:val="nil"/>
              <w:left w:val="nil"/>
              <w:bottom w:val="nil"/>
              <w:right w:val="nil"/>
            </w:tcBorders>
          </w:tcPr>
          <w:p w14:paraId="414F18D3" w14:textId="77777777" w:rsidR="000D7D25" w:rsidRDefault="000D7D25">
            <w:pPr>
              <w:spacing w:before="120"/>
              <w:rPr>
                <w:rFonts w:ascii="ArialMT" w:hAnsi="ArialMT" w:cs="ArialMT"/>
                <w:sz w:val="22"/>
                <w:szCs w:val="22"/>
              </w:rPr>
            </w:pPr>
          </w:p>
          <w:p w14:paraId="12782CE6" w14:textId="77777777" w:rsidR="000D7D25" w:rsidRPr="000D7D25" w:rsidRDefault="000D7D25" w:rsidP="000D7D25">
            <w:pPr>
              <w:rPr>
                <w:rFonts w:ascii="ArialMT" w:hAnsi="ArialMT" w:cs="ArialMT"/>
                <w:sz w:val="22"/>
                <w:szCs w:val="22"/>
              </w:rPr>
            </w:pPr>
          </w:p>
          <w:p w14:paraId="275F29A8" w14:textId="77777777" w:rsidR="000D7D25" w:rsidRPr="000D7D25" w:rsidRDefault="000D7D25" w:rsidP="000D7D25">
            <w:pPr>
              <w:rPr>
                <w:rFonts w:ascii="ArialMT" w:hAnsi="ArialMT" w:cs="ArialMT"/>
                <w:sz w:val="22"/>
                <w:szCs w:val="22"/>
              </w:rPr>
            </w:pPr>
          </w:p>
          <w:p w14:paraId="08CDCB0E" w14:textId="77777777" w:rsidR="000D7D25" w:rsidRDefault="000D7D25" w:rsidP="000D7D25">
            <w:pPr>
              <w:rPr>
                <w:rFonts w:ascii="ArialMT" w:hAnsi="ArialMT" w:cs="ArialMT"/>
                <w:sz w:val="22"/>
                <w:szCs w:val="22"/>
              </w:rPr>
            </w:pPr>
          </w:p>
          <w:p w14:paraId="59F39454" w14:textId="77777777" w:rsidR="00F721CA" w:rsidRPr="000D7D25" w:rsidRDefault="000D7D25" w:rsidP="000D7D25">
            <w:pPr>
              <w:rPr>
                <w:rFonts w:ascii="ArialMT" w:hAnsi="ArialMT" w:cs="ArialMT"/>
                <w:sz w:val="22"/>
                <w:szCs w:val="22"/>
              </w:rPr>
            </w:pPr>
            <w:r>
              <w:rPr>
                <w:rFonts w:ascii="ArialMT" w:hAnsi="ArialMT" w:cs="ArialMT"/>
                <w:sz w:val="22"/>
                <w:szCs w:val="22"/>
              </w:rPr>
              <w:t xml:space="preserve">Margaret Braine Fellowship </w:t>
            </w:r>
          </w:p>
        </w:tc>
      </w:tr>
      <w:tr w:rsidR="00F721CA" w14:paraId="4ED85D2C" w14:textId="77777777" w:rsidTr="00F721CA">
        <w:tc>
          <w:tcPr>
            <w:tcW w:w="4111" w:type="dxa"/>
            <w:tcBorders>
              <w:top w:val="nil"/>
              <w:left w:val="nil"/>
              <w:bottom w:val="nil"/>
              <w:right w:val="nil"/>
            </w:tcBorders>
          </w:tcPr>
          <w:p w14:paraId="1AB4D626" w14:textId="77777777" w:rsidR="00F721CA" w:rsidRDefault="00F721CA" w:rsidP="000D7D25">
            <w:pPr>
              <w:spacing w:before="120"/>
              <w:rPr>
                <w:rFonts w:ascii="Arial-BoldMT" w:hAnsi="Arial-BoldMT" w:cs="Arial-BoldMT"/>
                <w:b/>
                <w:bCs/>
                <w:sz w:val="22"/>
                <w:szCs w:val="22"/>
              </w:rPr>
            </w:pPr>
            <w:r>
              <w:rPr>
                <w:rFonts w:ascii="Arial-BoldMT" w:hAnsi="Arial-BoldMT" w:cs="Arial-BoldMT"/>
                <w:b/>
                <w:bCs/>
                <w:sz w:val="22"/>
                <w:szCs w:val="22"/>
                <w:lang w:val="en-US"/>
              </w:rPr>
              <w:t>Position</w:t>
            </w:r>
            <w:r>
              <w:rPr>
                <w:rFonts w:ascii="Arial-BoldMT" w:hAnsi="Arial-BoldMT" w:cs="Arial-BoldMT"/>
                <w:b/>
                <w:bCs/>
                <w:sz w:val="22"/>
                <w:szCs w:val="22"/>
              </w:rPr>
              <w:t xml:space="preserve"> Classification:</w:t>
            </w:r>
          </w:p>
        </w:tc>
        <w:tc>
          <w:tcPr>
            <w:tcW w:w="5249" w:type="dxa"/>
            <w:tcBorders>
              <w:top w:val="nil"/>
              <w:left w:val="nil"/>
              <w:bottom w:val="nil"/>
              <w:right w:val="nil"/>
            </w:tcBorders>
          </w:tcPr>
          <w:p w14:paraId="26881D4A" w14:textId="77777777" w:rsidR="00F721CA" w:rsidRPr="00971321" w:rsidRDefault="00FB7ECE">
            <w:pPr>
              <w:spacing w:before="120"/>
              <w:rPr>
                <w:rFonts w:ascii="ArialMT" w:hAnsi="ArialMT" w:cs="ArialMT"/>
                <w:sz w:val="22"/>
                <w:szCs w:val="22"/>
              </w:rPr>
            </w:pPr>
            <w:r w:rsidRPr="00971321">
              <w:rPr>
                <w:rFonts w:ascii="ArialMT" w:hAnsi="ArialMT" w:cs="ArialMT"/>
                <w:sz w:val="22"/>
                <w:szCs w:val="22"/>
              </w:rPr>
              <w:t xml:space="preserve">Level </w:t>
            </w:r>
            <w:r w:rsidR="00781715" w:rsidRPr="00971321">
              <w:rPr>
                <w:rFonts w:ascii="ArialMT" w:hAnsi="ArialMT" w:cs="ArialMT"/>
                <w:sz w:val="22"/>
                <w:szCs w:val="22"/>
              </w:rPr>
              <w:t>A</w:t>
            </w:r>
          </w:p>
        </w:tc>
      </w:tr>
      <w:tr w:rsidR="00F721CA" w14:paraId="1667C6F6" w14:textId="77777777" w:rsidTr="00F721CA">
        <w:tc>
          <w:tcPr>
            <w:tcW w:w="4111" w:type="dxa"/>
            <w:tcBorders>
              <w:top w:val="nil"/>
              <w:left w:val="nil"/>
              <w:bottom w:val="nil"/>
              <w:right w:val="nil"/>
            </w:tcBorders>
          </w:tcPr>
          <w:p w14:paraId="5D7B5127" w14:textId="77777777" w:rsidR="00F721CA" w:rsidRPr="00FB7ECE" w:rsidRDefault="00F721CA" w:rsidP="000D7D25">
            <w:pPr>
              <w:spacing w:before="120"/>
              <w:rPr>
                <w:rFonts w:ascii="Arial-BoldMT" w:hAnsi="Arial-BoldMT" w:cs="Arial-BoldMT"/>
                <w:b/>
                <w:bCs/>
                <w:sz w:val="22"/>
                <w:szCs w:val="22"/>
              </w:rPr>
            </w:pPr>
            <w:r w:rsidRPr="00FB7ECE">
              <w:rPr>
                <w:rFonts w:ascii="Arial-BoldMT" w:hAnsi="Arial-BoldMT" w:cs="Arial-BoldMT"/>
                <w:b/>
                <w:bCs/>
                <w:sz w:val="22"/>
                <w:szCs w:val="22"/>
                <w:lang w:val="en-US"/>
              </w:rPr>
              <w:t>Position</w:t>
            </w:r>
            <w:r w:rsidRPr="00FB7ECE">
              <w:rPr>
                <w:rFonts w:ascii="Arial-BoldMT" w:hAnsi="Arial-BoldMT" w:cs="Arial-BoldMT"/>
                <w:b/>
                <w:bCs/>
                <w:sz w:val="22"/>
                <w:szCs w:val="22"/>
              </w:rPr>
              <w:t xml:space="preserve"> Number:</w:t>
            </w:r>
          </w:p>
        </w:tc>
        <w:tc>
          <w:tcPr>
            <w:tcW w:w="5249" w:type="dxa"/>
            <w:tcBorders>
              <w:top w:val="nil"/>
              <w:left w:val="nil"/>
              <w:bottom w:val="nil"/>
              <w:right w:val="nil"/>
            </w:tcBorders>
          </w:tcPr>
          <w:p w14:paraId="5EE51BC9" w14:textId="77777777" w:rsidR="00F721CA" w:rsidRPr="00971321" w:rsidRDefault="000D7D25">
            <w:pPr>
              <w:spacing w:before="120"/>
              <w:rPr>
                <w:rFonts w:ascii="ArialMT" w:hAnsi="ArialMT" w:cs="ArialMT"/>
                <w:sz w:val="22"/>
                <w:szCs w:val="22"/>
              </w:rPr>
            </w:pPr>
            <w:r w:rsidRPr="00971321">
              <w:rPr>
                <w:rFonts w:ascii="ArialMT" w:hAnsi="ArialMT" w:cs="ArialMT"/>
                <w:sz w:val="22"/>
                <w:szCs w:val="22"/>
              </w:rPr>
              <w:t>312656</w:t>
            </w:r>
          </w:p>
        </w:tc>
      </w:tr>
      <w:tr w:rsidR="00F721CA" w14:paraId="5C645B60" w14:textId="77777777" w:rsidTr="00F721CA">
        <w:tc>
          <w:tcPr>
            <w:tcW w:w="4111" w:type="dxa"/>
            <w:tcBorders>
              <w:top w:val="nil"/>
              <w:left w:val="nil"/>
              <w:bottom w:val="nil"/>
              <w:right w:val="nil"/>
            </w:tcBorders>
          </w:tcPr>
          <w:p w14:paraId="26489626" w14:textId="77777777" w:rsidR="00F721CA" w:rsidRDefault="00F721CA" w:rsidP="000D7D25">
            <w:pPr>
              <w:spacing w:before="120"/>
              <w:rPr>
                <w:rFonts w:ascii="Arial-BoldMT" w:hAnsi="Arial-BoldMT" w:cs="Arial-BoldMT"/>
                <w:b/>
                <w:bCs/>
                <w:sz w:val="22"/>
                <w:szCs w:val="22"/>
                <w:lang w:val="en-US"/>
              </w:rPr>
            </w:pPr>
            <w:r>
              <w:rPr>
                <w:rFonts w:ascii="Arial-BoldMT" w:hAnsi="Arial-BoldMT" w:cs="Arial-BoldMT"/>
                <w:b/>
                <w:bCs/>
                <w:sz w:val="22"/>
                <w:szCs w:val="22"/>
                <w:lang w:val="en-US"/>
              </w:rPr>
              <w:t>Faculty/Office:</w:t>
            </w:r>
          </w:p>
          <w:p w14:paraId="49B4EDEC" w14:textId="77777777" w:rsidR="00F721CA" w:rsidRDefault="00F721CA" w:rsidP="000D7D25">
            <w:pPr>
              <w:spacing w:before="120"/>
              <w:rPr>
                <w:rFonts w:ascii="Arial-BoldMT" w:hAnsi="Arial-BoldMT" w:cs="Arial-BoldMT"/>
                <w:b/>
                <w:bCs/>
                <w:sz w:val="22"/>
                <w:szCs w:val="22"/>
                <w:lang w:val="en-US"/>
              </w:rPr>
            </w:pPr>
            <w:r>
              <w:rPr>
                <w:rFonts w:ascii="Arial-BoldMT" w:hAnsi="Arial-BoldMT" w:cs="Arial-BoldMT"/>
                <w:b/>
                <w:bCs/>
                <w:sz w:val="22"/>
                <w:szCs w:val="22"/>
                <w:lang w:val="en-US"/>
              </w:rPr>
              <w:t>School/Division:</w:t>
            </w:r>
          </w:p>
          <w:p w14:paraId="3D184077" w14:textId="77777777" w:rsidR="00F721CA" w:rsidRDefault="00F721CA" w:rsidP="000D7D25">
            <w:pPr>
              <w:spacing w:before="120"/>
              <w:rPr>
                <w:rFonts w:ascii="Arial-BoldMT" w:hAnsi="Arial-BoldMT" w:cs="Arial-BoldMT"/>
                <w:b/>
                <w:bCs/>
                <w:sz w:val="22"/>
                <w:szCs w:val="22"/>
              </w:rPr>
            </w:pPr>
            <w:r>
              <w:rPr>
                <w:rFonts w:ascii="Arial-BoldMT" w:hAnsi="Arial-BoldMT" w:cs="Arial-BoldMT"/>
                <w:b/>
                <w:bCs/>
                <w:sz w:val="22"/>
                <w:szCs w:val="22"/>
              </w:rPr>
              <w:t>Centre/Section:</w:t>
            </w:r>
          </w:p>
        </w:tc>
        <w:tc>
          <w:tcPr>
            <w:tcW w:w="5249" w:type="dxa"/>
            <w:tcBorders>
              <w:top w:val="nil"/>
              <w:left w:val="nil"/>
              <w:bottom w:val="nil"/>
              <w:right w:val="nil"/>
            </w:tcBorders>
          </w:tcPr>
          <w:p w14:paraId="666DE4E1" w14:textId="77777777" w:rsidR="00F721CA" w:rsidRPr="00971321" w:rsidRDefault="00F721CA">
            <w:pPr>
              <w:spacing w:before="120" w:after="120"/>
              <w:rPr>
                <w:rFonts w:ascii="ArialMT" w:hAnsi="ArialMT" w:cs="ArialMT"/>
                <w:sz w:val="22"/>
                <w:szCs w:val="22"/>
              </w:rPr>
            </w:pPr>
            <w:r w:rsidRPr="00971321">
              <w:rPr>
                <w:rFonts w:ascii="ArialMT" w:hAnsi="ArialMT" w:cs="ArialMT"/>
                <w:sz w:val="22"/>
                <w:szCs w:val="22"/>
              </w:rPr>
              <w:t>Arts</w:t>
            </w:r>
            <w:r w:rsidR="00781715" w:rsidRPr="00971321">
              <w:rPr>
                <w:rFonts w:ascii="ArialMT" w:hAnsi="ArialMT" w:cs="ArialMT"/>
                <w:sz w:val="22"/>
                <w:szCs w:val="22"/>
              </w:rPr>
              <w:t>, Business, Law, Education</w:t>
            </w:r>
          </w:p>
          <w:p w14:paraId="20F268CD" w14:textId="77777777" w:rsidR="00F721CA" w:rsidRPr="00971321" w:rsidRDefault="00F721CA">
            <w:pPr>
              <w:spacing w:after="120"/>
              <w:rPr>
                <w:rFonts w:ascii="ArialMT" w:hAnsi="ArialMT" w:cs="ArialMT"/>
                <w:sz w:val="22"/>
                <w:szCs w:val="22"/>
              </w:rPr>
            </w:pPr>
            <w:r w:rsidRPr="00971321">
              <w:rPr>
                <w:rFonts w:ascii="ArialMT" w:hAnsi="ArialMT" w:cs="ArialMT"/>
                <w:sz w:val="22"/>
                <w:szCs w:val="22"/>
              </w:rPr>
              <w:t>Humanities</w:t>
            </w:r>
          </w:p>
          <w:p w14:paraId="0EAB4AE1" w14:textId="77777777" w:rsidR="00F721CA" w:rsidRPr="00971321" w:rsidRDefault="00F721CA">
            <w:pPr>
              <w:rPr>
                <w:rFonts w:ascii="ArialMT" w:hAnsi="ArialMT" w:cs="ArialMT"/>
                <w:sz w:val="22"/>
                <w:szCs w:val="22"/>
              </w:rPr>
            </w:pPr>
            <w:r w:rsidRPr="00971321">
              <w:rPr>
                <w:rFonts w:ascii="ArialMT" w:hAnsi="ArialMT" w:cs="ArialMT"/>
                <w:sz w:val="22"/>
                <w:szCs w:val="22"/>
              </w:rPr>
              <w:t xml:space="preserve">Classics and Ancient History </w:t>
            </w:r>
          </w:p>
        </w:tc>
      </w:tr>
      <w:tr w:rsidR="00F721CA" w14:paraId="2821EC00" w14:textId="77777777" w:rsidTr="00F721CA">
        <w:tc>
          <w:tcPr>
            <w:tcW w:w="4111" w:type="dxa"/>
            <w:tcBorders>
              <w:top w:val="nil"/>
              <w:left w:val="nil"/>
              <w:bottom w:val="nil"/>
              <w:right w:val="nil"/>
            </w:tcBorders>
          </w:tcPr>
          <w:p w14:paraId="11125037" w14:textId="77777777" w:rsidR="00F721CA" w:rsidRDefault="00F721CA" w:rsidP="000D7D25">
            <w:pPr>
              <w:spacing w:before="120"/>
              <w:rPr>
                <w:rFonts w:ascii="Arial-BoldMT" w:hAnsi="Arial-BoldMT" w:cs="Arial-BoldMT"/>
                <w:b/>
                <w:bCs/>
                <w:sz w:val="22"/>
                <w:szCs w:val="22"/>
              </w:rPr>
            </w:pPr>
            <w:r>
              <w:rPr>
                <w:rFonts w:ascii="Arial-BoldMT" w:hAnsi="Arial-BoldMT" w:cs="Arial-BoldMT"/>
                <w:b/>
                <w:bCs/>
                <w:sz w:val="22"/>
                <w:szCs w:val="22"/>
                <w:lang w:val="en-US"/>
              </w:rPr>
              <w:t>Supervisor</w:t>
            </w:r>
            <w:r>
              <w:rPr>
                <w:rFonts w:ascii="Arial-BoldMT" w:hAnsi="Arial-BoldMT" w:cs="Arial-BoldMT"/>
                <w:b/>
                <w:bCs/>
                <w:sz w:val="22"/>
                <w:szCs w:val="22"/>
              </w:rPr>
              <w:t xml:space="preserve"> Title:</w:t>
            </w:r>
          </w:p>
        </w:tc>
        <w:tc>
          <w:tcPr>
            <w:tcW w:w="5249" w:type="dxa"/>
            <w:tcBorders>
              <w:top w:val="nil"/>
              <w:left w:val="nil"/>
              <w:bottom w:val="nil"/>
              <w:right w:val="nil"/>
            </w:tcBorders>
          </w:tcPr>
          <w:p w14:paraId="069BF566" w14:textId="77777777" w:rsidR="00F721CA" w:rsidRDefault="00F721CA">
            <w:pPr>
              <w:spacing w:before="120"/>
              <w:rPr>
                <w:rFonts w:ascii="ArialMT" w:hAnsi="ArialMT" w:cs="ArialMT"/>
                <w:sz w:val="22"/>
                <w:szCs w:val="22"/>
              </w:rPr>
            </w:pPr>
            <w:r>
              <w:rPr>
                <w:rFonts w:ascii="ArialMT" w:hAnsi="ArialMT" w:cs="ArialMT"/>
                <w:sz w:val="22"/>
                <w:szCs w:val="22"/>
              </w:rPr>
              <w:t xml:space="preserve">Head of School </w:t>
            </w:r>
          </w:p>
        </w:tc>
      </w:tr>
      <w:tr w:rsidR="00F721CA" w14:paraId="00401FD0" w14:textId="77777777" w:rsidTr="00F721CA">
        <w:tc>
          <w:tcPr>
            <w:tcW w:w="4111" w:type="dxa"/>
            <w:tcBorders>
              <w:top w:val="nil"/>
              <w:left w:val="nil"/>
              <w:bottom w:val="nil"/>
              <w:right w:val="nil"/>
            </w:tcBorders>
          </w:tcPr>
          <w:p w14:paraId="38677A57" w14:textId="77777777" w:rsidR="00F721CA" w:rsidRDefault="00F721CA" w:rsidP="000D7D25">
            <w:pPr>
              <w:spacing w:before="120" w:after="120"/>
              <w:rPr>
                <w:rFonts w:ascii="Arial-BoldMT" w:hAnsi="Arial-BoldMT" w:cs="Arial-BoldMT"/>
                <w:b/>
                <w:bCs/>
                <w:sz w:val="22"/>
                <w:szCs w:val="22"/>
              </w:rPr>
            </w:pPr>
            <w:r>
              <w:rPr>
                <w:rFonts w:ascii="Arial-BoldMT" w:hAnsi="Arial-BoldMT" w:cs="Arial-BoldMT"/>
                <w:b/>
                <w:bCs/>
                <w:sz w:val="22"/>
                <w:szCs w:val="22"/>
              </w:rPr>
              <w:t>Supervisor Position Number:</w:t>
            </w:r>
          </w:p>
        </w:tc>
        <w:tc>
          <w:tcPr>
            <w:tcW w:w="5249" w:type="dxa"/>
            <w:tcBorders>
              <w:top w:val="nil"/>
              <w:left w:val="nil"/>
              <w:bottom w:val="nil"/>
              <w:right w:val="nil"/>
            </w:tcBorders>
          </w:tcPr>
          <w:p w14:paraId="74CD3A3D" w14:textId="77777777" w:rsidR="00F721CA" w:rsidRDefault="00F721CA">
            <w:pPr>
              <w:spacing w:before="120" w:after="60"/>
              <w:rPr>
                <w:rFonts w:ascii="ArialMT" w:hAnsi="ArialMT" w:cs="ArialMT"/>
                <w:sz w:val="22"/>
                <w:szCs w:val="22"/>
              </w:rPr>
            </w:pPr>
            <w:r>
              <w:rPr>
                <w:rFonts w:ascii="ArialMT" w:hAnsi="ArialMT" w:cs="ArialMT"/>
                <w:sz w:val="22"/>
                <w:szCs w:val="22"/>
              </w:rPr>
              <w:t>303036</w:t>
            </w:r>
          </w:p>
        </w:tc>
      </w:tr>
    </w:tbl>
    <w:p w14:paraId="37112689" w14:textId="77777777" w:rsidR="00F721CA" w:rsidRDefault="00F721CA">
      <w:pPr>
        <w:shd w:val="clear" w:color="000000" w:fill="000000"/>
        <w:tabs>
          <w:tab w:val="right" w:pos="9072"/>
        </w:tabs>
        <w:spacing w:before="120" w:after="60"/>
        <w:jc w:val="both"/>
        <w:rPr>
          <w:rFonts w:ascii="Arial-BoldMT" w:hAnsi="Arial-BoldMT" w:cs="Arial-BoldMT"/>
          <w:b/>
          <w:bCs/>
          <w:color w:val="FFFFFF"/>
        </w:rPr>
      </w:pPr>
      <w:r>
        <w:rPr>
          <w:rFonts w:ascii="Arial-BoldMT" w:hAnsi="Arial-BoldMT" w:cs="Arial-BoldMT"/>
          <w:b/>
          <w:bCs/>
          <w:color w:val="FFFFFF"/>
        </w:rPr>
        <w:t>About the University</w:t>
      </w:r>
      <w:r>
        <w:rPr>
          <w:rFonts w:ascii="Arial-BoldMT" w:hAnsi="Arial-BoldMT" w:cs="Arial-BoldMT"/>
          <w:b/>
          <w:bCs/>
          <w:color w:val="FFFFFF"/>
        </w:rPr>
        <w:tab/>
      </w:r>
    </w:p>
    <w:p w14:paraId="2800238C" w14:textId="77777777" w:rsidR="00F721CA" w:rsidRDefault="00F721CA">
      <w:pPr>
        <w:spacing w:before="240" w:after="60"/>
        <w:ind w:right="85"/>
        <w:jc w:val="both"/>
        <w:rPr>
          <w:rFonts w:ascii="ArialMT" w:hAnsi="ArialMT" w:cs="ArialMT"/>
          <w:sz w:val="20"/>
          <w:szCs w:val="20"/>
        </w:rPr>
      </w:pPr>
      <w:r>
        <w:rPr>
          <w:rFonts w:ascii="ArialMT" w:hAnsi="ArialMT" w:cs="ArialMT"/>
          <w:sz w:val="20"/>
          <w:szCs w:val="20"/>
        </w:rPr>
        <w:t>The University of Western Australia has an international reputation for excellence and enterprise and has been rated as one of the best comprehensive universities in Australia. It is one of the country’s leading research institutions as demonstrated by our Nobel Laureate and is the only WA member of the prestigious “Group of Eight” research universities.</w:t>
      </w:r>
    </w:p>
    <w:p w14:paraId="2860888E" w14:textId="77777777" w:rsidR="00F721CA" w:rsidRDefault="00F721CA">
      <w:pPr>
        <w:spacing w:before="240" w:after="60"/>
        <w:ind w:right="86"/>
        <w:jc w:val="both"/>
        <w:rPr>
          <w:rFonts w:ascii="Arial-BoldMT" w:hAnsi="Arial-BoldMT" w:cs="Arial-BoldMT"/>
          <w:b/>
          <w:bCs/>
          <w:sz w:val="20"/>
          <w:szCs w:val="20"/>
        </w:rPr>
      </w:pPr>
      <w:r>
        <w:rPr>
          <w:rFonts w:ascii="Arial-BoldMT" w:hAnsi="Arial-BoldMT" w:cs="Arial-BoldMT"/>
          <w:b/>
          <w:bCs/>
          <w:sz w:val="20"/>
          <w:szCs w:val="20"/>
        </w:rPr>
        <w:t>Vision and Values</w:t>
      </w:r>
    </w:p>
    <w:p w14:paraId="1A636922" w14:textId="77777777" w:rsidR="00F721CA" w:rsidRDefault="00F721CA">
      <w:pPr>
        <w:spacing w:before="60" w:after="60"/>
        <w:ind w:right="86"/>
        <w:jc w:val="both"/>
        <w:rPr>
          <w:rFonts w:ascii="ArialMT" w:hAnsi="ArialMT" w:cs="ArialMT"/>
          <w:sz w:val="20"/>
          <w:szCs w:val="20"/>
        </w:rPr>
      </w:pPr>
      <w:r>
        <w:rPr>
          <w:rFonts w:ascii="ArialMT" w:hAnsi="ArialMT" w:cs="ArialMT"/>
          <w:sz w:val="20"/>
          <w:szCs w:val="20"/>
        </w:rPr>
        <w:t>The University of Western Australia vision is achieving international excellence.</w:t>
      </w:r>
    </w:p>
    <w:p w14:paraId="72C50402" w14:textId="77777777" w:rsidR="00F721CA" w:rsidRDefault="00F721CA">
      <w:pPr>
        <w:spacing w:before="60" w:after="60"/>
        <w:ind w:right="86"/>
        <w:jc w:val="both"/>
        <w:rPr>
          <w:rFonts w:ascii="ArialMT" w:hAnsi="ArialMT" w:cs="ArialMT"/>
          <w:sz w:val="20"/>
          <w:szCs w:val="20"/>
        </w:rPr>
      </w:pPr>
      <w:r>
        <w:rPr>
          <w:rFonts w:ascii="ArialMT" w:hAnsi="ArialMT" w:cs="ArialMT"/>
          <w:sz w:val="20"/>
          <w:szCs w:val="20"/>
        </w:rPr>
        <w:t>Its core values underpinning our activities are a commitment to:</w:t>
      </w:r>
    </w:p>
    <w:p w14:paraId="0B37A595" w14:textId="77777777" w:rsidR="00F721CA" w:rsidRDefault="00F721CA">
      <w:pPr>
        <w:numPr>
          <w:ilvl w:val="0"/>
          <w:numId w:val="1"/>
        </w:numPr>
        <w:tabs>
          <w:tab w:val="left" w:pos="360"/>
          <w:tab w:val="left" w:pos="720"/>
        </w:tabs>
        <w:spacing w:before="60" w:after="60"/>
        <w:ind w:right="86"/>
        <w:jc w:val="both"/>
        <w:rPr>
          <w:rFonts w:ascii="ArialMT" w:hAnsi="ArialMT" w:cs="ArialMT"/>
          <w:sz w:val="20"/>
          <w:szCs w:val="20"/>
        </w:rPr>
      </w:pPr>
      <w:r>
        <w:rPr>
          <w:rFonts w:ascii="ArialMT" w:hAnsi="ArialMT" w:cs="ArialMT"/>
          <w:sz w:val="20"/>
          <w:szCs w:val="20"/>
        </w:rPr>
        <w:t>A high performance culture designed to achieve international excellence</w:t>
      </w:r>
    </w:p>
    <w:p w14:paraId="70D80B7C" w14:textId="77777777" w:rsidR="00F721CA" w:rsidRDefault="00F721CA">
      <w:pPr>
        <w:numPr>
          <w:ilvl w:val="0"/>
          <w:numId w:val="2"/>
        </w:numPr>
        <w:tabs>
          <w:tab w:val="left" w:pos="360"/>
          <w:tab w:val="left" w:pos="720"/>
        </w:tabs>
        <w:spacing w:before="60" w:after="60"/>
        <w:ind w:right="86"/>
        <w:jc w:val="both"/>
        <w:rPr>
          <w:rFonts w:ascii="ArialMT" w:hAnsi="ArialMT" w:cs="ArialMT"/>
          <w:sz w:val="20"/>
          <w:szCs w:val="20"/>
        </w:rPr>
      </w:pPr>
      <w:r>
        <w:rPr>
          <w:rFonts w:ascii="ArialMT" w:hAnsi="ArialMT" w:cs="ArialMT"/>
          <w:sz w:val="20"/>
          <w:szCs w:val="20"/>
        </w:rPr>
        <w:t>Academic freedom to encourage staff and students to engage in the open exchange of ideas and thought</w:t>
      </w:r>
    </w:p>
    <w:p w14:paraId="2B3D8364" w14:textId="77777777" w:rsidR="00F721CA" w:rsidRDefault="00F721CA">
      <w:pPr>
        <w:numPr>
          <w:ilvl w:val="0"/>
          <w:numId w:val="2"/>
        </w:numPr>
        <w:tabs>
          <w:tab w:val="left" w:pos="360"/>
          <w:tab w:val="left" w:pos="720"/>
        </w:tabs>
        <w:spacing w:before="60" w:after="60"/>
        <w:ind w:right="86"/>
        <w:jc w:val="both"/>
        <w:rPr>
          <w:rFonts w:ascii="ArialMT" w:hAnsi="ArialMT" w:cs="ArialMT"/>
          <w:sz w:val="20"/>
          <w:szCs w:val="20"/>
        </w:rPr>
      </w:pPr>
      <w:r>
        <w:rPr>
          <w:rFonts w:ascii="ArialMT" w:hAnsi="ArialMT" w:cs="ArialMT"/>
          <w:sz w:val="20"/>
          <w:szCs w:val="20"/>
        </w:rPr>
        <w:t>Continuous improvement through self-examination and external review</w:t>
      </w:r>
    </w:p>
    <w:p w14:paraId="71E66A2B" w14:textId="77777777" w:rsidR="00F721CA" w:rsidRDefault="00F721CA">
      <w:pPr>
        <w:numPr>
          <w:ilvl w:val="0"/>
          <w:numId w:val="2"/>
        </w:numPr>
        <w:tabs>
          <w:tab w:val="left" w:pos="360"/>
          <w:tab w:val="left" w:pos="720"/>
        </w:tabs>
        <w:spacing w:before="60" w:after="60"/>
        <w:ind w:right="86"/>
        <w:jc w:val="both"/>
        <w:rPr>
          <w:rFonts w:ascii="ArialMT" w:hAnsi="ArialMT" w:cs="ArialMT"/>
          <w:sz w:val="20"/>
          <w:szCs w:val="20"/>
        </w:rPr>
      </w:pPr>
      <w:r>
        <w:rPr>
          <w:rFonts w:ascii="ArialMT" w:hAnsi="ArialMT" w:cs="ArialMT"/>
          <w:sz w:val="20"/>
          <w:szCs w:val="20"/>
        </w:rPr>
        <w:t>Fostering the values of openness, honesty, tolerance, fairness, trust and responsibility in social, moral and academic matters</w:t>
      </w:r>
    </w:p>
    <w:p w14:paraId="2F83E178" w14:textId="77777777" w:rsidR="00F721CA" w:rsidRDefault="00F721CA">
      <w:pPr>
        <w:numPr>
          <w:ilvl w:val="0"/>
          <w:numId w:val="2"/>
        </w:numPr>
        <w:tabs>
          <w:tab w:val="left" w:pos="360"/>
          <w:tab w:val="left" w:pos="720"/>
        </w:tabs>
        <w:spacing w:before="60" w:after="60"/>
        <w:ind w:right="86"/>
        <w:jc w:val="both"/>
        <w:rPr>
          <w:rFonts w:ascii="ArialMT" w:hAnsi="ArialMT" w:cs="ArialMT"/>
          <w:sz w:val="20"/>
          <w:szCs w:val="20"/>
        </w:rPr>
      </w:pPr>
      <w:r>
        <w:rPr>
          <w:rFonts w:ascii="ArialMT" w:hAnsi="ArialMT" w:cs="ArialMT"/>
          <w:sz w:val="20"/>
          <w:szCs w:val="20"/>
        </w:rPr>
        <w:t>Transparency in decision making and accountability</w:t>
      </w:r>
    </w:p>
    <w:p w14:paraId="716D7728" w14:textId="77777777" w:rsidR="00F721CA" w:rsidRDefault="00F721CA">
      <w:pPr>
        <w:numPr>
          <w:ilvl w:val="0"/>
          <w:numId w:val="2"/>
        </w:numPr>
        <w:tabs>
          <w:tab w:val="left" w:pos="360"/>
          <w:tab w:val="left" w:pos="720"/>
        </w:tabs>
        <w:spacing w:before="60" w:after="60"/>
        <w:ind w:right="86"/>
        <w:jc w:val="both"/>
        <w:rPr>
          <w:rFonts w:ascii="ArialMT" w:hAnsi="ArialMT" w:cs="ArialMT"/>
          <w:sz w:val="20"/>
          <w:szCs w:val="20"/>
        </w:rPr>
      </w:pPr>
      <w:r>
        <w:rPr>
          <w:rFonts w:ascii="ArialMT" w:hAnsi="ArialMT" w:cs="ArialMT"/>
          <w:sz w:val="20"/>
          <w:szCs w:val="20"/>
        </w:rPr>
        <w:t>Equity and merit as the fundamental principles for the achievement of the full potential of all staff and students</w:t>
      </w:r>
    </w:p>
    <w:p w14:paraId="0F812D13" w14:textId="77777777" w:rsidR="00F721CA" w:rsidRDefault="00F721CA" w:rsidP="00F721CA">
      <w:pPr>
        <w:rPr>
          <w:rFonts w:ascii="ArialMT" w:hAnsi="ArialMT" w:cs="ArialMT"/>
          <w:sz w:val="20"/>
          <w:szCs w:val="20"/>
        </w:rPr>
      </w:pPr>
      <w:r>
        <w:rPr>
          <w:rFonts w:ascii="ArialMT" w:hAnsi="ArialMT" w:cs="ArialMT"/>
          <w:sz w:val="20"/>
          <w:szCs w:val="20"/>
        </w:rPr>
        <w:t xml:space="preserve">All staff </w:t>
      </w:r>
      <w:proofErr w:type="gramStart"/>
      <w:r>
        <w:rPr>
          <w:rFonts w:ascii="ArialMT" w:hAnsi="ArialMT" w:cs="ArialMT"/>
          <w:sz w:val="20"/>
          <w:szCs w:val="20"/>
        </w:rPr>
        <w:t>are</w:t>
      </w:r>
      <w:proofErr w:type="gramEnd"/>
      <w:r>
        <w:rPr>
          <w:rFonts w:ascii="ArialMT" w:hAnsi="ArialMT" w:cs="ArialMT"/>
          <w:sz w:val="20"/>
          <w:szCs w:val="20"/>
        </w:rPr>
        <w:t xml:space="preserve"> expected to comply with the Code of Ethics and the University’s Code of Conduct and demonstrate a commitment to its Equity and Diversity and Safety principles and the General Capabilities of personal effectiveness, working collaboratively and demonstrating a focus on results. Details of the University policies on these can be accessed at </w:t>
      </w:r>
      <w:hyperlink r:id="rId9" w:history="1">
        <w:r>
          <w:rPr>
            <w:rStyle w:val="Hyperlink"/>
            <w:rFonts w:ascii="ArialMT" w:hAnsi="ArialMT" w:cs="ArialMT"/>
            <w:sz w:val="20"/>
            <w:szCs w:val="20"/>
          </w:rPr>
          <w:t>http://www.hr.uwa.edu.au/publications/code_of_ethics</w:t>
        </w:r>
      </w:hyperlink>
      <w:r>
        <w:rPr>
          <w:rFonts w:ascii="ArialMT" w:hAnsi="ArialMT" w:cs="ArialMT"/>
          <w:sz w:val="20"/>
          <w:szCs w:val="20"/>
        </w:rPr>
        <w:t xml:space="preserve">, </w:t>
      </w:r>
      <w:hyperlink r:id="rId10" w:history="1">
        <w:r>
          <w:rPr>
            <w:rStyle w:val="Hyperlink"/>
            <w:rFonts w:ascii="ArialMT" w:hAnsi="ArialMT" w:cs="ArialMT"/>
            <w:sz w:val="20"/>
            <w:szCs w:val="20"/>
          </w:rPr>
          <w:t>http://www.equity.uwa.edu.au</w:t>
        </w:r>
      </w:hyperlink>
      <w:r>
        <w:rPr>
          <w:rFonts w:ascii="ArialMT" w:hAnsi="ArialMT" w:cs="ArialMT"/>
          <w:sz w:val="20"/>
          <w:szCs w:val="20"/>
        </w:rPr>
        <w:t xml:space="preserve"> </w:t>
      </w:r>
    </w:p>
    <w:p w14:paraId="69AAE8F9" w14:textId="77777777" w:rsidR="00F721CA" w:rsidRDefault="00F721CA">
      <w:pPr>
        <w:jc w:val="both"/>
        <w:rPr>
          <w:rFonts w:ascii="ArialMT" w:hAnsi="ArialMT" w:cs="ArialMT"/>
          <w:sz w:val="20"/>
          <w:szCs w:val="20"/>
        </w:rPr>
      </w:pPr>
    </w:p>
    <w:p w14:paraId="5CB885B3" w14:textId="77777777" w:rsidR="00F721CA" w:rsidRDefault="00F721CA">
      <w:pPr>
        <w:shd w:val="clear" w:color="000000" w:fill="000000"/>
        <w:tabs>
          <w:tab w:val="right" w:pos="9072"/>
        </w:tabs>
        <w:spacing w:before="120" w:after="60"/>
        <w:jc w:val="both"/>
        <w:rPr>
          <w:rFonts w:ascii="Arial-BoldMT" w:hAnsi="Arial-BoldMT" w:cs="Arial-BoldMT"/>
          <w:b/>
          <w:bCs/>
          <w:color w:val="FFFFFF"/>
        </w:rPr>
      </w:pPr>
      <w:r>
        <w:rPr>
          <w:rFonts w:ascii="Arial-BoldMT" w:hAnsi="Arial-BoldMT" w:cs="Arial-BoldMT"/>
          <w:b/>
          <w:bCs/>
          <w:color w:val="FFFFFF"/>
        </w:rPr>
        <w:t xml:space="preserve">About the work area </w:t>
      </w:r>
    </w:p>
    <w:p w14:paraId="2DEE1DCA" w14:textId="77777777" w:rsidR="00F721CA" w:rsidRDefault="00F721CA">
      <w:pPr>
        <w:jc w:val="both"/>
        <w:rPr>
          <w:rFonts w:ascii="Arial-ItalicMT" w:hAnsi="Arial-ItalicMT" w:cs="Arial-ItalicMT"/>
          <w:i/>
          <w:iCs/>
          <w:sz w:val="20"/>
          <w:szCs w:val="20"/>
        </w:rPr>
      </w:pPr>
    </w:p>
    <w:p w14:paraId="22F9883B" w14:textId="77777777" w:rsidR="00F721CA" w:rsidRDefault="00F721CA">
      <w:pPr>
        <w:pStyle w:val="Default"/>
        <w:jc w:val="both"/>
        <w:rPr>
          <w:sz w:val="20"/>
          <w:szCs w:val="20"/>
        </w:rPr>
      </w:pPr>
      <w:r>
        <w:rPr>
          <w:sz w:val="20"/>
          <w:szCs w:val="20"/>
        </w:rPr>
        <w:t xml:space="preserve">The Faculty of Arts provides a very rich intellectual environment with over 3500 students studying undergraduate and postgraduate courses in a broad range of disciplines in the humanities, cultural and </w:t>
      </w:r>
    </w:p>
    <w:p w14:paraId="59EBFB9A" w14:textId="7A0F6ABD" w:rsidR="00F721CA" w:rsidRDefault="00F721CA">
      <w:pPr>
        <w:jc w:val="both"/>
        <w:rPr>
          <w:rFonts w:ascii="ArialMT" w:hAnsi="ArialMT" w:cs="ArialMT"/>
          <w:sz w:val="20"/>
          <w:szCs w:val="20"/>
        </w:rPr>
      </w:pPr>
      <w:proofErr w:type="gramStart"/>
      <w:r>
        <w:rPr>
          <w:rFonts w:ascii="ArialMT" w:hAnsi="ArialMT" w:cs="ArialMT"/>
          <w:sz w:val="20"/>
          <w:szCs w:val="20"/>
        </w:rPr>
        <w:t>social</w:t>
      </w:r>
      <w:proofErr w:type="gramEnd"/>
      <w:r>
        <w:rPr>
          <w:rFonts w:ascii="ArialMT" w:hAnsi="ArialMT" w:cs="ArialMT"/>
          <w:sz w:val="20"/>
          <w:szCs w:val="20"/>
        </w:rPr>
        <w:t xml:space="preserve"> sciences, languages and music. The academic staff members are not only dedicated teachers but also internationally renowned scholars and researchers who are experts in their field. UWA has been teaching Classics and Ancient History since its foundation a century ago, and particular strengths in staffing and resources currently exist in </w:t>
      </w:r>
      <w:r w:rsidR="004A444D">
        <w:rPr>
          <w:rFonts w:ascii="ArialMT" w:hAnsi="ArialMT" w:cs="ArialMT"/>
          <w:sz w:val="20"/>
          <w:szCs w:val="20"/>
        </w:rPr>
        <w:t xml:space="preserve">aerial archaeology, </w:t>
      </w:r>
      <w:r>
        <w:rPr>
          <w:rFonts w:ascii="ArialMT" w:hAnsi="ArialMT" w:cs="ArialMT"/>
          <w:sz w:val="20"/>
          <w:szCs w:val="20"/>
        </w:rPr>
        <w:t xml:space="preserve">Hellenistic </w:t>
      </w:r>
      <w:r w:rsidRPr="00971321">
        <w:rPr>
          <w:rFonts w:ascii="ArialMT" w:hAnsi="ArialMT" w:cs="ArialMT"/>
          <w:sz w:val="20"/>
          <w:szCs w:val="20"/>
        </w:rPr>
        <w:t xml:space="preserve">history, </w:t>
      </w:r>
      <w:r w:rsidR="00781715" w:rsidRPr="00971321">
        <w:rPr>
          <w:rFonts w:ascii="ArialMT" w:hAnsi="ArialMT" w:cs="ArialMT"/>
          <w:sz w:val="20"/>
          <w:szCs w:val="20"/>
        </w:rPr>
        <w:t xml:space="preserve">Roman Imperial history, </w:t>
      </w:r>
      <w:r>
        <w:rPr>
          <w:rFonts w:ascii="ArialMT" w:hAnsi="ArialMT" w:cs="ArialMT"/>
          <w:sz w:val="20"/>
          <w:szCs w:val="20"/>
        </w:rPr>
        <w:t xml:space="preserve">papyrology, </w:t>
      </w:r>
      <w:r w:rsidR="00781715">
        <w:rPr>
          <w:rFonts w:ascii="ArialMT" w:hAnsi="ArialMT" w:cs="ArialMT"/>
          <w:sz w:val="20"/>
          <w:szCs w:val="20"/>
        </w:rPr>
        <w:t xml:space="preserve">and </w:t>
      </w:r>
      <w:r>
        <w:rPr>
          <w:rFonts w:ascii="ArialMT" w:hAnsi="ArialMT" w:cs="ArialMT"/>
          <w:sz w:val="20"/>
          <w:szCs w:val="20"/>
        </w:rPr>
        <w:t xml:space="preserve">neo-Latin.  </w:t>
      </w:r>
    </w:p>
    <w:p w14:paraId="4D201750" w14:textId="77777777" w:rsidR="00F721CA" w:rsidRDefault="00F721CA">
      <w:pPr>
        <w:jc w:val="both"/>
        <w:rPr>
          <w:rFonts w:ascii="ArialMT" w:hAnsi="ArialMT" w:cs="ArialMT"/>
          <w:sz w:val="20"/>
          <w:szCs w:val="20"/>
        </w:rPr>
      </w:pPr>
    </w:p>
    <w:p w14:paraId="632B4621" w14:textId="77777777" w:rsidR="00F721CA" w:rsidRDefault="00F721CA">
      <w:pPr>
        <w:jc w:val="both"/>
        <w:rPr>
          <w:rFonts w:ascii="ArialMT" w:hAnsi="ArialMT" w:cs="ArialMT"/>
          <w:sz w:val="20"/>
          <w:szCs w:val="20"/>
        </w:rPr>
      </w:pPr>
      <w:r>
        <w:rPr>
          <w:rFonts w:ascii="ArialMT" w:hAnsi="ArialMT" w:cs="ArialMT"/>
          <w:sz w:val="20"/>
          <w:szCs w:val="20"/>
        </w:rPr>
        <w:br w:type="page"/>
      </w:r>
    </w:p>
    <w:p w14:paraId="0E2E59AD" w14:textId="77777777" w:rsidR="00F721CA" w:rsidRDefault="00F721CA">
      <w:pPr>
        <w:shd w:val="clear" w:color="000000" w:fill="000000"/>
        <w:tabs>
          <w:tab w:val="right" w:pos="9072"/>
        </w:tabs>
        <w:spacing w:before="120" w:after="60"/>
        <w:jc w:val="both"/>
        <w:rPr>
          <w:rFonts w:ascii="Arial-BoldMT" w:hAnsi="Arial-BoldMT" w:cs="Arial-BoldMT"/>
          <w:b/>
          <w:bCs/>
          <w:color w:val="FFFFFF"/>
        </w:rPr>
      </w:pPr>
      <w:r>
        <w:rPr>
          <w:rFonts w:ascii="Arial-BoldMT" w:hAnsi="Arial-BoldMT" w:cs="Arial-BoldMT"/>
          <w:b/>
          <w:bCs/>
          <w:color w:val="FFFFFF"/>
        </w:rPr>
        <w:lastRenderedPageBreak/>
        <w:t>Organisation chart</w:t>
      </w:r>
    </w:p>
    <w:p w14:paraId="2332F4BA" w14:textId="77777777" w:rsidR="00F721CA" w:rsidRPr="00F721CA" w:rsidRDefault="00F721CA">
      <w:pPr>
        <w:rPr>
          <w:rFonts w:ascii="Arial-BoldItalicMT" w:hAnsi="Arial-BoldItalicMT" w:cs="Arial-BoldItalicMT"/>
          <w:bCs/>
          <w:iCs/>
          <w:sz w:val="20"/>
          <w:szCs w:val="20"/>
        </w:rPr>
      </w:pPr>
    </w:p>
    <w:p w14:paraId="74E343DB" w14:textId="77777777" w:rsidR="00F721CA" w:rsidRDefault="00F721CA">
      <w:pPr>
        <w:rPr>
          <w:rFonts w:ascii="ArialMT" w:hAnsi="ArialMT" w:cs="ArialMT"/>
          <w:sz w:val="4"/>
          <w:szCs w:val="4"/>
        </w:rPr>
      </w:pPr>
    </w:p>
    <w:tbl>
      <w:tblPr>
        <w:tblW w:w="0" w:type="auto"/>
        <w:tblInd w:w="3640" w:type="dxa"/>
        <w:tblLayout w:type="fixed"/>
        <w:tblCellMar>
          <w:left w:w="0" w:type="dxa"/>
          <w:right w:w="0" w:type="dxa"/>
        </w:tblCellMar>
        <w:tblLook w:val="0000" w:firstRow="0" w:lastRow="0" w:firstColumn="0" w:lastColumn="0" w:noHBand="0" w:noVBand="0"/>
      </w:tblPr>
      <w:tblGrid>
        <w:gridCol w:w="2476"/>
      </w:tblGrid>
      <w:tr w:rsidR="00F721CA" w14:paraId="447F2161" w14:textId="77777777" w:rsidTr="00F721CA">
        <w:trPr>
          <w:trHeight w:val="698"/>
        </w:trPr>
        <w:tc>
          <w:tcPr>
            <w:tcW w:w="2476" w:type="dxa"/>
            <w:tcBorders>
              <w:top w:val="single" w:sz="16" w:space="0" w:color="FFFFFF"/>
              <w:left w:val="single" w:sz="16" w:space="0" w:color="FFFFFF"/>
              <w:bottom w:val="single" w:sz="16" w:space="0" w:color="FFFFFF"/>
              <w:right w:val="single" w:sz="16" w:space="0" w:color="FFFFFF"/>
            </w:tcBorders>
            <w:shd w:val="clear" w:color="000000" w:fill="4F81BD"/>
          </w:tcPr>
          <w:p w14:paraId="4DAF22EA" w14:textId="77777777" w:rsidR="00F721CA" w:rsidRDefault="00F721CA" w:rsidP="00F721CA">
            <w:pPr>
              <w:tabs>
                <w:tab w:val="left" w:pos="60"/>
                <w:tab w:val="left" w:pos="375"/>
              </w:tabs>
              <w:spacing w:before="81" w:line="300" w:lineRule="auto"/>
              <w:ind w:left="375" w:right="62" w:hanging="315"/>
              <w:jc w:val="center"/>
              <w:rPr>
                <w:rFonts w:ascii="ArialMT" w:hAnsi="ArialMT" w:cs="ArialMT"/>
                <w:color w:val="FFFFFF"/>
                <w:sz w:val="18"/>
                <w:szCs w:val="18"/>
              </w:rPr>
            </w:pPr>
            <w:r>
              <w:rPr>
                <w:rFonts w:ascii="ArialMT" w:hAnsi="ArialMT" w:cs="ArialMT"/>
                <w:color w:val="FFFFFF"/>
                <w:spacing w:val="-1"/>
                <w:kern w:val="1"/>
                <w:sz w:val="18"/>
                <w:szCs w:val="18"/>
              </w:rPr>
              <w:t>H</w:t>
            </w:r>
            <w:r>
              <w:rPr>
                <w:rFonts w:ascii="ArialMT" w:hAnsi="ArialMT" w:cs="ArialMT"/>
                <w:color w:val="FFFFFF"/>
                <w:sz w:val="18"/>
                <w:szCs w:val="18"/>
              </w:rPr>
              <w:t>ead</w:t>
            </w:r>
            <w:r>
              <w:rPr>
                <w:rFonts w:ascii="ArialMT" w:hAnsi="ArialMT" w:cs="ArialMT"/>
                <w:color w:val="FFFFFF"/>
                <w:spacing w:val="-2"/>
                <w:kern w:val="1"/>
                <w:sz w:val="18"/>
                <w:szCs w:val="18"/>
              </w:rPr>
              <w:t xml:space="preserve"> </w:t>
            </w:r>
            <w:r>
              <w:rPr>
                <w:rFonts w:ascii="ArialMT" w:hAnsi="ArialMT" w:cs="ArialMT"/>
                <w:color w:val="FFFFFF"/>
                <w:sz w:val="18"/>
                <w:szCs w:val="18"/>
              </w:rPr>
              <w:t>of</w:t>
            </w:r>
            <w:r>
              <w:rPr>
                <w:rFonts w:ascii="ArialMT" w:hAnsi="ArialMT" w:cs="ArialMT"/>
                <w:color w:val="FFFFFF"/>
                <w:spacing w:val="-2"/>
                <w:kern w:val="1"/>
                <w:sz w:val="18"/>
                <w:szCs w:val="18"/>
              </w:rPr>
              <w:t xml:space="preserve"> </w:t>
            </w:r>
            <w:r>
              <w:rPr>
                <w:rFonts w:ascii="ArialMT" w:hAnsi="ArialMT" w:cs="ArialMT"/>
                <w:color w:val="FFFFFF"/>
                <w:spacing w:val="-1"/>
                <w:kern w:val="1"/>
                <w:sz w:val="18"/>
                <w:szCs w:val="18"/>
              </w:rPr>
              <w:t>S</w:t>
            </w:r>
            <w:r>
              <w:rPr>
                <w:rFonts w:ascii="ArialMT" w:hAnsi="ArialMT" w:cs="ArialMT"/>
                <w:color w:val="FFFFFF"/>
                <w:spacing w:val="1"/>
                <w:kern w:val="1"/>
                <w:sz w:val="18"/>
                <w:szCs w:val="18"/>
              </w:rPr>
              <w:t>c</w:t>
            </w:r>
            <w:r>
              <w:rPr>
                <w:rFonts w:ascii="ArialMT" w:hAnsi="ArialMT" w:cs="ArialMT"/>
                <w:color w:val="FFFFFF"/>
                <w:sz w:val="18"/>
                <w:szCs w:val="18"/>
              </w:rPr>
              <w:t>hool</w:t>
            </w:r>
          </w:p>
          <w:p w14:paraId="52DB5CAC" w14:textId="77777777" w:rsidR="00F721CA" w:rsidRDefault="00F721CA" w:rsidP="00F721CA">
            <w:pPr>
              <w:tabs>
                <w:tab w:val="left" w:pos="60"/>
                <w:tab w:val="left" w:pos="375"/>
              </w:tabs>
              <w:spacing w:before="81" w:line="300" w:lineRule="auto"/>
              <w:ind w:left="375" w:right="62" w:hanging="315"/>
              <w:jc w:val="center"/>
              <w:rPr>
                <w:rFonts w:ascii="ArialMT" w:hAnsi="ArialMT" w:cs="ArialMT"/>
                <w:color w:val="FFFFFF"/>
                <w:sz w:val="18"/>
                <w:szCs w:val="18"/>
              </w:rPr>
            </w:pPr>
            <w:r>
              <w:rPr>
                <w:rFonts w:ascii="ArialMT" w:hAnsi="ArialMT" w:cs="ArialMT"/>
                <w:color w:val="FFFFFF"/>
                <w:sz w:val="18"/>
                <w:szCs w:val="18"/>
              </w:rPr>
              <w:t>303036</w:t>
            </w:r>
          </w:p>
        </w:tc>
      </w:tr>
      <w:tr w:rsidR="00666AC4" w14:paraId="45E5BC51" w14:textId="77777777" w:rsidTr="00666AC4">
        <w:trPr>
          <w:trHeight w:val="377"/>
        </w:trPr>
        <w:tc>
          <w:tcPr>
            <w:tcW w:w="2476" w:type="dxa"/>
            <w:tcBorders>
              <w:top w:val="single" w:sz="16" w:space="0" w:color="FFFFFF"/>
              <w:left w:val="single" w:sz="16" w:space="0" w:color="FFFFFF"/>
              <w:bottom w:val="single" w:sz="16" w:space="0" w:color="FFFFFF"/>
              <w:right w:val="single" w:sz="16" w:space="0" w:color="FFFFFF"/>
            </w:tcBorders>
            <w:shd w:val="clear" w:color="000000" w:fill="auto"/>
          </w:tcPr>
          <w:p w14:paraId="5C30597B" w14:textId="77777777" w:rsidR="00666AC4" w:rsidRDefault="00024C09" w:rsidP="00F721CA">
            <w:pPr>
              <w:tabs>
                <w:tab w:val="left" w:pos="60"/>
                <w:tab w:val="left" w:pos="375"/>
              </w:tabs>
              <w:spacing w:before="81" w:line="300" w:lineRule="auto"/>
              <w:ind w:left="375" w:right="62" w:hanging="315"/>
              <w:jc w:val="center"/>
              <w:rPr>
                <w:rFonts w:ascii="ArialMT" w:hAnsi="ArialMT" w:cs="ArialMT"/>
                <w:color w:val="FFFFFF"/>
                <w:spacing w:val="-1"/>
                <w:kern w:val="1"/>
                <w:sz w:val="18"/>
                <w:szCs w:val="18"/>
              </w:rPr>
            </w:pPr>
            <w:r>
              <w:rPr>
                <w:noProof/>
              </w:rPr>
              <mc:AlternateContent>
                <mc:Choice Requires="wps">
                  <w:drawing>
                    <wp:anchor distT="0" distB="0" distL="114300" distR="114300" simplePos="0" relativeHeight="251658240" behindDoc="0" locked="0" layoutInCell="1" allowOverlap="1" wp14:anchorId="57622361" wp14:editId="6AF420E5">
                      <wp:simplePos x="0" y="0"/>
                      <wp:positionH relativeFrom="column">
                        <wp:posOffset>796925</wp:posOffset>
                      </wp:positionH>
                      <wp:positionV relativeFrom="paragraph">
                        <wp:posOffset>15875</wp:posOffset>
                      </wp:positionV>
                      <wp:extent cx="0" cy="205740"/>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57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3612C0BE" id="_x0000_t32" coordsize="21600,21600" o:spt="32" o:oned="t" path="m,l21600,21600e" filled="f">
                      <v:path arrowok="t" fillok="f" o:connecttype="none"/>
                      <o:lock v:ext="edit" shapetype="t"/>
                    </v:shapetype>
                    <v:shape id="AutoShape 4" o:spid="_x0000_s1026" type="#_x0000_t32" style="position:absolute;margin-left:62.75pt;margin-top:1.25pt;width:0;height:16.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">
                      <v:stroke endarrow="block"/>
                    </v:shape>
                  </w:pict>
                </mc:Fallback>
              </mc:AlternateContent>
            </w:r>
          </w:p>
        </w:tc>
      </w:tr>
      <w:tr w:rsidR="00F721CA" w14:paraId="7FB0C28D" w14:textId="77777777" w:rsidTr="00F721CA">
        <w:trPr>
          <w:trHeight w:val="698"/>
        </w:trPr>
        <w:tc>
          <w:tcPr>
            <w:tcW w:w="2476" w:type="dxa"/>
            <w:tcBorders>
              <w:top w:val="single" w:sz="16" w:space="0" w:color="FFFFFF"/>
              <w:left w:val="single" w:sz="16" w:space="0" w:color="FFFFFF"/>
              <w:bottom w:val="single" w:sz="16" w:space="0" w:color="FFFFFF"/>
              <w:right w:val="single" w:sz="16" w:space="0" w:color="FFFFFF"/>
            </w:tcBorders>
            <w:shd w:val="clear" w:color="000000" w:fill="4F81BD"/>
          </w:tcPr>
          <w:p w14:paraId="19765A34" w14:textId="77777777" w:rsidR="00F721CA" w:rsidRDefault="00F721CA">
            <w:pPr>
              <w:spacing w:before="47" w:line="215" w:lineRule="auto"/>
              <w:ind w:right="3"/>
              <w:jc w:val="center"/>
              <w:rPr>
                <w:rFonts w:ascii="ArialMT" w:hAnsi="ArialMT" w:cs="ArialMT"/>
                <w:color w:val="FFFFFF"/>
                <w:spacing w:val="-2"/>
                <w:kern w:val="1"/>
                <w:sz w:val="18"/>
                <w:szCs w:val="18"/>
              </w:rPr>
            </w:pPr>
          </w:p>
          <w:p w14:paraId="6C6F2A25" w14:textId="77777777" w:rsidR="00F721CA" w:rsidRDefault="00F721CA">
            <w:pPr>
              <w:spacing w:before="47" w:line="215" w:lineRule="auto"/>
              <w:ind w:right="3"/>
              <w:jc w:val="center"/>
              <w:rPr>
                <w:rFonts w:ascii="ArialMT" w:hAnsi="ArialMT" w:cs="ArialMT"/>
                <w:color w:val="FFFFFF"/>
                <w:sz w:val="18"/>
                <w:szCs w:val="18"/>
              </w:rPr>
            </w:pPr>
            <w:r>
              <w:rPr>
                <w:rFonts w:ascii="ArialMT" w:hAnsi="ArialMT" w:cs="ArialMT"/>
                <w:color w:val="FFFFFF"/>
                <w:spacing w:val="-2"/>
                <w:kern w:val="1"/>
                <w:sz w:val="18"/>
                <w:szCs w:val="18"/>
              </w:rPr>
              <w:t>Margaret Braine</w:t>
            </w:r>
            <w:r>
              <w:rPr>
                <w:rFonts w:ascii="ArialMT" w:hAnsi="ArialMT" w:cs="ArialMT"/>
                <w:color w:val="FFFFFF"/>
                <w:spacing w:val="-4"/>
                <w:kern w:val="1"/>
                <w:sz w:val="18"/>
                <w:szCs w:val="18"/>
              </w:rPr>
              <w:t xml:space="preserve"> </w:t>
            </w:r>
            <w:r>
              <w:rPr>
                <w:rFonts w:ascii="ArialMT" w:hAnsi="ArialMT" w:cs="ArialMT"/>
                <w:color w:val="FFFFFF"/>
                <w:sz w:val="18"/>
                <w:szCs w:val="18"/>
              </w:rPr>
              <w:t>Fellow</w:t>
            </w:r>
          </w:p>
        </w:tc>
      </w:tr>
    </w:tbl>
    <w:p w14:paraId="3B2497D4" w14:textId="77777777" w:rsidR="00F721CA" w:rsidRDefault="00F721CA">
      <w:pPr>
        <w:rPr>
          <w:rFonts w:ascii="ArialMT" w:hAnsi="ArialMT" w:cs="ArialMT"/>
          <w:sz w:val="20"/>
          <w:szCs w:val="20"/>
        </w:rPr>
      </w:pPr>
    </w:p>
    <w:p w14:paraId="05E17C8E" w14:textId="77777777" w:rsidR="00F721CA" w:rsidRDefault="00F721CA">
      <w:pPr>
        <w:shd w:val="clear" w:color="000000" w:fill="000000"/>
        <w:tabs>
          <w:tab w:val="right" w:pos="9072"/>
        </w:tabs>
        <w:spacing w:before="120" w:after="60"/>
        <w:jc w:val="both"/>
        <w:rPr>
          <w:rFonts w:ascii="Arial-BoldMT" w:hAnsi="Arial-BoldMT" w:cs="Arial-BoldMT"/>
          <w:b/>
          <w:bCs/>
          <w:color w:val="FFFFFF"/>
        </w:rPr>
      </w:pPr>
      <w:bookmarkStart w:id="0" w:name="OLE_LINK1"/>
      <w:bookmarkStart w:id="1" w:name="OLE_LINK2"/>
      <w:r>
        <w:rPr>
          <w:rFonts w:ascii="Arial-BoldMT" w:hAnsi="Arial-BoldMT" w:cs="Arial-BoldMT"/>
          <w:b/>
          <w:bCs/>
          <w:color w:val="FFFFFF"/>
        </w:rPr>
        <w:t>Role statement</w:t>
      </w:r>
      <w:bookmarkEnd w:id="0"/>
      <w:bookmarkEnd w:id="1"/>
    </w:p>
    <w:p w14:paraId="36741393" w14:textId="77777777" w:rsidR="00F721CA" w:rsidRDefault="00F721CA">
      <w:pPr>
        <w:jc w:val="both"/>
        <w:rPr>
          <w:rFonts w:ascii="ArialMT" w:hAnsi="ArialMT" w:cs="ArialMT"/>
          <w:sz w:val="20"/>
          <w:szCs w:val="20"/>
        </w:rPr>
      </w:pPr>
    </w:p>
    <w:p w14:paraId="1E1FCCE4" w14:textId="77777777" w:rsidR="00F721CA" w:rsidRDefault="00F721CA">
      <w:pPr>
        <w:jc w:val="both"/>
        <w:rPr>
          <w:rFonts w:ascii="ArialMT" w:hAnsi="ArialMT" w:cs="ArialMT"/>
          <w:sz w:val="20"/>
          <w:szCs w:val="20"/>
        </w:rPr>
      </w:pPr>
      <w:r>
        <w:rPr>
          <w:rFonts w:ascii="ArialMT" w:hAnsi="ArialMT" w:cs="ArialMT"/>
          <w:sz w:val="20"/>
          <w:szCs w:val="20"/>
        </w:rPr>
        <w:t xml:space="preserve">The purpose of the Fellowship is to bring to the University a scholar working in the field of Classics and Ancient History for a period of at least two months and up to six months to undertake research leading to scholarly publication. </w:t>
      </w:r>
      <w:r w:rsidR="00280E67">
        <w:rPr>
          <w:rFonts w:ascii="ArialMT" w:hAnsi="ArialMT" w:cs="ArialMT"/>
          <w:sz w:val="20"/>
          <w:szCs w:val="20"/>
        </w:rPr>
        <w:t xml:space="preserve"> </w:t>
      </w:r>
    </w:p>
    <w:p w14:paraId="4503FC2D" w14:textId="77777777" w:rsidR="00F721CA" w:rsidRDefault="00F721CA">
      <w:pPr>
        <w:jc w:val="both"/>
        <w:rPr>
          <w:rFonts w:ascii="ArialMT" w:hAnsi="ArialMT" w:cs="ArialMT"/>
          <w:sz w:val="20"/>
          <w:szCs w:val="20"/>
        </w:rPr>
      </w:pPr>
    </w:p>
    <w:p w14:paraId="44EE30C6" w14:textId="77777777" w:rsidR="00F721CA" w:rsidRDefault="00F721CA">
      <w:pPr>
        <w:shd w:val="clear" w:color="000000" w:fill="000000"/>
        <w:tabs>
          <w:tab w:val="right" w:pos="9072"/>
        </w:tabs>
        <w:spacing w:before="120" w:after="60"/>
        <w:jc w:val="both"/>
        <w:rPr>
          <w:rFonts w:ascii="Arial-BoldMT" w:hAnsi="Arial-BoldMT" w:cs="Arial-BoldMT"/>
          <w:b/>
          <w:bCs/>
          <w:color w:val="FFFFFF"/>
        </w:rPr>
      </w:pPr>
      <w:r>
        <w:rPr>
          <w:rFonts w:ascii="Arial-BoldMT" w:hAnsi="Arial-BoldMT" w:cs="Arial-BoldMT"/>
          <w:b/>
          <w:bCs/>
          <w:color w:val="FFFFFF"/>
        </w:rPr>
        <w:t>Key responsibilities</w:t>
      </w:r>
    </w:p>
    <w:p w14:paraId="00D20163" w14:textId="77777777" w:rsidR="00F721CA" w:rsidRDefault="00F721CA">
      <w:pPr>
        <w:keepLines/>
        <w:spacing w:line="360" w:lineRule="auto"/>
        <w:jc w:val="both"/>
        <w:rPr>
          <w:rFonts w:ascii="ArialMT" w:hAnsi="ArialMT" w:cs="ArialMT"/>
          <w:sz w:val="20"/>
          <w:szCs w:val="20"/>
        </w:rPr>
      </w:pPr>
    </w:p>
    <w:p w14:paraId="138BE432" w14:textId="77777777" w:rsidR="00F721CA" w:rsidRDefault="00F721CA">
      <w:pPr>
        <w:pStyle w:val="Default"/>
        <w:numPr>
          <w:ilvl w:val="0"/>
          <w:numId w:val="3"/>
        </w:numPr>
        <w:tabs>
          <w:tab w:val="left" w:pos="355"/>
          <w:tab w:val="left" w:pos="715"/>
        </w:tabs>
        <w:spacing w:after="120"/>
        <w:ind w:right="433"/>
        <w:rPr>
          <w:sz w:val="20"/>
          <w:szCs w:val="20"/>
        </w:rPr>
      </w:pPr>
      <w:bookmarkStart w:id="2" w:name="_GoBack"/>
      <w:r>
        <w:rPr>
          <w:sz w:val="20"/>
          <w:szCs w:val="20"/>
        </w:rPr>
        <w:t>Undertake research in any area of the classical world leading to scholarly publication</w:t>
      </w:r>
    </w:p>
    <w:p w14:paraId="78BE129A" w14:textId="77777777" w:rsidR="00F721CA" w:rsidRDefault="00F721CA">
      <w:pPr>
        <w:pStyle w:val="Default"/>
        <w:numPr>
          <w:ilvl w:val="0"/>
          <w:numId w:val="4"/>
        </w:numPr>
        <w:tabs>
          <w:tab w:val="left" w:pos="355"/>
          <w:tab w:val="left" w:pos="715"/>
        </w:tabs>
        <w:spacing w:after="120"/>
        <w:ind w:right="433"/>
        <w:rPr>
          <w:sz w:val="20"/>
          <w:szCs w:val="20"/>
        </w:rPr>
      </w:pPr>
      <w:r>
        <w:rPr>
          <w:sz w:val="20"/>
          <w:szCs w:val="20"/>
        </w:rPr>
        <w:t>Deliver the Margaret Braine Memorial lecture</w:t>
      </w:r>
    </w:p>
    <w:p w14:paraId="2EDC8B61" w14:textId="77777777" w:rsidR="00F721CA" w:rsidRPr="00F721CA" w:rsidRDefault="00F721CA" w:rsidP="00F721CA">
      <w:pPr>
        <w:keepLines/>
        <w:numPr>
          <w:ilvl w:val="0"/>
          <w:numId w:val="4"/>
        </w:numPr>
        <w:tabs>
          <w:tab w:val="left" w:pos="355"/>
          <w:tab w:val="left" w:pos="715"/>
        </w:tabs>
        <w:spacing w:line="360" w:lineRule="auto"/>
        <w:jc w:val="both"/>
        <w:rPr>
          <w:rFonts w:ascii="ArialMT" w:hAnsi="ArialMT" w:cs="ArialMT"/>
          <w:sz w:val="20"/>
          <w:szCs w:val="20"/>
        </w:rPr>
      </w:pPr>
      <w:r>
        <w:rPr>
          <w:rFonts w:ascii="ArialMT" w:hAnsi="ArialMT" w:cs="ArialMT"/>
          <w:sz w:val="20"/>
          <w:szCs w:val="20"/>
        </w:rPr>
        <w:t>Participate in fortnightly research seminars of the Classics and Ancient History discipline group.</w:t>
      </w:r>
    </w:p>
    <w:bookmarkEnd w:id="2"/>
    <w:p w14:paraId="5DDBD9FC" w14:textId="77777777" w:rsidR="00F721CA" w:rsidRDefault="00F721CA">
      <w:pPr>
        <w:spacing w:line="200" w:lineRule="atLeast"/>
        <w:jc w:val="both"/>
        <w:rPr>
          <w:rFonts w:ascii="ArialMT" w:hAnsi="ArialMT" w:cs="ArialMT"/>
          <w:sz w:val="20"/>
          <w:szCs w:val="20"/>
        </w:rPr>
      </w:pPr>
    </w:p>
    <w:p w14:paraId="564678E7" w14:textId="77777777" w:rsidR="00F721CA" w:rsidRDefault="00F721CA">
      <w:pPr>
        <w:shd w:val="clear" w:color="000000" w:fill="000000"/>
        <w:tabs>
          <w:tab w:val="right" w:pos="9072"/>
        </w:tabs>
        <w:spacing w:before="120" w:after="60"/>
        <w:jc w:val="both"/>
        <w:rPr>
          <w:rFonts w:ascii="Arial-BoldMT" w:hAnsi="Arial-BoldMT" w:cs="Arial-BoldMT"/>
          <w:b/>
          <w:bCs/>
          <w:color w:val="FFFFFF"/>
        </w:rPr>
      </w:pPr>
      <w:r>
        <w:rPr>
          <w:rFonts w:ascii="Arial-BoldMT" w:hAnsi="Arial-BoldMT" w:cs="Arial-BoldMT"/>
          <w:b/>
          <w:bCs/>
          <w:color w:val="FFFFFF"/>
        </w:rPr>
        <w:t>Specific work capabilities (selection criteria)</w:t>
      </w:r>
    </w:p>
    <w:p w14:paraId="68992662" w14:textId="77777777" w:rsidR="00F721CA" w:rsidRDefault="00F721CA">
      <w:pPr>
        <w:jc w:val="both"/>
        <w:rPr>
          <w:rFonts w:ascii="ArialMT" w:hAnsi="ArialMT" w:cs="ArialMT"/>
          <w:sz w:val="20"/>
          <w:szCs w:val="20"/>
        </w:rPr>
      </w:pPr>
    </w:p>
    <w:p w14:paraId="56627017" w14:textId="77777777" w:rsidR="00F721CA" w:rsidRDefault="00F721CA">
      <w:pPr>
        <w:jc w:val="both"/>
        <w:rPr>
          <w:rFonts w:ascii="ArialMT" w:hAnsi="ArialMT" w:cs="ArialMT"/>
          <w:sz w:val="20"/>
          <w:szCs w:val="20"/>
        </w:rPr>
      </w:pPr>
      <w:r>
        <w:rPr>
          <w:rFonts w:ascii="ArialMT" w:hAnsi="ArialMT" w:cs="ArialMT"/>
          <w:sz w:val="20"/>
          <w:szCs w:val="20"/>
        </w:rPr>
        <w:t xml:space="preserve">Applicants will be expected to have a completed doctorate, or else a significant record of publication, in the proposed research area.  </w:t>
      </w:r>
    </w:p>
    <w:p w14:paraId="1973112D" w14:textId="77777777" w:rsidR="00F721CA" w:rsidRDefault="00F721CA">
      <w:pPr>
        <w:spacing w:after="240" w:line="360" w:lineRule="auto"/>
        <w:jc w:val="both"/>
        <w:rPr>
          <w:rFonts w:ascii="ArialMT" w:hAnsi="ArialMT" w:cs="ArialMT"/>
          <w:sz w:val="20"/>
          <w:szCs w:val="20"/>
        </w:rPr>
      </w:pPr>
    </w:p>
    <w:p w14:paraId="6E66B79F" w14:textId="77777777" w:rsidR="00F721CA" w:rsidRDefault="00F721CA">
      <w:pPr>
        <w:shd w:val="clear" w:color="000000" w:fill="000000"/>
        <w:tabs>
          <w:tab w:val="right" w:pos="9072"/>
        </w:tabs>
        <w:spacing w:before="120" w:after="60"/>
        <w:jc w:val="both"/>
        <w:rPr>
          <w:rFonts w:ascii="Arial-BoldMT" w:hAnsi="Arial-BoldMT" w:cs="Arial-BoldMT"/>
          <w:b/>
          <w:bCs/>
          <w:color w:val="FFFFFF"/>
        </w:rPr>
      </w:pPr>
      <w:r>
        <w:rPr>
          <w:rFonts w:ascii="Arial-BoldMT" w:hAnsi="Arial-BoldMT" w:cs="Arial-BoldMT"/>
          <w:b/>
          <w:bCs/>
          <w:color w:val="FFFFFF"/>
        </w:rPr>
        <w:t>Special Requirements</w:t>
      </w:r>
    </w:p>
    <w:p w14:paraId="759F4B84" w14:textId="77777777" w:rsidR="00F721CA" w:rsidRPr="00971321" w:rsidRDefault="00F721CA">
      <w:pPr>
        <w:spacing w:after="120"/>
        <w:jc w:val="both"/>
        <w:rPr>
          <w:rFonts w:ascii="Arial-ItalicMT" w:hAnsi="Arial-ItalicMT" w:cs="Arial-ItalicMT"/>
          <w:i/>
          <w:iCs/>
          <w:sz w:val="18"/>
          <w:szCs w:val="18"/>
        </w:rPr>
      </w:pPr>
      <w:r>
        <w:rPr>
          <w:rFonts w:ascii="Arial-ItalicMT" w:hAnsi="Arial-ItalicMT" w:cs="Arial-ItalicMT"/>
          <w:i/>
          <w:iCs/>
          <w:sz w:val="18"/>
          <w:szCs w:val="18"/>
        </w:rPr>
        <w:t xml:space="preserve"> </w:t>
      </w:r>
    </w:p>
    <w:p w14:paraId="7B20F16C" w14:textId="4444E99B" w:rsidR="00280E67" w:rsidRPr="00971321" w:rsidRDefault="00280E67">
      <w:pPr>
        <w:spacing w:after="120"/>
        <w:jc w:val="both"/>
        <w:rPr>
          <w:rFonts w:ascii="ArialMT" w:hAnsi="ArialMT" w:cs="ArialMT"/>
          <w:sz w:val="20"/>
          <w:szCs w:val="20"/>
        </w:rPr>
      </w:pPr>
      <w:r w:rsidRPr="00971321">
        <w:rPr>
          <w:rFonts w:ascii="ArialMT" w:hAnsi="ArialMT" w:cs="ArialMT"/>
          <w:sz w:val="20"/>
          <w:szCs w:val="20"/>
        </w:rPr>
        <w:t>This</w:t>
      </w:r>
      <w:r w:rsidR="009A2BA3" w:rsidRPr="00971321">
        <w:rPr>
          <w:rFonts w:ascii="ArialMT" w:hAnsi="ArialMT" w:cs="ArialMT"/>
          <w:sz w:val="20"/>
          <w:szCs w:val="20"/>
        </w:rPr>
        <w:t xml:space="preserve"> Fellowship may be undertaken with a commencement date in</w:t>
      </w:r>
      <w:r w:rsidRPr="00971321">
        <w:rPr>
          <w:rFonts w:ascii="ArialMT" w:hAnsi="ArialMT" w:cs="ArialMT"/>
          <w:sz w:val="20"/>
          <w:szCs w:val="20"/>
        </w:rPr>
        <w:t xml:space="preserve"> </w:t>
      </w:r>
      <w:r w:rsidR="00024C09" w:rsidRPr="00971321">
        <w:rPr>
          <w:rFonts w:ascii="ArialMT" w:hAnsi="ArialMT" w:cs="ArialMT"/>
          <w:sz w:val="20"/>
          <w:szCs w:val="20"/>
        </w:rPr>
        <w:t>2020</w:t>
      </w:r>
      <w:r w:rsidRPr="00971321">
        <w:rPr>
          <w:rFonts w:ascii="ArialMT" w:hAnsi="ArialMT" w:cs="ArialMT"/>
          <w:sz w:val="20"/>
          <w:szCs w:val="20"/>
        </w:rPr>
        <w:t>.</w:t>
      </w:r>
    </w:p>
    <w:p w14:paraId="39DAC0C9" w14:textId="77777777" w:rsidR="00280E67" w:rsidRPr="00971321" w:rsidRDefault="00280E67">
      <w:pPr>
        <w:spacing w:after="120"/>
        <w:jc w:val="both"/>
        <w:rPr>
          <w:rFonts w:ascii="ArialMT" w:hAnsi="ArialMT" w:cs="ArialMT"/>
          <w:sz w:val="20"/>
          <w:szCs w:val="20"/>
        </w:rPr>
      </w:pPr>
    </w:p>
    <w:p w14:paraId="5F338E3F" w14:textId="77777777" w:rsidR="009A2BA3" w:rsidRPr="00971321" w:rsidRDefault="00F721CA">
      <w:pPr>
        <w:spacing w:after="120"/>
        <w:jc w:val="both"/>
        <w:rPr>
          <w:rFonts w:ascii="ArialMT" w:hAnsi="ArialMT" w:cs="ArialMT"/>
          <w:sz w:val="20"/>
          <w:szCs w:val="20"/>
        </w:rPr>
      </w:pPr>
      <w:r w:rsidRPr="00971321">
        <w:rPr>
          <w:rFonts w:ascii="ArialMT" w:hAnsi="ArialMT" w:cs="ArialMT"/>
          <w:sz w:val="20"/>
          <w:szCs w:val="20"/>
        </w:rPr>
        <w:t>Fellows are required to acknowledge the University in the by-line of any publications resulting from research done while holding the Fellowship</w:t>
      </w:r>
      <w:r w:rsidR="009A2BA3" w:rsidRPr="00971321">
        <w:rPr>
          <w:rFonts w:ascii="ArialMT" w:hAnsi="ArialMT" w:cs="ArialMT"/>
          <w:sz w:val="20"/>
          <w:szCs w:val="20"/>
        </w:rPr>
        <w:t>.</w:t>
      </w:r>
    </w:p>
    <w:p w14:paraId="0220D629" w14:textId="77777777" w:rsidR="009A2BA3" w:rsidRPr="00971321" w:rsidRDefault="009A2BA3">
      <w:pPr>
        <w:spacing w:after="120"/>
        <w:jc w:val="both"/>
        <w:rPr>
          <w:rFonts w:ascii="ArialMT" w:hAnsi="ArialMT" w:cs="ArialMT"/>
          <w:sz w:val="20"/>
          <w:szCs w:val="20"/>
        </w:rPr>
      </w:pPr>
    </w:p>
    <w:p w14:paraId="18229EF0" w14:textId="21745175" w:rsidR="00F721CA" w:rsidRPr="00971321" w:rsidRDefault="009A2BA3">
      <w:pPr>
        <w:spacing w:after="120"/>
        <w:jc w:val="both"/>
        <w:rPr>
          <w:rFonts w:ascii="Arial-BoldMT" w:hAnsi="Arial-BoldMT" w:cs="Arial-BoldMT"/>
          <w:b/>
          <w:bCs/>
        </w:rPr>
      </w:pPr>
      <w:r w:rsidRPr="00971321">
        <w:rPr>
          <w:rFonts w:ascii="ArialMT" w:hAnsi="ArialMT" w:cs="ArialMT"/>
          <w:sz w:val="20"/>
          <w:szCs w:val="20"/>
        </w:rPr>
        <w:t xml:space="preserve">Provided that the key responsibilities are met, the Fellowship may be held in conjunction with other sources of income. </w:t>
      </w:r>
      <w:r w:rsidRPr="00971321">
        <w:rPr>
          <w:rFonts w:ascii="Arial-BoldMT" w:hAnsi="Arial-BoldMT" w:cs="Arial-BoldMT"/>
          <w:b/>
          <w:bCs/>
        </w:rPr>
        <w:t>.</w:t>
      </w:r>
    </w:p>
    <w:p w14:paraId="03380E58" w14:textId="77777777" w:rsidR="00F721CA" w:rsidRDefault="00F721CA">
      <w:pPr>
        <w:ind w:right="1530"/>
        <w:jc w:val="both"/>
        <w:rPr>
          <w:rFonts w:ascii="Arial-BoldMT" w:hAnsi="Arial-BoldMT" w:cs="Arial-BoldMT"/>
          <w:b/>
          <w:bCs/>
          <w:color w:val="FFFFFF"/>
        </w:rPr>
      </w:pPr>
    </w:p>
    <w:p w14:paraId="277651BE" w14:textId="77777777" w:rsidR="00F721CA" w:rsidRDefault="00F721CA">
      <w:pPr>
        <w:ind w:right="1530"/>
        <w:jc w:val="both"/>
        <w:rPr>
          <w:rFonts w:ascii="Arial-ItalicMT" w:hAnsi="Arial-ItalicMT" w:cs="Arial-ItalicMT"/>
          <w:i/>
          <w:iCs/>
          <w:sz w:val="18"/>
          <w:szCs w:val="18"/>
        </w:rPr>
      </w:pPr>
    </w:p>
    <w:sectPr w:rsidR="00F721CA">
      <w:footerReference w:type="default" r:id="rId11"/>
      <w:pgSz w:w="11906" w:h="16838"/>
      <w:pgMar w:top="899" w:right="1286" w:bottom="899" w:left="1417" w:header="450" w:footer="4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BCE236" w14:textId="77777777" w:rsidR="00456112" w:rsidRDefault="00456112">
      <w:r>
        <w:separator/>
      </w:r>
    </w:p>
  </w:endnote>
  <w:endnote w:type="continuationSeparator" w:id="0">
    <w:p w14:paraId="28FB37F5" w14:textId="77777777" w:rsidR="00456112" w:rsidRDefault="004561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NewPSMT">
    <w:altName w:val="Courier New"/>
    <w:panose1 w:val="00000000000000000000"/>
    <w:charset w:val="4D"/>
    <w:family w:val="moder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Times New Roman"/>
    <w:panose1 w:val="00000000000000000000"/>
    <w:charset w:val="4D"/>
    <w:family w:val="roman"/>
    <w:notTrueType/>
    <w:pitch w:val="default"/>
    <w:sig w:usb0="00000003" w:usb1="00000000" w:usb2="00000000" w:usb3="00000000" w:csb0="00000001" w:csb1="00000000"/>
  </w:font>
  <w:font w:name="Arial-BoldItalicMT">
    <w:altName w:val="Arial"/>
    <w:panose1 w:val="00000000000000000000"/>
    <w:charset w:val="4D"/>
    <w:family w:val="swiss"/>
    <w:notTrueType/>
    <w:pitch w:val="default"/>
    <w:sig w:usb0="00000003" w:usb1="00000000" w:usb2="00000000" w:usb3="00000000" w:csb0="00000001" w:csb1="00000000"/>
  </w:font>
  <w:font w:name="Cambria-BoldItalic">
    <w:altName w:val="Cambria"/>
    <w:panose1 w:val="00000000000000000000"/>
    <w:charset w:val="4D"/>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NewRomanPS-BoldMT">
    <w:altName w:val="Times New Roman"/>
    <w:panose1 w:val="00000000000000000000"/>
    <w:charset w:val="4D"/>
    <w:family w:val="roman"/>
    <w:notTrueType/>
    <w:pitch w:val="default"/>
    <w:sig w:usb0="00000003" w:usb1="00000000" w:usb2="00000000" w:usb3="00000000" w:csb0="00000001" w:csb1="00000000"/>
  </w:font>
  <w:font w:name="ArialMT">
    <w:altName w:val="Arial"/>
    <w:panose1 w:val="00000000000000000000"/>
    <w:charset w:val="4D"/>
    <w:family w:val="swiss"/>
    <w:notTrueType/>
    <w:pitch w:val="default"/>
    <w:sig w:usb0="00000003" w:usb1="00000000" w:usb2="00000000" w:usb3="00000000" w:csb0="00000001" w:csb1="00000000"/>
  </w:font>
  <w:font w:name="Arial-BoldMT">
    <w:altName w:val="Arial"/>
    <w:panose1 w:val="00000000000000000000"/>
    <w:charset w:val="4D"/>
    <w:family w:val="swiss"/>
    <w:notTrueType/>
    <w:pitch w:val="default"/>
    <w:sig w:usb0="00000003" w:usb1="00000000" w:usb2="00000000" w:usb3="00000000" w:csb0="00000001" w:csb1="00000000"/>
  </w:font>
  <w:font w:name="Arial-ItalicMT">
    <w:altName w:val="Arial"/>
    <w:panose1 w:val="00000000000000000000"/>
    <w:charset w:val="4D"/>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974898" w14:textId="77777777" w:rsidR="00F721CA" w:rsidRDefault="00F721CA">
    <w:pPr>
      <w:pStyle w:val="Footer"/>
      <w:rPr>
        <w:rStyle w:val="PageNumber"/>
        <w:rFonts w:ascii="ArialMT" w:hAnsi="ArialMT" w:cs="ArialMT"/>
        <w:sz w:val="20"/>
        <w:szCs w:val="20"/>
      </w:rPr>
    </w:pPr>
  </w:p>
  <w:p w14:paraId="73C8A8E9" w14:textId="77777777" w:rsidR="00F721CA" w:rsidRDefault="00F721CA">
    <w:pPr>
      <w:pStyle w:val="Footer"/>
      <w:rPr>
        <w:rStyle w:val="PageNumber"/>
        <w:rFonts w:ascii="ArialMT" w:hAnsi="ArialMT" w:cs="ArialMT"/>
        <w:sz w:val="20"/>
        <w:szCs w:val="20"/>
      </w:rPr>
    </w:pPr>
  </w:p>
  <w:p w14:paraId="7404ED99" w14:textId="3BB823EB" w:rsidR="00F721CA" w:rsidRDefault="00F721CA">
    <w:pPr>
      <w:pStyle w:val="Footer"/>
      <w:rPr>
        <w:rFonts w:cs="Times New Roman"/>
      </w:rPr>
    </w:pPr>
    <w:r>
      <w:rPr>
        <w:rStyle w:val="PageNumber"/>
        <w:rFonts w:ascii="ArialMT" w:hAnsi="ArialMT" w:cs="ArialMT"/>
        <w:sz w:val="20"/>
        <w:szCs w:val="20"/>
      </w:rPr>
      <w:t xml:space="preserve"> </w:t>
    </w:r>
    <w:r>
      <w:rPr>
        <w:rFonts w:cs="Times New Roman"/>
      </w:rPr>
      <w:fldChar w:fldCharType="begin"/>
    </w:r>
    <w:r>
      <w:rPr>
        <w:rFonts w:cs="Times New Roman"/>
      </w:rPr>
      <w:instrText>PAGE</w:instrText>
    </w:r>
    <w:r>
      <w:rPr>
        <w:rFonts w:cs="Times New Roman"/>
      </w:rPr>
      <w:fldChar w:fldCharType="separate"/>
    </w:r>
    <w:r w:rsidR="00EE76B3">
      <w:rPr>
        <w:rFonts w:cs="Times New Roman"/>
        <w:noProof/>
      </w:rPr>
      <w:t>2</w:t>
    </w:r>
    <w:r>
      <w:rPr>
        <w:rFonts w:cs="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9ED72C" w14:textId="77777777" w:rsidR="00456112" w:rsidRDefault="00456112">
      <w:r>
        <w:separator/>
      </w:r>
    </w:p>
  </w:footnote>
  <w:footnote w:type="continuationSeparator" w:id="0">
    <w:p w14:paraId="3BF0C050" w14:textId="77777777" w:rsidR="00456112" w:rsidRDefault="004561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F32F43"/>
    <w:multiLevelType w:val="hybridMultilevel"/>
    <w:tmpl w:val="00000000"/>
    <w:styleLink w:val="BulletList1"/>
    <w:lvl w:ilvl="0" w:tplc="FFFFFFFF">
      <w:start w:val="1"/>
      <w:numFmt w:val="bullet"/>
      <w:lvlText w:val="•"/>
      <w:lvlJc w:val="left"/>
      <w:pPr>
        <w:ind w:left="720" w:hanging="360"/>
      </w:pPr>
      <w:rPr>
        <w:rFonts w:ascii="Symbol" w:hAnsi="Symbol"/>
      </w:rPr>
    </w:lvl>
    <w:lvl w:ilvl="1" w:tplc="FFFFFFFF">
      <w:start w:val="1"/>
      <w:numFmt w:val="bullet"/>
      <w:lvlText w:val="o"/>
      <w:lvlJc w:val="left"/>
      <w:pPr>
        <w:ind w:left="1440" w:hanging="360"/>
      </w:pPr>
      <w:rPr>
        <w:rFonts w:ascii="CourierNewPSMT" w:hAnsi="CourierNewPSMT"/>
      </w:rPr>
    </w:lvl>
    <w:lvl w:ilvl="2" w:tplc="FFFFFFFF">
      <w:start w:val="1"/>
      <w:numFmt w:val="bullet"/>
      <w:lvlText w:val="▪"/>
      <w:lvlJc w:val="left"/>
      <w:pPr>
        <w:ind w:left="2160" w:hanging="360"/>
      </w:pPr>
      <w:rPr>
        <w:rFonts w:ascii="Wingdings" w:hAnsi="Wingdings"/>
      </w:rPr>
    </w:lvl>
    <w:lvl w:ilvl="3" w:tplc="FFFFFFFF">
      <w:start w:val="1"/>
      <w:numFmt w:val="bullet"/>
      <w:lvlText w:val="•"/>
      <w:lvlJc w:val="left"/>
      <w:pPr>
        <w:ind w:left="2880" w:hanging="360"/>
      </w:pPr>
      <w:rPr>
        <w:rFonts w:ascii="Symbol" w:hAnsi="Symbol"/>
      </w:rPr>
    </w:lvl>
    <w:lvl w:ilvl="4" w:tplc="FFFFFFFF">
      <w:start w:val="1"/>
      <w:numFmt w:val="bullet"/>
      <w:lvlText w:val="o"/>
      <w:lvlJc w:val="left"/>
      <w:pPr>
        <w:ind w:left="3600" w:hanging="360"/>
      </w:pPr>
      <w:rPr>
        <w:rFonts w:ascii="CourierNewPSMT" w:hAnsi="CourierNewPSMT"/>
      </w:rPr>
    </w:lvl>
    <w:lvl w:ilvl="5" w:tplc="FFFFFFFF">
      <w:start w:val="1"/>
      <w:numFmt w:val="bullet"/>
      <w:lvlText w:val="▪"/>
      <w:lvlJc w:val="left"/>
      <w:pPr>
        <w:ind w:left="4320" w:hanging="360"/>
      </w:pPr>
      <w:rPr>
        <w:rFonts w:ascii="Wingdings" w:hAnsi="Wingdings"/>
      </w:rPr>
    </w:lvl>
    <w:lvl w:ilvl="6" w:tplc="FFFFFFFF">
      <w:start w:val="1"/>
      <w:numFmt w:val="bullet"/>
      <w:lvlText w:val="•"/>
      <w:lvlJc w:val="left"/>
      <w:pPr>
        <w:ind w:left="5040" w:hanging="360"/>
      </w:pPr>
      <w:rPr>
        <w:rFonts w:ascii="Symbol" w:hAnsi="Symbol"/>
      </w:rPr>
    </w:lvl>
    <w:lvl w:ilvl="7" w:tplc="FFFFFFFF">
      <w:start w:val="1"/>
      <w:numFmt w:val="bullet"/>
      <w:lvlText w:val="o"/>
      <w:lvlJc w:val="left"/>
      <w:pPr>
        <w:ind w:left="5760" w:hanging="360"/>
      </w:pPr>
      <w:rPr>
        <w:rFonts w:ascii="CourierNewPSMT" w:hAnsi="CourierNewPSMT"/>
      </w:rPr>
    </w:lvl>
    <w:lvl w:ilvl="8" w:tplc="FFFFFFFF">
      <w:start w:val="1"/>
      <w:numFmt w:val="bullet"/>
      <w:lvlText w:val="▪"/>
      <w:lvlJc w:val="left"/>
      <w:pPr>
        <w:ind w:left="6480" w:hanging="360"/>
      </w:pPr>
      <w:rPr>
        <w:rFonts w:ascii="Wingdings" w:hAnsi="Wingdings"/>
      </w:rPr>
    </w:lvl>
  </w:abstractNum>
  <w:abstractNum w:abstractNumId="1">
    <w:nsid w:val="77A4044D"/>
    <w:multiLevelType w:val="hybridMultilevel"/>
    <w:tmpl w:val="00000000"/>
    <w:styleLink w:val="NumberList1"/>
    <w:lvl w:ilvl="0" w:tplc="FFFFFFFF">
      <w:start w:val="1"/>
      <w:numFmt w:val="decimal"/>
      <w:lvlText w:val="%1."/>
      <w:lvlJc w:val="left"/>
      <w:pPr>
        <w:ind w:left="715" w:hanging="360"/>
      </w:pPr>
      <w:rPr>
        <w:rFonts w:cs="Times New Roman"/>
      </w:rPr>
    </w:lvl>
    <w:lvl w:ilvl="1" w:tplc="FFFFFFFF">
      <w:start w:val="1"/>
      <w:numFmt w:val="lowerLetter"/>
      <w:lvlText w:val="%2."/>
      <w:lvlJc w:val="left"/>
      <w:pPr>
        <w:ind w:left="1435" w:hanging="360"/>
      </w:pPr>
      <w:rPr>
        <w:rFonts w:cs="Times New Roman"/>
      </w:rPr>
    </w:lvl>
    <w:lvl w:ilvl="2" w:tplc="FFFFFFFF">
      <w:start w:val="1"/>
      <w:numFmt w:val="lowerRoman"/>
      <w:lvlText w:val="%3."/>
      <w:lvlJc w:val="right"/>
      <w:pPr>
        <w:ind w:left="2155" w:hanging="180"/>
      </w:pPr>
      <w:rPr>
        <w:rFonts w:cs="Times New Roman"/>
      </w:rPr>
    </w:lvl>
    <w:lvl w:ilvl="3" w:tplc="FFFFFFFF">
      <w:start w:val="1"/>
      <w:numFmt w:val="decimal"/>
      <w:lvlText w:val="%4."/>
      <w:lvlJc w:val="left"/>
      <w:pPr>
        <w:ind w:left="2875" w:hanging="360"/>
      </w:pPr>
      <w:rPr>
        <w:rFonts w:cs="Times New Roman"/>
      </w:rPr>
    </w:lvl>
    <w:lvl w:ilvl="4" w:tplc="FFFFFFFF">
      <w:start w:val="1"/>
      <w:numFmt w:val="lowerLetter"/>
      <w:lvlText w:val="%5."/>
      <w:lvlJc w:val="left"/>
      <w:pPr>
        <w:ind w:left="3595" w:hanging="360"/>
      </w:pPr>
      <w:rPr>
        <w:rFonts w:cs="Times New Roman"/>
      </w:rPr>
    </w:lvl>
    <w:lvl w:ilvl="5" w:tplc="FFFFFFFF">
      <w:start w:val="1"/>
      <w:numFmt w:val="lowerRoman"/>
      <w:lvlText w:val="%6."/>
      <w:lvlJc w:val="right"/>
      <w:pPr>
        <w:ind w:left="4315" w:hanging="180"/>
      </w:pPr>
      <w:rPr>
        <w:rFonts w:cs="Times New Roman"/>
      </w:rPr>
    </w:lvl>
    <w:lvl w:ilvl="6" w:tplc="FFFFFFFF">
      <w:start w:val="1"/>
      <w:numFmt w:val="decimal"/>
      <w:lvlText w:val="%7."/>
      <w:lvlJc w:val="left"/>
      <w:pPr>
        <w:ind w:left="5035" w:hanging="360"/>
      </w:pPr>
      <w:rPr>
        <w:rFonts w:cs="Times New Roman"/>
      </w:rPr>
    </w:lvl>
    <w:lvl w:ilvl="7" w:tplc="FFFFFFFF">
      <w:start w:val="1"/>
      <w:numFmt w:val="lowerLetter"/>
      <w:lvlText w:val="%8."/>
      <w:lvlJc w:val="left"/>
      <w:pPr>
        <w:ind w:left="5755" w:hanging="360"/>
      </w:pPr>
      <w:rPr>
        <w:rFonts w:cs="Times New Roman"/>
      </w:rPr>
    </w:lvl>
    <w:lvl w:ilvl="8" w:tplc="FFFFFFFF">
      <w:start w:val="1"/>
      <w:numFmt w:val="lowerRoman"/>
      <w:lvlText w:val="%9."/>
      <w:lvlJc w:val="right"/>
      <w:pPr>
        <w:ind w:left="6475" w:hanging="180"/>
      </w:pPr>
      <w:rPr>
        <w:rFonts w:cs="Times New Roman"/>
      </w:rPr>
    </w:lvl>
  </w:abstractNum>
  <w:num w:numId="1">
    <w:abstractNumId w:val="0"/>
    <w:lvlOverride w:ilvl="0">
      <w:startOverride w:val="1"/>
    </w:lvlOverride>
  </w:num>
  <w:num w:numId="2">
    <w:abstractNumId w:val="0"/>
  </w:num>
  <w:num w:numId="3">
    <w:abstractNumId w:val="1"/>
    <w:lvlOverride w:ilvl="0">
      <w:startOverride w:val="1"/>
    </w:lvlOverride>
  </w:num>
  <w:num w:numId="4">
    <w:abstractNumId w:val="1"/>
  </w:num>
  <w:num w:numId="5">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hyphenationZone w:val="9203"/>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7E5"/>
    <w:rsid w:val="00024C09"/>
    <w:rsid w:val="000D7D25"/>
    <w:rsid w:val="00170FE8"/>
    <w:rsid w:val="00280E67"/>
    <w:rsid w:val="0036367B"/>
    <w:rsid w:val="003C0375"/>
    <w:rsid w:val="004547B6"/>
    <w:rsid w:val="00456112"/>
    <w:rsid w:val="004A444D"/>
    <w:rsid w:val="004E547E"/>
    <w:rsid w:val="006477AB"/>
    <w:rsid w:val="00666AC4"/>
    <w:rsid w:val="006C4E75"/>
    <w:rsid w:val="00781715"/>
    <w:rsid w:val="008407E5"/>
    <w:rsid w:val="008A6574"/>
    <w:rsid w:val="00971321"/>
    <w:rsid w:val="009A2BA3"/>
    <w:rsid w:val="00B84F01"/>
    <w:rsid w:val="00C524ED"/>
    <w:rsid w:val="00C649B7"/>
    <w:rsid w:val="00EE76B3"/>
    <w:rsid w:val="00F536FE"/>
    <w:rsid w:val="00F721CA"/>
    <w:rsid w:val="00FB198B"/>
    <w:rsid w:val="00FB7EC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74E96FF"/>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Document Map"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adjustRightInd w:val="0"/>
      <w:spacing w:after="0" w:line="240" w:lineRule="auto"/>
    </w:pPr>
    <w:rPr>
      <w:rFonts w:ascii="TimesNewRomanPSMT" w:hAnsi="TimesNewRomanPSMT" w:cs="TimesNewRomanPSMT"/>
      <w:sz w:val="24"/>
      <w:szCs w:val="24"/>
    </w:rPr>
  </w:style>
  <w:style w:type="paragraph" w:styleId="Heading2">
    <w:name w:val="heading 2"/>
    <w:basedOn w:val="Normal"/>
    <w:next w:val="Normal"/>
    <w:link w:val="Heading2Char"/>
    <w:uiPriority w:val="99"/>
    <w:qFormat/>
    <w:pPr>
      <w:keepNext/>
      <w:spacing w:before="240" w:after="60"/>
      <w:outlineLvl w:val="1"/>
    </w:pPr>
    <w:rPr>
      <w:rFonts w:ascii="Arial-BoldItalicMT" w:hAnsi="Arial-BoldItalicMT" w:cs="Arial-BoldItalicM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Pr>
      <w:rFonts w:ascii="Cambria-BoldItalic" w:hAnsi="Cambria-BoldItalic" w:cs="Cambria-BoldItalic"/>
      <w:b/>
      <w:bCs/>
      <w:i/>
      <w:iCs/>
      <w:sz w:val="28"/>
      <w:szCs w:val="28"/>
    </w:rPr>
  </w:style>
  <w:style w:type="character" w:styleId="Hyperlink">
    <w:name w:val="Hyperlink"/>
    <w:basedOn w:val="DefaultParagraphFont"/>
    <w:uiPriority w:val="99"/>
    <w:rPr>
      <w:rFonts w:cs="Times New Roman"/>
      <w:color w:val="0000FF"/>
      <w:u w:val="single"/>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szCs w:val="2"/>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locked/>
    <w:rPr>
      <w:rFonts w:cs="Times New Roman"/>
    </w:rPr>
  </w:style>
  <w:style w:type="character" w:styleId="PageNumber">
    <w:name w:val="page number"/>
    <w:basedOn w:val="DefaultParagraphFont"/>
    <w:uiPriority w:val="99"/>
    <w:rPr>
      <w:rFonts w:cs="Times New Roman"/>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cs="Times New Roman"/>
    </w:rPr>
  </w:style>
  <w:style w:type="paragraph" w:styleId="DocumentMap">
    <w:name w:val="Document Map"/>
    <w:basedOn w:val="Normal"/>
    <w:link w:val="DocumentMapChar"/>
    <w:uiPriority w:val="99"/>
    <w:semiHidden/>
    <w:pPr>
      <w:pBdr>
        <w:left w:val="none" w:sz="0" w:space="1" w:color="auto"/>
        <w:right w:val="none" w:sz="0" w:space="1" w:color="auto"/>
      </w:pBdr>
      <w:shd w:val="clear" w:color="000000"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Pr>
      <w:rFonts w:cs="Times New Roman"/>
      <w:sz w:val="2"/>
      <w:szCs w:val="2"/>
    </w:rPr>
  </w:style>
  <w:style w:type="character" w:styleId="CommentReference">
    <w:name w:val="annotation reference"/>
    <w:basedOn w:val="DefaultParagraphFont"/>
    <w:uiPriority w:val="99"/>
    <w:semiHidden/>
    <w:rPr>
      <w:rFonts w:cs="Times New Roman"/>
      <w:sz w:val="16"/>
      <w:szCs w:val="16"/>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basedOn w:val="DefaultParagraphFont"/>
    <w:link w:val="CommentText"/>
    <w:uiPriority w:val="99"/>
    <w:semiHidden/>
    <w:locked/>
    <w:rPr>
      <w:rFonts w:cs="Times New Roman"/>
    </w:rPr>
  </w:style>
  <w:style w:type="paragraph" w:styleId="CommentSubject">
    <w:name w:val="annotation subject"/>
    <w:basedOn w:val="CommentText"/>
    <w:next w:val="CommentText"/>
    <w:link w:val="CommentSubjectChar"/>
    <w:uiPriority w:val="99"/>
    <w:semiHidden/>
    <w:rPr>
      <w:rFonts w:ascii="TimesNewRomanPS-BoldMT" w:hAnsi="TimesNewRomanPS-BoldMT" w:cs="TimesNewRomanPS-BoldMT"/>
      <w:b/>
      <w:bCs/>
    </w:rPr>
  </w:style>
  <w:style w:type="character" w:customStyle="1" w:styleId="CommentSubjectChar">
    <w:name w:val="Comment Subject Char"/>
    <w:basedOn w:val="CommentTextChar"/>
    <w:link w:val="CommentSubject"/>
    <w:uiPriority w:val="99"/>
    <w:semiHidden/>
    <w:locked/>
    <w:rPr>
      <w:rFonts w:cs="Times New Roman"/>
      <w:b/>
      <w:bCs/>
    </w:rPr>
  </w:style>
  <w:style w:type="paragraph" w:customStyle="1" w:styleId="Default">
    <w:name w:val="Default"/>
    <w:uiPriority w:val="99"/>
    <w:pPr>
      <w:autoSpaceDE w:val="0"/>
      <w:autoSpaceDN w:val="0"/>
      <w:adjustRightInd w:val="0"/>
      <w:spacing w:after="0" w:line="240" w:lineRule="auto"/>
    </w:pPr>
    <w:rPr>
      <w:rFonts w:ascii="ArialMT" w:hAnsi="ArialMT" w:cs="ArialMT"/>
      <w:sz w:val="24"/>
      <w:szCs w:val="24"/>
    </w:rPr>
  </w:style>
  <w:style w:type="paragraph" w:customStyle="1" w:styleId="Comment">
    <w:name w:val="Comment"/>
    <w:basedOn w:val="Normal"/>
    <w:uiPriority w:val="99"/>
  </w:style>
  <w:style w:type="numbering" w:customStyle="1" w:styleId="BulletList1">
    <w:name w:val="Bullet List 1"/>
    <w:pPr>
      <w:numPr>
        <w:numId w:val="2"/>
      </w:numPr>
    </w:pPr>
  </w:style>
  <w:style w:type="numbering" w:customStyle="1" w:styleId="NumberList1">
    <w:name w:val="Number List 1"/>
    <w:pPr>
      <w:numPr>
        <w:numId w:val="4"/>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Document Map"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adjustRightInd w:val="0"/>
      <w:spacing w:after="0" w:line="240" w:lineRule="auto"/>
    </w:pPr>
    <w:rPr>
      <w:rFonts w:ascii="TimesNewRomanPSMT" w:hAnsi="TimesNewRomanPSMT" w:cs="TimesNewRomanPSMT"/>
      <w:sz w:val="24"/>
      <w:szCs w:val="24"/>
    </w:rPr>
  </w:style>
  <w:style w:type="paragraph" w:styleId="Heading2">
    <w:name w:val="heading 2"/>
    <w:basedOn w:val="Normal"/>
    <w:next w:val="Normal"/>
    <w:link w:val="Heading2Char"/>
    <w:uiPriority w:val="99"/>
    <w:qFormat/>
    <w:pPr>
      <w:keepNext/>
      <w:spacing w:before="240" w:after="60"/>
      <w:outlineLvl w:val="1"/>
    </w:pPr>
    <w:rPr>
      <w:rFonts w:ascii="Arial-BoldItalicMT" w:hAnsi="Arial-BoldItalicMT" w:cs="Arial-BoldItalicM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Pr>
      <w:rFonts w:ascii="Cambria-BoldItalic" w:hAnsi="Cambria-BoldItalic" w:cs="Cambria-BoldItalic"/>
      <w:b/>
      <w:bCs/>
      <w:i/>
      <w:iCs/>
      <w:sz w:val="28"/>
      <w:szCs w:val="28"/>
    </w:rPr>
  </w:style>
  <w:style w:type="character" w:styleId="Hyperlink">
    <w:name w:val="Hyperlink"/>
    <w:basedOn w:val="DefaultParagraphFont"/>
    <w:uiPriority w:val="99"/>
    <w:rPr>
      <w:rFonts w:cs="Times New Roman"/>
      <w:color w:val="0000FF"/>
      <w:u w:val="single"/>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szCs w:val="2"/>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locked/>
    <w:rPr>
      <w:rFonts w:cs="Times New Roman"/>
    </w:rPr>
  </w:style>
  <w:style w:type="character" w:styleId="PageNumber">
    <w:name w:val="page number"/>
    <w:basedOn w:val="DefaultParagraphFont"/>
    <w:uiPriority w:val="99"/>
    <w:rPr>
      <w:rFonts w:cs="Times New Roman"/>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cs="Times New Roman"/>
    </w:rPr>
  </w:style>
  <w:style w:type="paragraph" w:styleId="DocumentMap">
    <w:name w:val="Document Map"/>
    <w:basedOn w:val="Normal"/>
    <w:link w:val="DocumentMapChar"/>
    <w:uiPriority w:val="99"/>
    <w:semiHidden/>
    <w:pPr>
      <w:pBdr>
        <w:left w:val="none" w:sz="0" w:space="1" w:color="auto"/>
        <w:right w:val="none" w:sz="0" w:space="1" w:color="auto"/>
      </w:pBdr>
      <w:shd w:val="clear" w:color="000000"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Pr>
      <w:rFonts w:cs="Times New Roman"/>
      <w:sz w:val="2"/>
      <w:szCs w:val="2"/>
    </w:rPr>
  </w:style>
  <w:style w:type="character" w:styleId="CommentReference">
    <w:name w:val="annotation reference"/>
    <w:basedOn w:val="DefaultParagraphFont"/>
    <w:uiPriority w:val="99"/>
    <w:semiHidden/>
    <w:rPr>
      <w:rFonts w:cs="Times New Roman"/>
      <w:sz w:val="16"/>
      <w:szCs w:val="16"/>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basedOn w:val="DefaultParagraphFont"/>
    <w:link w:val="CommentText"/>
    <w:uiPriority w:val="99"/>
    <w:semiHidden/>
    <w:locked/>
    <w:rPr>
      <w:rFonts w:cs="Times New Roman"/>
    </w:rPr>
  </w:style>
  <w:style w:type="paragraph" w:styleId="CommentSubject">
    <w:name w:val="annotation subject"/>
    <w:basedOn w:val="CommentText"/>
    <w:next w:val="CommentText"/>
    <w:link w:val="CommentSubjectChar"/>
    <w:uiPriority w:val="99"/>
    <w:semiHidden/>
    <w:rPr>
      <w:rFonts w:ascii="TimesNewRomanPS-BoldMT" w:hAnsi="TimesNewRomanPS-BoldMT" w:cs="TimesNewRomanPS-BoldMT"/>
      <w:b/>
      <w:bCs/>
    </w:rPr>
  </w:style>
  <w:style w:type="character" w:customStyle="1" w:styleId="CommentSubjectChar">
    <w:name w:val="Comment Subject Char"/>
    <w:basedOn w:val="CommentTextChar"/>
    <w:link w:val="CommentSubject"/>
    <w:uiPriority w:val="99"/>
    <w:semiHidden/>
    <w:locked/>
    <w:rPr>
      <w:rFonts w:cs="Times New Roman"/>
      <w:b/>
      <w:bCs/>
    </w:rPr>
  </w:style>
  <w:style w:type="paragraph" w:customStyle="1" w:styleId="Default">
    <w:name w:val="Default"/>
    <w:uiPriority w:val="99"/>
    <w:pPr>
      <w:autoSpaceDE w:val="0"/>
      <w:autoSpaceDN w:val="0"/>
      <w:adjustRightInd w:val="0"/>
      <w:spacing w:after="0" w:line="240" w:lineRule="auto"/>
    </w:pPr>
    <w:rPr>
      <w:rFonts w:ascii="ArialMT" w:hAnsi="ArialMT" w:cs="ArialMT"/>
      <w:sz w:val="24"/>
      <w:szCs w:val="24"/>
    </w:rPr>
  </w:style>
  <w:style w:type="paragraph" w:customStyle="1" w:styleId="Comment">
    <w:name w:val="Comment"/>
    <w:basedOn w:val="Normal"/>
    <w:uiPriority w:val="99"/>
  </w:style>
  <w:style w:type="numbering" w:customStyle="1" w:styleId="BulletList1">
    <w:name w:val="Bullet List 1"/>
    <w:pPr>
      <w:numPr>
        <w:numId w:val="2"/>
      </w:numPr>
    </w:pPr>
  </w:style>
  <w:style w:type="numbering" w:customStyle="1" w:styleId="NumberList1">
    <w:name w:val="Number List 1"/>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quity.uwa.edu.au" TargetMode="External"/><Relationship Id="rId4" Type="http://schemas.openxmlformats.org/officeDocument/2006/relationships/settings" Target="settings.xml"/><Relationship Id="rId9" Type="http://schemas.openxmlformats.org/officeDocument/2006/relationships/hyperlink" Target="http://www.hr.uwa.edu.au/publications/code_of_ethi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557</Words>
  <Characters>3179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Position Title:</vt:lpstr>
    </vt:vector>
  </TitlesOfParts>
  <Company>The University of Western Australia</Company>
  <LinksUpToDate>false</LinksUpToDate>
  <CharactersWithSpaces>3729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Title:</dc:title>
  <dc:creator>ltowler</dc:creator>
  <cp:lastModifiedBy>Elsa Isebe</cp:lastModifiedBy>
  <cp:revision>2</cp:revision>
  <cp:lastPrinted>2013-08-12T07:26:00Z</cp:lastPrinted>
  <dcterms:created xsi:type="dcterms:W3CDTF">2019-01-17T04:38:00Z</dcterms:created>
  <dcterms:modified xsi:type="dcterms:W3CDTF">2019-01-17T04:38:00Z</dcterms:modified>
</cp:coreProperties>
</file>