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269"/>
        <w:gridCol w:w="7493"/>
      </w:tblGrid>
      <w:tr w:rsidR="00D572CA" w14:paraId="4E22F1C5" w14:textId="77777777" w:rsidTr="00EB462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17A5BDE" w14:textId="20CFF9F0" w:rsidR="00D572CA" w:rsidRDefault="00D572CA" w:rsidP="006E0009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722D69"/>
                <w:sz w:val="28"/>
              </w:rPr>
              <w:t>Mission Australia</w:t>
            </w:r>
          </w:p>
        </w:tc>
      </w:tr>
      <w:tr w:rsidR="00B23A03" w14:paraId="43888064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2DA1ED28" w14:textId="77777777" w:rsidR="00B23A03" w:rsidRDefault="00B23A03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About us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3813EDA0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Mission Australia is a national Christian charity that has been helping vulnerable Australians move towards independence for over 160 years.</w:t>
            </w:r>
          </w:p>
          <w:p w14:paraId="6F8FE1A6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We’ve learnt the ways for people to become more self-sufficient are different for everyone. This informs how we support people by combatting homelessness, assisting disadvantaged families and children, addressing mental health issues, fighting substance dependencies, and much more.</w:t>
            </w:r>
            <w:r>
              <w:rPr>
                <w:sz w:val="22"/>
                <w:szCs w:val="22"/>
              </w:rPr>
              <w:t xml:space="preserve"> </w:t>
            </w:r>
            <w:r w:rsidRPr="00A40F48">
              <w:rPr>
                <w:sz w:val="22"/>
                <w:szCs w:val="22"/>
              </w:rPr>
              <w:t xml:space="preserve">Our team applies different approaches, alongside government, our corporate partners and everyday Australians who provide generous support. </w:t>
            </w:r>
          </w:p>
          <w:p w14:paraId="7DD084ED" w14:textId="77777777" w:rsidR="00B23A03" w:rsidRDefault="00B24132" w:rsidP="00B24132">
            <w:pPr>
              <w:jc w:val="both"/>
              <w:rPr>
                <w:rFonts w:cs="Calibri"/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Together, we stand with Australians in need until they can stand for themselves.</w:t>
            </w:r>
          </w:p>
        </w:tc>
      </w:tr>
      <w:tr w:rsidR="00A826F7" w14:paraId="626CAC9D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6B265C0" w14:textId="77777777" w:rsidR="00A826F7" w:rsidRPr="00B76B2D" w:rsidRDefault="00A826F7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Purpose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4F66664" w14:textId="77777777" w:rsidR="00A826F7" w:rsidRPr="00753C66" w:rsidRDefault="00A826F7" w:rsidP="009537C6">
            <w:pPr>
              <w:jc w:val="both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</w:p>
          <w:p w14:paraId="5BC2FCE4" w14:textId="77777777" w:rsidR="00A826F7" w:rsidRPr="000C37E1" w:rsidRDefault="00A826F7" w:rsidP="009537C6">
            <w:pPr>
              <w:ind w:left="720" w:hanging="720"/>
              <w:jc w:val="both"/>
              <w:rPr>
                <w:i/>
                <w:sz w:val="19"/>
                <w:szCs w:val="19"/>
              </w:rPr>
            </w:pPr>
            <w:r w:rsidRPr="000C37E1">
              <w:rPr>
                <w:i/>
                <w:sz w:val="19"/>
                <w:szCs w:val="19"/>
              </w:rPr>
              <w:t>“</w:t>
            </w:r>
            <w:r w:rsidR="00071B9F" w:rsidRPr="000C37E1">
              <w:rPr>
                <w:i/>
                <w:sz w:val="19"/>
                <w:szCs w:val="19"/>
              </w:rPr>
              <w:t>Dear children, let us not love with words or speech but with actions and in truth.</w:t>
            </w:r>
            <w:r w:rsidRPr="000C37E1">
              <w:rPr>
                <w:i/>
                <w:sz w:val="19"/>
                <w:szCs w:val="19"/>
              </w:rPr>
              <w:t>” (1 John 3:1</w:t>
            </w:r>
            <w:r w:rsidR="00071B9F" w:rsidRPr="000C37E1">
              <w:rPr>
                <w:i/>
                <w:sz w:val="19"/>
                <w:szCs w:val="19"/>
              </w:rPr>
              <w:t>8</w:t>
            </w:r>
            <w:r w:rsidRPr="000C37E1">
              <w:rPr>
                <w:i/>
                <w:sz w:val="19"/>
                <w:szCs w:val="19"/>
              </w:rPr>
              <w:t>)</w:t>
            </w:r>
          </w:p>
        </w:tc>
      </w:tr>
      <w:tr w:rsidR="00A826F7" w14:paraId="227382B9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7E26F18D" w14:textId="77777777" w:rsidR="00A826F7" w:rsidRPr="00B76B2D" w:rsidRDefault="00A826F7" w:rsidP="00C732BC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Values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370DAB5B" w14:textId="77777777" w:rsidR="00A826F7" w:rsidRPr="00B76B2D" w:rsidRDefault="00A826F7" w:rsidP="00EF6592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Compassion     Integrity      Respect   </w:t>
            </w:r>
            <w:r w:rsidR="00EF6592">
              <w:rPr>
                <w:sz w:val="22"/>
              </w:rPr>
              <w:t xml:space="preserve">   </w:t>
            </w:r>
            <w:r w:rsidRPr="00753C66">
              <w:rPr>
                <w:sz w:val="22"/>
              </w:rPr>
              <w:t>Perseverance    Celebration</w:t>
            </w:r>
            <w:r w:rsidR="000E1494">
              <w:rPr>
                <w:sz w:val="22"/>
              </w:rPr>
              <w:t xml:space="preserve"> </w:t>
            </w:r>
          </w:p>
        </w:tc>
      </w:tr>
      <w:tr w:rsidR="00C732BC" w:rsidRPr="00B76B2D" w14:paraId="46A3B2F6" w14:textId="77777777" w:rsidTr="00EB462B">
        <w:tc>
          <w:tcPr>
            <w:tcW w:w="1162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46AC3AE" w14:textId="77777777" w:rsidR="00C732BC" w:rsidRPr="00B76B2D" w:rsidRDefault="00C732BC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Goal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EE1C732" w14:textId="1E1BC6FA" w:rsidR="00C732BC" w:rsidRPr="00E0601B" w:rsidRDefault="00E0601B" w:rsidP="00E0601B">
            <w:pPr>
              <w:rPr>
                <w:sz w:val="22"/>
              </w:rPr>
            </w:pPr>
            <w:r w:rsidRPr="00E0601B">
              <w:rPr>
                <w:sz w:val="22"/>
                <w:szCs w:val="22"/>
              </w:rPr>
              <w:t>End homelessness and ensure people and communities in need can thrive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7F" w14:paraId="288335BA" w14:textId="77777777" w:rsidTr="00EB462B">
        <w:tc>
          <w:tcPr>
            <w:tcW w:w="5000" w:type="pct"/>
            <w:gridSpan w:val="2"/>
            <w:tcBorders>
              <w:top w:val="single" w:sz="4" w:space="0" w:color="EC008C"/>
              <w:left w:val="nil"/>
              <w:bottom w:val="nil"/>
              <w:right w:val="nil"/>
            </w:tcBorders>
          </w:tcPr>
          <w:p w14:paraId="6B795372" w14:textId="343C6B85" w:rsidR="00A5237F" w:rsidRPr="00A5237F" w:rsidRDefault="00A5237F" w:rsidP="00A5237F">
            <w:pPr>
              <w:spacing w:before="240" w:after="160"/>
              <w:ind w:left="720" w:hanging="720"/>
              <w:rPr>
                <w:b/>
                <w:color w:val="722D69"/>
                <w:sz w:val="28"/>
              </w:rPr>
            </w:pPr>
            <w:r>
              <w:rPr>
                <w:b/>
                <w:color w:val="722D69"/>
                <w:sz w:val="28"/>
              </w:rPr>
              <w:t xml:space="preserve">Position Details: </w:t>
            </w:r>
          </w:p>
        </w:tc>
      </w:tr>
      <w:tr w:rsidR="00A5237F" w14:paraId="4F792783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595A80F5" w14:textId="5915AE5A" w:rsidR="00A5237F" w:rsidRDefault="00A5237F" w:rsidP="0073294F">
            <w:pPr>
              <w:rPr>
                <w:sz w:val="22"/>
              </w:rPr>
            </w:pPr>
            <w:r>
              <w:rPr>
                <w:sz w:val="22"/>
              </w:rPr>
              <w:t>Position Title: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0120C94" w14:textId="6AE1AA81" w:rsidR="00A5237F" w:rsidRPr="00A5237F" w:rsidRDefault="00635B41" w:rsidP="0073294F">
            <w:pPr>
              <w:ind w:left="720" w:hanging="7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Industrial Relations Business </w:t>
            </w:r>
            <w:r w:rsidR="00874DA0">
              <w:rPr>
                <w:b/>
                <w:sz w:val="22"/>
              </w:rPr>
              <w:t>Partner</w:t>
            </w:r>
          </w:p>
        </w:tc>
      </w:tr>
      <w:tr w:rsidR="00AD7679" w14:paraId="3DC25811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D864539" w14:textId="6478845A" w:rsidR="00AD7679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Award/Agreement: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31A9491" w14:textId="344A668A" w:rsidR="00AD7679" w:rsidRDefault="003F7129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AD7679" w14:paraId="62CF0586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ECC16C2" w14:textId="1E8F2AC5" w:rsidR="00AD7679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Classification/Level: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691CF6B" w14:textId="26B78470" w:rsidR="00AD7679" w:rsidRDefault="00AD7679" w:rsidP="0073294F">
            <w:pPr>
              <w:ind w:left="720" w:hanging="720"/>
              <w:rPr>
                <w:sz w:val="22"/>
              </w:rPr>
            </w:pPr>
          </w:p>
        </w:tc>
      </w:tr>
      <w:tr w:rsidR="003E4A53" w14:paraId="1209E20D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FB09DDA" w14:textId="5E6A226D" w:rsidR="003E4A53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Executive Function: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5A47ADB" w14:textId="74ADB6A1" w:rsidR="003E4A53" w:rsidRDefault="003E4A53" w:rsidP="0073294F">
            <w:pPr>
              <w:ind w:left="720" w:hanging="720"/>
              <w:rPr>
                <w:sz w:val="22"/>
              </w:rPr>
            </w:pPr>
          </w:p>
        </w:tc>
      </w:tr>
      <w:tr w:rsidR="0073294F" w14:paraId="45810C50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75523E0" w14:textId="63D231F9" w:rsidR="0073294F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Business Unit/Program: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84E0E22" w14:textId="51991ACF" w:rsidR="0073294F" w:rsidRDefault="003F7129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Human Resources</w:t>
            </w:r>
          </w:p>
        </w:tc>
      </w:tr>
      <w:tr w:rsidR="003F7129" w14:paraId="29B29707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656F4D72" w14:textId="77777777" w:rsidR="003F7129" w:rsidRPr="00B76B2D" w:rsidRDefault="003F7129" w:rsidP="003F7129">
            <w:pPr>
              <w:rPr>
                <w:sz w:val="22"/>
              </w:rPr>
            </w:pPr>
            <w:r>
              <w:rPr>
                <w:sz w:val="22"/>
              </w:rPr>
              <w:t>Reports to: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79FAE866" w14:textId="5324BEA8" w:rsidR="003F7129" w:rsidRPr="00B76B2D" w:rsidRDefault="003F7129" w:rsidP="003F7129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Group Manager, HR Business Partnering</w:t>
            </w:r>
          </w:p>
        </w:tc>
      </w:tr>
      <w:tr w:rsidR="003F7129" w14:paraId="73C32B21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36F4B55" w14:textId="1189715A" w:rsidR="003F7129" w:rsidRDefault="003F7129" w:rsidP="003F7129">
            <w:pPr>
              <w:rPr>
                <w:sz w:val="22"/>
              </w:rPr>
            </w:pPr>
            <w:r>
              <w:rPr>
                <w:sz w:val="22"/>
              </w:rPr>
              <w:t>Position Purpose: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29D0BAC" w14:textId="36F1CFE3" w:rsidR="003F7129" w:rsidRDefault="003F7129" w:rsidP="003F7129">
            <w:pPr>
              <w:tabs>
                <w:tab w:val="left" w:pos="2335"/>
              </w:tabs>
              <w:jc w:val="both"/>
              <w:rPr>
                <w:sz w:val="22"/>
                <w:szCs w:val="22"/>
              </w:rPr>
            </w:pPr>
            <w:r w:rsidRPr="00A55C5E">
              <w:rPr>
                <w:rFonts w:asciiTheme="minorHAnsi" w:hAnsiTheme="minorHAnsi" w:cs="Arial"/>
                <w:sz w:val="22"/>
                <w:szCs w:val="22"/>
              </w:rPr>
              <w:t xml:space="preserve">To deliver specialist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employment/industrial </w:t>
            </w:r>
            <w:r w:rsidRPr="00A55C5E">
              <w:rPr>
                <w:rFonts w:asciiTheme="minorHAnsi" w:hAnsiTheme="minorHAnsi" w:cs="Arial"/>
                <w:sz w:val="22"/>
                <w:szCs w:val="22"/>
              </w:rPr>
              <w:t>relations services across Mission Australia through the provision of strategic and operational employment/industrial relations advice and support to managers, staff and the HR team.</w:t>
            </w:r>
          </w:p>
          <w:p w14:paraId="3FA9E501" w14:textId="1EB3CBC5" w:rsidR="003F7129" w:rsidRPr="009033B1" w:rsidRDefault="003F7129" w:rsidP="003F7129">
            <w:pPr>
              <w:tabs>
                <w:tab w:val="left" w:pos="2335"/>
              </w:tabs>
              <w:jc w:val="both"/>
              <w:rPr>
                <w:sz w:val="22"/>
                <w:szCs w:val="22"/>
              </w:rPr>
            </w:pPr>
          </w:p>
        </w:tc>
      </w:tr>
      <w:tr w:rsidR="003F7129" w14:paraId="3E4D42B6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272358C5" w14:textId="77777777" w:rsidR="003F7129" w:rsidRPr="00B76B2D" w:rsidRDefault="003F7129" w:rsidP="003F7129">
            <w:pPr>
              <w:ind w:left="-71" w:firstLine="71"/>
              <w:rPr>
                <w:sz w:val="22"/>
              </w:rPr>
            </w:pP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12115742" w14:textId="77777777" w:rsidR="003F7129" w:rsidRPr="00B76B2D" w:rsidRDefault="003F7129" w:rsidP="003F7129">
            <w:pPr>
              <w:rPr>
                <w:sz w:val="22"/>
              </w:rPr>
            </w:pPr>
          </w:p>
        </w:tc>
      </w:tr>
    </w:tbl>
    <w:p w14:paraId="350521C0" w14:textId="77777777" w:rsidR="00EA745B" w:rsidRDefault="00120E22" w:rsidP="000B007D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Position</w:t>
      </w:r>
      <w:r w:rsidR="005F71CC" w:rsidRPr="00A54162">
        <w:rPr>
          <w:b/>
          <w:color w:val="722D69"/>
          <w:sz w:val="28"/>
        </w:rPr>
        <w:t xml:space="preserve"> Requirement</w:t>
      </w:r>
      <w:r w:rsidR="00A54162">
        <w:rPr>
          <w:b/>
          <w:color w:val="722D69"/>
          <w:sz w:val="28"/>
        </w:rPr>
        <w:t>s</w:t>
      </w:r>
      <w:r w:rsidR="005F71CC" w:rsidRPr="00A54162">
        <w:rPr>
          <w:b/>
          <w:color w:val="722D69"/>
          <w:sz w:val="28"/>
        </w:rPr>
        <w:t xml:space="preserve"> (What are the key activities for the role?)</w:t>
      </w:r>
    </w:p>
    <w:tbl>
      <w:tblPr>
        <w:tblW w:w="544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3"/>
        <w:gridCol w:w="321"/>
      </w:tblGrid>
      <w:tr w:rsidR="00193477" w:rsidRPr="00193477" w14:paraId="3A3D23D7" w14:textId="77777777" w:rsidTr="002F29B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7"/>
              <w:gridCol w:w="4819"/>
            </w:tblGrid>
            <w:tr w:rsidR="00422424" w14:paraId="137DBA7A" w14:textId="77777777" w:rsidTr="00A5237F">
              <w:tc>
                <w:tcPr>
                  <w:tcW w:w="4597" w:type="dxa"/>
                  <w:shd w:val="clear" w:color="auto" w:fill="auto"/>
                </w:tcPr>
                <w:p w14:paraId="20EC903A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E65D3DE" w14:textId="30A6EF55" w:rsidR="00422424" w:rsidRPr="00664708" w:rsidRDefault="00360E5F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Industrial Employee/Employer Consultant</w:t>
                  </w:r>
                </w:p>
              </w:tc>
            </w:tr>
            <w:tr w:rsidR="00422424" w14:paraId="3720B13C" w14:textId="77777777" w:rsidTr="00A5237F">
              <w:tc>
                <w:tcPr>
                  <w:tcW w:w="4597" w:type="dxa"/>
                  <w:shd w:val="clear" w:color="auto" w:fill="auto"/>
                </w:tcPr>
                <w:p w14:paraId="59679117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5361717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422424" w14:paraId="13B1F36F" w14:textId="77777777" w:rsidTr="00A5237F">
              <w:trPr>
                <w:trHeight w:val="781"/>
              </w:trPr>
              <w:tc>
                <w:tcPr>
                  <w:tcW w:w="4597" w:type="dxa"/>
                  <w:shd w:val="clear" w:color="auto" w:fill="auto"/>
                </w:tcPr>
                <w:p w14:paraId="0242C38B" w14:textId="77777777" w:rsidR="003F7129" w:rsidRPr="003F7129" w:rsidRDefault="003F7129" w:rsidP="003F712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cs="Calibri"/>
                      <w:sz w:val="22"/>
                      <w:szCs w:val="22"/>
                    </w:rPr>
                  </w:pPr>
                  <w:r w:rsidRPr="003F7129">
                    <w:rPr>
                      <w:rFonts w:eastAsia="Calibri" w:cs="Calibri"/>
                      <w:sz w:val="22"/>
                      <w:szCs w:val="22"/>
                    </w:rPr>
                    <w:t>Provide specialist coaching, guidance and advice in relation to interpretation and allocation of industrial matters.</w:t>
                  </w:r>
                </w:p>
                <w:p w14:paraId="2809509E" w14:textId="61CFE197" w:rsidR="003F7129" w:rsidRPr="003F7129" w:rsidRDefault="003F7129" w:rsidP="003F712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cs="Calibri"/>
                      <w:sz w:val="22"/>
                      <w:szCs w:val="22"/>
                    </w:rPr>
                  </w:pPr>
                  <w:r w:rsidRPr="003F7129">
                    <w:rPr>
                      <w:rFonts w:eastAsia="Calibri" w:cs="Calibri"/>
                      <w:sz w:val="22"/>
                      <w:szCs w:val="22"/>
                    </w:rPr>
                    <w:t xml:space="preserve">Provide review of greater </w:t>
                  </w:r>
                  <w:r w:rsidR="00C56E68">
                    <w:rPr>
                      <w:rFonts w:eastAsia="Calibri" w:cs="Calibri"/>
                      <w:sz w:val="22"/>
                      <w:szCs w:val="22"/>
                    </w:rPr>
                    <w:t>People &amp; Culture</w:t>
                  </w:r>
                  <w:r w:rsidRPr="003F7129">
                    <w:rPr>
                      <w:rFonts w:eastAsia="Calibri" w:cs="Calibri"/>
                      <w:sz w:val="22"/>
                      <w:szCs w:val="22"/>
                    </w:rPr>
                    <w:t xml:space="preserve"> Team work where there is high ER/IR complexity and/or risk.</w:t>
                  </w:r>
                </w:p>
                <w:p w14:paraId="23835321" w14:textId="639732A8" w:rsidR="003E4A53" w:rsidRPr="00664708" w:rsidRDefault="00360E5F" w:rsidP="00360E5F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b/>
                      <w:color w:val="522F8C"/>
                    </w:rPr>
                  </w:pPr>
                  <w:r w:rsidRPr="00360E5F">
                    <w:rPr>
                      <w:rFonts w:eastAsia="Calibri" w:cs="Calibri"/>
                      <w:sz w:val="22"/>
                      <w:szCs w:val="22"/>
                    </w:rPr>
                    <w:lastRenderedPageBreak/>
                    <w:t>Conduct formal investigations in response to workplace misconduct and/or grievances.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3C44C6" w14:textId="77777777" w:rsidR="00360E5F" w:rsidRPr="00360E5F" w:rsidRDefault="00360E5F" w:rsidP="00360E5F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cs="Calibri"/>
                      <w:sz w:val="22"/>
                      <w:szCs w:val="22"/>
                    </w:rPr>
                  </w:pPr>
                  <w:r w:rsidRPr="00360E5F">
                    <w:rPr>
                      <w:rFonts w:eastAsia="Calibri" w:cs="Calibri"/>
                      <w:sz w:val="22"/>
                      <w:szCs w:val="22"/>
                    </w:rPr>
                    <w:lastRenderedPageBreak/>
                    <w:t>Effective subject matter advice is provided including end to end support on all ER operational and case management matters.</w:t>
                  </w:r>
                </w:p>
                <w:p w14:paraId="28234DCC" w14:textId="77777777" w:rsidR="00422424" w:rsidRDefault="00360E5F" w:rsidP="00360E5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360E5F">
                    <w:lastRenderedPageBreak/>
                    <w:t>Expert IR/ER advice is provided to mitigate IR/ER risk in a timely manner.</w:t>
                  </w:r>
                </w:p>
                <w:p w14:paraId="6D6C5BF4" w14:textId="77777777" w:rsidR="00360E5F" w:rsidRPr="00575FB7" w:rsidRDefault="00360E5F" w:rsidP="00360E5F">
                  <w:pPr>
                    <w:pStyle w:val="ListParagraph"/>
                    <w:numPr>
                      <w:ilvl w:val="0"/>
                      <w:numId w:val="30"/>
                    </w:numPr>
                    <w:spacing w:before="4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Investigations are completed in a timely manner in alignment with IR legislation and recommendations are provided in a factual and understandable manner to People Leader.</w:t>
                  </w:r>
                </w:p>
                <w:p w14:paraId="4EFE7A98" w14:textId="78CB3E55" w:rsidR="00360E5F" w:rsidRPr="00A5237F" w:rsidRDefault="00360E5F" w:rsidP="00360E5F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720"/>
                  </w:pPr>
                </w:p>
              </w:tc>
            </w:tr>
            <w:tr w:rsidR="00360E5F" w14:paraId="586543E8" w14:textId="77777777" w:rsidTr="00A5237F">
              <w:tc>
                <w:tcPr>
                  <w:tcW w:w="4597" w:type="dxa"/>
                  <w:shd w:val="clear" w:color="auto" w:fill="auto"/>
                </w:tcPr>
                <w:p w14:paraId="2CD4B77A" w14:textId="77777777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lastRenderedPageBreak/>
                    <w:t>Key Result Area 2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78F881A" w14:textId="28162FC9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Employer/Employee Advocate</w:t>
                  </w:r>
                </w:p>
              </w:tc>
            </w:tr>
            <w:tr w:rsidR="00360E5F" w14:paraId="072C5100" w14:textId="77777777" w:rsidTr="00A5237F">
              <w:tc>
                <w:tcPr>
                  <w:tcW w:w="4597" w:type="dxa"/>
                  <w:shd w:val="clear" w:color="auto" w:fill="auto"/>
                </w:tcPr>
                <w:p w14:paraId="05B42DA2" w14:textId="56AEBF6B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C475247" w14:textId="08F24B55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360E5F" w14:paraId="16238C1B" w14:textId="77777777" w:rsidTr="00A5237F">
              <w:tc>
                <w:tcPr>
                  <w:tcW w:w="4597" w:type="dxa"/>
                  <w:shd w:val="clear" w:color="auto" w:fill="auto"/>
                </w:tcPr>
                <w:p w14:paraId="48143C46" w14:textId="7F0E4554" w:rsidR="00360E5F" w:rsidRPr="00337659" w:rsidRDefault="00360E5F" w:rsidP="00360E5F">
                  <w:pPr>
                    <w:pStyle w:val="ListParagraph"/>
                    <w:numPr>
                      <w:ilvl w:val="0"/>
                      <w:numId w:val="30"/>
                    </w:numPr>
                    <w:spacing w:before="40" w:after="60"/>
                    <w:rPr>
                      <w:b/>
                      <w:color w:val="522F8C"/>
                      <w:sz w:val="22"/>
                      <w:szCs w:val="22"/>
                    </w:rPr>
                  </w:pPr>
                  <w:r w:rsidRPr="00337659">
                    <w:rPr>
                      <w:sz w:val="22"/>
                      <w:szCs w:val="22"/>
                    </w:rPr>
                    <w:t>Acts as a key contact</w:t>
                  </w:r>
                  <w:r>
                    <w:rPr>
                      <w:sz w:val="22"/>
                      <w:szCs w:val="22"/>
                    </w:rPr>
                    <w:t xml:space="preserve"> and representative </w:t>
                  </w:r>
                  <w:r w:rsidRPr="00337659">
                    <w:rPr>
                      <w:sz w:val="22"/>
                      <w:szCs w:val="22"/>
                    </w:rPr>
                    <w:t>for discuss</w:t>
                  </w:r>
                  <w:r>
                    <w:rPr>
                      <w:sz w:val="22"/>
                      <w:szCs w:val="22"/>
                    </w:rPr>
                    <w:t xml:space="preserve">ions, </w:t>
                  </w:r>
                  <w:r w:rsidRPr="00337659">
                    <w:rPr>
                      <w:sz w:val="22"/>
                      <w:szCs w:val="22"/>
                    </w:rPr>
                    <w:t>negotiations</w:t>
                  </w:r>
                  <w:r>
                    <w:rPr>
                      <w:sz w:val="22"/>
                      <w:szCs w:val="22"/>
                    </w:rPr>
                    <w:t xml:space="preserve"> and hearings</w:t>
                  </w:r>
                  <w:r w:rsidRPr="00337659">
                    <w:rPr>
                      <w:sz w:val="22"/>
                      <w:szCs w:val="22"/>
                    </w:rPr>
                    <w:t xml:space="preserve"> with Unions, State</w:t>
                  </w:r>
                  <w:r w:rsidR="00913B44">
                    <w:rPr>
                      <w:sz w:val="22"/>
                      <w:szCs w:val="22"/>
                    </w:rPr>
                    <w:t xml:space="preserve"> </w:t>
                  </w:r>
                  <w:r w:rsidR="00D212D6">
                    <w:rPr>
                      <w:sz w:val="22"/>
                      <w:szCs w:val="22"/>
                    </w:rPr>
                    <w:t>and Federal</w:t>
                  </w:r>
                  <w:r w:rsidRPr="00337659">
                    <w:rPr>
                      <w:sz w:val="22"/>
                      <w:szCs w:val="22"/>
                    </w:rPr>
                    <w:t xml:space="preserve"> based Tribunals</w:t>
                  </w:r>
                  <w:r w:rsidR="00913B44">
                    <w:rPr>
                      <w:sz w:val="22"/>
                      <w:szCs w:val="22"/>
                    </w:rPr>
                    <w:t xml:space="preserve"> and Commissions and the</w:t>
                  </w:r>
                  <w:r w:rsidRPr="00337659">
                    <w:rPr>
                      <w:sz w:val="22"/>
                      <w:szCs w:val="22"/>
                    </w:rPr>
                    <w:t xml:space="preserve">  Fair Work Ombudsman.</w:t>
                  </w:r>
                </w:p>
                <w:p w14:paraId="6910DEB9" w14:textId="2288E4B1" w:rsidR="00360E5F" w:rsidRPr="003E4A53" w:rsidRDefault="00360E5F" w:rsidP="00360E5F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720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16F122F9" w14:textId="57821DD2" w:rsidR="00360E5F" w:rsidRPr="00337659" w:rsidRDefault="00360E5F" w:rsidP="00360E5F">
                  <w:pPr>
                    <w:pStyle w:val="ListParagraph"/>
                    <w:numPr>
                      <w:ilvl w:val="0"/>
                      <w:numId w:val="30"/>
                    </w:numPr>
                    <w:spacing w:before="40" w:after="60"/>
                    <w:rPr>
                      <w:sz w:val="22"/>
                      <w:szCs w:val="22"/>
                    </w:rPr>
                  </w:pPr>
                  <w:r w:rsidRPr="00337659">
                    <w:rPr>
                      <w:sz w:val="22"/>
                      <w:szCs w:val="22"/>
                    </w:rPr>
                    <w:t>Key contact for matters with Unions</w:t>
                  </w:r>
                  <w:r w:rsidR="00B06ECD">
                    <w:rPr>
                      <w:sz w:val="22"/>
                      <w:szCs w:val="22"/>
                    </w:rPr>
                    <w:t xml:space="preserve">, the Fair Work Commission, </w:t>
                  </w:r>
                  <w:r w:rsidRPr="00337659">
                    <w:rPr>
                      <w:sz w:val="22"/>
                      <w:szCs w:val="22"/>
                    </w:rPr>
                    <w:t xml:space="preserve">the Fair Work Ombudsman </w:t>
                  </w:r>
                  <w:r w:rsidR="00B06ECD">
                    <w:rPr>
                      <w:sz w:val="22"/>
                      <w:szCs w:val="22"/>
                    </w:rPr>
                    <w:t xml:space="preserve">and other industrial tribunals </w:t>
                  </w:r>
                  <w:r w:rsidRPr="00337659">
                    <w:rPr>
                      <w:sz w:val="22"/>
                      <w:szCs w:val="22"/>
                    </w:rPr>
                    <w:t>to resolve or mitigate employee issues or complaints.</w:t>
                  </w:r>
                </w:p>
                <w:p w14:paraId="585D25EC" w14:textId="77777777" w:rsidR="00360E5F" w:rsidRDefault="00360E5F" w:rsidP="00360E5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337659">
                    <w:t>Effective relationships with key stakeholders are developed and maintained as required.</w:t>
                  </w:r>
                </w:p>
                <w:p w14:paraId="473D4F99" w14:textId="74DD7DBE" w:rsidR="007E6718" w:rsidRPr="002F29BC" w:rsidRDefault="00A251F4" w:rsidP="00A251F4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t>Act as c</w:t>
                  </w:r>
                  <w:r w:rsidR="007E6718">
                    <w:t>onduit for external solicitors/ consultant groups</w:t>
                  </w:r>
                </w:p>
              </w:tc>
            </w:tr>
            <w:tr w:rsidR="00360E5F" w14:paraId="7DE0EFA2" w14:textId="77777777" w:rsidTr="00A5237F">
              <w:tc>
                <w:tcPr>
                  <w:tcW w:w="4597" w:type="dxa"/>
                  <w:shd w:val="clear" w:color="auto" w:fill="auto"/>
                </w:tcPr>
                <w:p w14:paraId="6CC2B462" w14:textId="77777777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3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48F05DF" w14:textId="0B8E3691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Policy and Procedures</w:t>
                  </w:r>
                </w:p>
              </w:tc>
            </w:tr>
            <w:tr w:rsidR="00360E5F" w14:paraId="4D4B3172" w14:textId="77777777" w:rsidTr="00A5237F">
              <w:tc>
                <w:tcPr>
                  <w:tcW w:w="4597" w:type="dxa"/>
                  <w:shd w:val="clear" w:color="auto" w:fill="auto"/>
                </w:tcPr>
                <w:p w14:paraId="39561FD3" w14:textId="77777777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0FB2CD" w14:textId="77777777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360E5F" w14:paraId="37FC15BD" w14:textId="77777777" w:rsidTr="002F29BC">
              <w:trPr>
                <w:trHeight w:val="682"/>
              </w:trPr>
              <w:tc>
                <w:tcPr>
                  <w:tcW w:w="4597" w:type="dxa"/>
                  <w:shd w:val="clear" w:color="auto" w:fill="auto"/>
                </w:tcPr>
                <w:p w14:paraId="17729EDA" w14:textId="77777777" w:rsidR="00360E5F" w:rsidRDefault="00360E5F" w:rsidP="00360E5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337659">
                    <w:t>MA Policy and procedure development or enhancement of documents with ER/IR complexity.</w:t>
                  </w:r>
                </w:p>
                <w:p w14:paraId="22834743" w14:textId="77777777" w:rsidR="00360E5F" w:rsidRPr="00360E5F" w:rsidRDefault="00360E5F" w:rsidP="00360E5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360E5F">
                    <w:t>Risks of out-dated ER/IR legislation in HR policy and procedures is identified and updated.</w:t>
                  </w:r>
                </w:p>
                <w:p w14:paraId="70EABF81" w14:textId="27527C9C" w:rsidR="00360E5F" w:rsidRPr="003E4A53" w:rsidRDefault="00360E5F" w:rsidP="00360E5F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0A62819D" w14:textId="77777777" w:rsidR="00360E5F" w:rsidRPr="00360E5F" w:rsidRDefault="00360E5F" w:rsidP="00360E5F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cs="Calibri"/>
                      <w:sz w:val="22"/>
                      <w:szCs w:val="22"/>
                    </w:rPr>
                  </w:pPr>
                  <w:r w:rsidRPr="00360E5F">
                    <w:rPr>
                      <w:rFonts w:eastAsia="Calibri" w:cs="Calibri"/>
                      <w:sz w:val="22"/>
                      <w:szCs w:val="22"/>
                    </w:rPr>
                    <w:t>Delegated policies and procedures/documents are developed and or/maintained in line with organisational objectives and current ER/IR legislation.</w:t>
                  </w:r>
                </w:p>
                <w:p w14:paraId="623CD63A" w14:textId="77777777" w:rsidR="00360E5F" w:rsidRPr="00360E5F" w:rsidRDefault="00360E5F" w:rsidP="00360E5F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cs="Calibri"/>
                      <w:sz w:val="22"/>
                      <w:szCs w:val="22"/>
                    </w:rPr>
                  </w:pPr>
                  <w:r w:rsidRPr="00360E5F">
                    <w:rPr>
                      <w:rFonts w:eastAsia="Calibri" w:cs="Calibri"/>
                      <w:sz w:val="22"/>
                      <w:szCs w:val="22"/>
                    </w:rPr>
                    <w:t>Identification of out-dated HR policy and procedures is escalated to GM, HR BP and appropriate solution is provided.</w:t>
                  </w:r>
                </w:p>
                <w:p w14:paraId="78C1A5A1" w14:textId="20AE854E" w:rsidR="00360E5F" w:rsidRPr="002F29BC" w:rsidRDefault="00360E5F" w:rsidP="00360E5F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</w:tc>
            </w:tr>
            <w:tr w:rsidR="00360E5F" w14:paraId="5D2E30E5" w14:textId="77777777" w:rsidTr="00A5237F">
              <w:tc>
                <w:tcPr>
                  <w:tcW w:w="4597" w:type="dxa"/>
                  <w:shd w:val="clear" w:color="auto" w:fill="auto"/>
                </w:tcPr>
                <w:p w14:paraId="5CDABE10" w14:textId="77777777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4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EBA53D0" w14:textId="3D90EEFE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MA Employment Contracts/Letters</w:t>
                  </w:r>
                </w:p>
              </w:tc>
            </w:tr>
            <w:tr w:rsidR="00360E5F" w14:paraId="6D8C5DC6" w14:textId="77777777" w:rsidTr="00A5237F">
              <w:tc>
                <w:tcPr>
                  <w:tcW w:w="4597" w:type="dxa"/>
                  <w:shd w:val="clear" w:color="auto" w:fill="auto"/>
                </w:tcPr>
                <w:p w14:paraId="5016B554" w14:textId="77777777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2374630" w14:textId="77777777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360E5F" w14:paraId="5F50655B" w14:textId="77777777" w:rsidTr="00A5237F">
              <w:tc>
                <w:tcPr>
                  <w:tcW w:w="4597" w:type="dxa"/>
                  <w:shd w:val="clear" w:color="auto" w:fill="auto"/>
                </w:tcPr>
                <w:p w14:paraId="529840B2" w14:textId="77777777" w:rsidR="00360E5F" w:rsidRDefault="00360E5F" w:rsidP="00360E5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360E5F">
                    <w:t xml:space="preserve">Enhancement of all MA employment contracts and other employment letters to improve industrial </w:t>
                  </w:r>
                  <w:r w:rsidR="00703C5B" w:rsidRPr="00337659">
                    <w:t>currency and reduce industrial risk.</w:t>
                  </w:r>
                </w:p>
                <w:p w14:paraId="1F6CC547" w14:textId="656015E9" w:rsidR="00703C5B" w:rsidRPr="003E4A53" w:rsidRDefault="00703C5B" w:rsidP="00360E5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Development of additional contractual </w:t>
                  </w:r>
                  <w:r w:rsidR="007D66CA" w:rsidRPr="00A251F4">
                    <w:t>terms</w:t>
                  </w:r>
                  <w:r w:rsidR="007D66CA">
                    <w:t xml:space="preserve"> </w:t>
                  </w:r>
                  <w:r w:rsidR="00AA6BC0">
                    <w:t>and written correspondence</w:t>
                  </w:r>
                  <w:r w:rsidR="005C5EA0">
                    <w:t xml:space="preserve"> </w:t>
                  </w:r>
                  <w:r w:rsidR="007D66CA">
                    <w:t>to reflect unique circumstances as</w:t>
                  </w:r>
                  <w:r w:rsidR="005C5EA0">
                    <w:t xml:space="preserve"> they arise</w:t>
                  </w:r>
                  <w:r w:rsidR="007D66CA">
                    <w:t xml:space="preserve">. 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5C3ECCE" w14:textId="469DFDF6" w:rsidR="00360E5F" w:rsidRDefault="00360E5F" w:rsidP="00360E5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337659">
                    <w:t>Review all employment contracts and the identification for improvement to increase legal currency, meet business objectives and reduce MA industrial risk.</w:t>
                  </w:r>
                </w:p>
                <w:p w14:paraId="36249305" w14:textId="116A9D79" w:rsidR="0087165B" w:rsidRDefault="0087165B" w:rsidP="00360E5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Contractual </w:t>
                  </w:r>
                  <w:r w:rsidRPr="00A251F4">
                    <w:t>terms</w:t>
                  </w:r>
                  <w:r>
                    <w:t xml:space="preserve"> </w:t>
                  </w:r>
                  <w:r w:rsidR="005C5EA0">
                    <w:t xml:space="preserve">and written correspondence </w:t>
                  </w:r>
                  <w:r>
                    <w:t>are developed to facilitate unique</w:t>
                  </w:r>
                  <w:r w:rsidR="00FB2F2E">
                    <w:t xml:space="preserve"> circumstances while </w:t>
                  </w:r>
                  <w:r w:rsidR="00CA539E">
                    <w:t xml:space="preserve">ensuring </w:t>
                  </w:r>
                  <w:r w:rsidR="00AA6BC0">
                    <w:t xml:space="preserve">risk </w:t>
                  </w:r>
                  <w:r w:rsidR="00AA6BC0" w:rsidRPr="00A251F4">
                    <w:t>minimisation/ mitigation</w:t>
                  </w:r>
                  <w:r w:rsidR="00AA6BC0">
                    <w:t xml:space="preserve"> for </w:t>
                  </w:r>
                  <w:r w:rsidR="00CA539E">
                    <w:t xml:space="preserve">Mission Australia. </w:t>
                  </w:r>
                  <w:r>
                    <w:t xml:space="preserve"> </w:t>
                  </w:r>
                </w:p>
                <w:p w14:paraId="2AD8EEDD" w14:textId="15137032" w:rsidR="00360E5F" w:rsidRPr="002F29BC" w:rsidRDefault="00360E5F" w:rsidP="00360E5F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</w:tc>
            </w:tr>
            <w:tr w:rsidR="00360E5F" w14:paraId="4B47BA80" w14:textId="77777777" w:rsidTr="00A5237F">
              <w:tc>
                <w:tcPr>
                  <w:tcW w:w="4597" w:type="dxa"/>
                  <w:shd w:val="clear" w:color="auto" w:fill="auto"/>
                </w:tcPr>
                <w:p w14:paraId="2A4D426E" w14:textId="77777777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5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0FA3ECA" w14:textId="7849F403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 xml:space="preserve">Projects &amp; </w:t>
                  </w:r>
                  <w:r w:rsidRPr="00A92B99">
                    <w:rPr>
                      <w:b/>
                      <w:color w:val="522F8C"/>
                    </w:rPr>
                    <w:t>Other</w:t>
                  </w:r>
                </w:p>
              </w:tc>
            </w:tr>
            <w:tr w:rsidR="00360E5F" w14:paraId="38926131" w14:textId="77777777" w:rsidTr="00A5237F">
              <w:tc>
                <w:tcPr>
                  <w:tcW w:w="4597" w:type="dxa"/>
                  <w:shd w:val="clear" w:color="auto" w:fill="auto"/>
                </w:tcPr>
                <w:p w14:paraId="19CAA8BA" w14:textId="77777777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EB7B473" w14:textId="77777777" w:rsidR="00360E5F" w:rsidRPr="00664708" w:rsidRDefault="00360E5F" w:rsidP="00360E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360E5F" w14:paraId="3885B470" w14:textId="77777777" w:rsidTr="00A5237F">
              <w:tc>
                <w:tcPr>
                  <w:tcW w:w="4597" w:type="dxa"/>
                  <w:shd w:val="clear" w:color="auto" w:fill="auto"/>
                </w:tcPr>
                <w:p w14:paraId="6EAF845C" w14:textId="684C0196" w:rsidR="00360E5F" w:rsidRDefault="00360E5F" w:rsidP="00360E5F">
                  <w:pPr>
                    <w:pStyle w:val="ListParagraph"/>
                    <w:numPr>
                      <w:ilvl w:val="0"/>
                      <w:numId w:val="30"/>
                    </w:numPr>
                    <w:spacing w:before="40" w:after="60"/>
                    <w:rPr>
                      <w:sz w:val="22"/>
                      <w:szCs w:val="22"/>
                    </w:rPr>
                  </w:pPr>
                  <w:r w:rsidRPr="00337659">
                    <w:rPr>
                      <w:sz w:val="22"/>
                      <w:szCs w:val="22"/>
                    </w:rPr>
                    <w:lastRenderedPageBreak/>
                    <w:t>Stream lead on ER</w:t>
                  </w:r>
                  <w:r w:rsidR="00121D37">
                    <w:rPr>
                      <w:sz w:val="22"/>
                      <w:szCs w:val="22"/>
                    </w:rPr>
                    <w:t>/IR</w:t>
                  </w:r>
                  <w:r w:rsidRPr="00337659">
                    <w:rPr>
                      <w:sz w:val="22"/>
                      <w:szCs w:val="22"/>
                    </w:rPr>
                    <w:t xml:space="preserve"> related projects or organisational change initiatives.</w:t>
                  </w:r>
                </w:p>
                <w:p w14:paraId="72306DC0" w14:textId="77777777" w:rsidR="00A771FA" w:rsidRDefault="00A771FA" w:rsidP="00CB77B0">
                  <w:pPr>
                    <w:pStyle w:val="ListParagraph"/>
                    <w:spacing w:after="0"/>
                    <w:rPr>
                      <w:sz w:val="22"/>
                      <w:szCs w:val="22"/>
                    </w:rPr>
                  </w:pPr>
                </w:p>
                <w:p w14:paraId="637160C7" w14:textId="4AAD3754" w:rsidR="00360E5F" w:rsidRPr="003E4A53" w:rsidRDefault="00360E5F" w:rsidP="00A771FA">
                  <w:pPr>
                    <w:pStyle w:val="ListParagraph"/>
                    <w:numPr>
                      <w:ilvl w:val="0"/>
                      <w:numId w:val="30"/>
                    </w:numPr>
                    <w:spacing w:before="40" w:after="60"/>
                  </w:pPr>
                  <w:r>
                    <w:rPr>
                      <w:sz w:val="22"/>
                      <w:szCs w:val="22"/>
                    </w:rPr>
                    <w:t>Other ad hoc work as directed by your People Leader.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843CE65" w14:textId="6FCB0AC1" w:rsidR="00360E5F" w:rsidRDefault="00360E5F" w:rsidP="00360E5F">
                  <w:pPr>
                    <w:pStyle w:val="ListParagraph"/>
                    <w:numPr>
                      <w:ilvl w:val="0"/>
                      <w:numId w:val="30"/>
                    </w:numPr>
                    <w:spacing w:before="4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Provide ER</w:t>
                  </w:r>
                  <w:r w:rsidR="00121D37">
                    <w:rPr>
                      <w:sz w:val="22"/>
                      <w:szCs w:val="22"/>
                    </w:rPr>
                    <w:t>/IR</w:t>
                  </w:r>
                  <w:r>
                    <w:rPr>
                      <w:sz w:val="22"/>
                      <w:szCs w:val="22"/>
                    </w:rPr>
                    <w:t xml:space="preserve"> related SME knowledge and expertise and on time delivery on business closures, transition or restructures.</w:t>
                  </w:r>
                </w:p>
                <w:p w14:paraId="0F9A9653" w14:textId="6EDA41CC" w:rsidR="00360E5F" w:rsidRPr="002F29BC" w:rsidRDefault="00360E5F" w:rsidP="00CB77B0">
                  <w:pPr>
                    <w:pStyle w:val="ListParagraph"/>
                    <w:numPr>
                      <w:ilvl w:val="0"/>
                      <w:numId w:val="30"/>
                    </w:numPr>
                    <w:spacing w:before="40" w:after="60"/>
                  </w:pPr>
                  <w:r>
                    <w:rPr>
                      <w:sz w:val="22"/>
                      <w:szCs w:val="22"/>
                    </w:rPr>
                    <w:t>Work requested by your People Leader is completed as required.</w:t>
                  </w:r>
                </w:p>
              </w:tc>
            </w:tr>
            <w:tr w:rsidR="007E6718" w14:paraId="073525A6" w14:textId="77777777" w:rsidTr="00A5237F">
              <w:tc>
                <w:tcPr>
                  <w:tcW w:w="4597" w:type="dxa"/>
                  <w:shd w:val="clear" w:color="auto" w:fill="auto"/>
                </w:tcPr>
                <w:p w14:paraId="1E29F77B" w14:textId="6861EBF6" w:rsidR="007E6718" w:rsidRPr="00A251F4" w:rsidRDefault="007E6718" w:rsidP="00A251F4">
                  <w:pPr>
                    <w:spacing w:before="40" w:after="60"/>
                    <w:rPr>
                      <w:b/>
                      <w:color w:val="660066"/>
                    </w:rPr>
                  </w:pPr>
                  <w:r w:rsidRPr="00A251F4">
                    <w:rPr>
                      <w:b/>
                      <w:color w:val="522F8C"/>
                    </w:rPr>
                    <w:t xml:space="preserve">Key Result Area </w:t>
                  </w:r>
                  <w:r w:rsidR="00A92B99" w:rsidRPr="00A251F4">
                    <w:rPr>
                      <w:b/>
                      <w:color w:val="522F8C"/>
                    </w:rPr>
                    <w:t>6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B07D9A3" w14:textId="75E0E286" w:rsidR="007E6718" w:rsidRPr="00A251F4" w:rsidRDefault="00A92B99" w:rsidP="00A251F4">
                  <w:pPr>
                    <w:spacing w:before="40" w:after="60"/>
                    <w:rPr>
                      <w:b/>
                      <w:color w:val="993366"/>
                    </w:rPr>
                  </w:pPr>
                  <w:r w:rsidRPr="00A251F4">
                    <w:rPr>
                      <w:b/>
                      <w:color w:val="522F8C"/>
                    </w:rPr>
                    <w:t>Stakeholder Management</w:t>
                  </w:r>
                </w:p>
              </w:tc>
            </w:tr>
            <w:tr w:rsidR="007E6718" w14:paraId="65D3D1D3" w14:textId="77777777" w:rsidTr="00A5237F">
              <w:tc>
                <w:tcPr>
                  <w:tcW w:w="4597" w:type="dxa"/>
                  <w:shd w:val="clear" w:color="auto" w:fill="auto"/>
                </w:tcPr>
                <w:p w14:paraId="1CF20635" w14:textId="578339A2" w:rsidR="007E6718" w:rsidRPr="00A251F4" w:rsidRDefault="00A92B99" w:rsidP="00A251F4">
                  <w:pPr>
                    <w:spacing w:before="40" w:after="60"/>
                    <w:rPr>
                      <w:b/>
                    </w:rPr>
                  </w:pPr>
                  <w:r w:rsidRPr="00A251F4">
                    <w:rPr>
                      <w:b/>
                      <w:color w:val="BA18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BE4DBE0" w14:textId="3BA420CC" w:rsidR="007E6718" w:rsidRPr="00A251F4" w:rsidRDefault="00A92B99" w:rsidP="00A251F4">
                  <w:pPr>
                    <w:spacing w:before="40" w:after="60"/>
                    <w:rPr>
                      <w:b/>
                      <w:color w:val="BA188D"/>
                    </w:rPr>
                  </w:pPr>
                  <w:r w:rsidRPr="00A251F4">
                    <w:rPr>
                      <w:b/>
                      <w:color w:val="BA188D"/>
                    </w:rPr>
                    <w:t>Position Holder is successful when</w:t>
                  </w:r>
                </w:p>
              </w:tc>
            </w:tr>
            <w:tr w:rsidR="007E6718" w14:paraId="4C743962" w14:textId="77777777" w:rsidTr="00A5237F">
              <w:tc>
                <w:tcPr>
                  <w:tcW w:w="4597" w:type="dxa"/>
                  <w:shd w:val="clear" w:color="auto" w:fill="auto"/>
                </w:tcPr>
                <w:p w14:paraId="0A25875D" w14:textId="0B6CC872" w:rsidR="007E6718" w:rsidRPr="00337659" w:rsidRDefault="00A92B99" w:rsidP="00A92B99">
                  <w:pPr>
                    <w:pStyle w:val="ListParagraph"/>
                    <w:numPr>
                      <w:ilvl w:val="0"/>
                      <w:numId w:val="30"/>
                    </w:numPr>
                    <w:spacing w:before="40" w:after="60"/>
                    <w:rPr>
                      <w:sz w:val="22"/>
                      <w:szCs w:val="22"/>
                    </w:rPr>
                  </w:pPr>
                  <w:r w:rsidRPr="00A92B99">
                    <w:rPr>
                      <w:sz w:val="22"/>
                      <w:szCs w:val="22"/>
                    </w:rPr>
                    <w:t>Build positive working relationships across Mission Australia to ensure effective communication and collaboration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CC6A9FD" w14:textId="142A31FD" w:rsidR="007E6718" w:rsidRDefault="00A92B99" w:rsidP="00A92B99">
                  <w:pPr>
                    <w:pStyle w:val="ListParagraph"/>
                    <w:numPr>
                      <w:ilvl w:val="0"/>
                      <w:numId w:val="30"/>
                    </w:numPr>
                    <w:spacing w:before="40" w:after="60"/>
                    <w:rPr>
                      <w:sz w:val="22"/>
                      <w:szCs w:val="22"/>
                    </w:rPr>
                  </w:pPr>
                  <w:r w:rsidRPr="00A92B99">
                    <w:rPr>
                      <w:sz w:val="22"/>
                      <w:szCs w:val="22"/>
                    </w:rPr>
                    <w:t xml:space="preserve">Positive relationships are developed and maintained with stakeholders, which result in the smooth operation of associated activities. </w:t>
                  </w:r>
                  <w:r w:rsidRPr="00A92B99">
                    <w:rPr>
                      <w:sz w:val="22"/>
                      <w:szCs w:val="22"/>
                    </w:rPr>
                    <w:t> Mission Australia values and behaviours are demonstrated in all interactions</w:t>
                  </w:r>
                </w:p>
              </w:tc>
            </w:tr>
          </w:tbl>
          <w:p w14:paraId="7C67EEB2" w14:textId="77777777" w:rsidR="000B007D" w:rsidRPr="00193477" w:rsidRDefault="000B007D" w:rsidP="0070562F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</w:tc>
      </w:tr>
      <w:tr w:rsidR="00474630" w:rsidRPr="00193477" w14:paraId="31D37761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B6D012" w14:textId="02F3DEA3" w:rsidR="003E4A53" w:rsidRPr="00E13A79" w:rsidRDefault="00500BBB" w:rsidP="002F29BC">
            <w:pPr>
              <w:spacing w:before="51" w:after="0" w:line="241" w:lineRule="auto"/>
              <w:ind w:right="6"/>
              <w:jc w:val="both"/>
              <w:rPr>
                <w:rFonts w:eastAsia="Calibri" w:cs="Calibri"/>
                <w:sz w:val="20"/>
                <w:szCs w:val="20"/>
              </w:rPr>
            </w:pPr>
            <w:r w:rsidRPr="00500BBB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lastRenderedPageBreak/>
              <w:t>Note - Employees may also be required to perform other ta</w:t>
            </w:r>
            <w:r w:rsidR="00CF2BF3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sks/duties or work as reasonably</w:t>
            </w:r>
            <w:r w:rsidRPr="00500BBB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 requested to meet Position, Program, Funder or Mission Australia requirements.</w:t>
            </w:r>
          </w:p>
          <w:p w14:paraId="5694CEA3" w14:textId="4C5908D2" w:rsidR="003D0899" w:rsidRDefault="003D0899" w:rsidP="002F29BC">
            <w:pPr>
              <w:tabs>
                <w:tab w:val="left" w:pos="989"/>
              </w:tabs>
              <w:spacing w:after="0"/>
              <w:ind w:left="720" w:hanging="1004"/>
              <w:rPr>
                <w:b/>
                <w:color w:val="722D69"/>
                <w:sz w:val="28"/>
              </w:rPr>
            </w:pPr>
          </w:p>
          <w:p w14:paraId="25C833C2" w14:textId="77777777" w:rsidR="00F84051" w:rsidRDefault="002D6F81" w:rsidP="002D6F81">
            <w:pPr>
              <w:ind w:left="720" w:hanging="1004"/>
              <w:rPr>
                <w:b/>
                <w:color w:val="722D69"/>
                <w:sz w:val="28"/>
              </w:rPr>
            </w:pPr>
            <w:r w:rsidRPr="0087756E">
              <w:rPr>
                <w:b/>
                <w:color w:val="722D69"/>
                <w:sz w:val="28"/>
              </w:rPr>
              <w:t>U</w:t>
            </w:r>
            <w:r w:rsidR="00545B7C">
              <w:rPr>
                <w:b/>
                <w:color w:val="722D69"/>
                <w:sz w:val="28"/>
              </w:rPr>
              <w:t xml:space="preserve"> </w:t>
            </w:r>
            <w:r w:rsidR="00D97B0F">
              <w:rPr>
                <w:b/>
                <w:color w:val="722D69"/>
                <w:sz w:val="28"/>
              </w:rPr>
              <w:t>Work</w:t>
            </w:r>
            <w:r w:rsidR="00F84051">
              <w:rPr>
                <w:b/>
                <w:color w:val="722D69"/>
                <w:sz w:val="28"/>
              </w:rPr>
              <w:t xml:space="preserve"> Health and Safety</w:t>
            </w:r>
          </w:p>
          <w:p w14:paraId="0C766C93" w14:textId="77777777" w:rsidR="00D26C27" w:rsidRPr="00246AF5" w:rsidRDefault="00D26C27" w:rsidP="00D26C27">
            <w:pPr>
              <w:ind w:left="720" w:hanging="1004"/>
              <w:rPr>
                <w:b/>
                <w:color w:val="722D69"/>
                <w:sz w:val="28"/>
              </w:rPr>
            </w:pPr>
            <w:r>
              <w:rPr>
                <w:sz w:val="22"/>
              </w:rPr>
              <w:t xml:space="preserve">     </w:t>
            </w:r>
            <w:r w:rsidRPr="00246AF5">
              <w:rPr>
                <w:sz w:val="22"/>
              </w:rPr>
              <w:t>Everyone is responsible for safety and must maintain:</w:t>
            </w:r>
          </w:p>
          <w:p w14:paraId="363007BD" w14:textId="64936048" w:rsidR="00D26C27" w:rsidRDefault="00D26C27" w:rsidP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A safe working environment for themselves and others in the workplace</w:t>
            </w:r>
            <w:r w:rsidR="00E13A79">
              <w:rPr>
                <w:sz w:val="22"/>
              </w:rPr>
              <w:t>.</w:t>
            </w:r>
            <w:r w:rsidRPr="00F84051">
              <w:rPr>
                <w:sz w:val="22"/>
              </w:rPr>
              <w:t xml:space="preserve"> </w:t>
            </w:r>
          </w:p>
          <w:p w14:paraId="6BA5AA4F" w14:textId="58629748" w:rsidR="00D26C27" w:rsidRDefault="00D26C27" w:rsidP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Ensure required workplace health and safety actions are completed as required</w:t>
            </w:r>
            <w:r w:rsidR="00E13A79">
              <w:rPr>
                <w:sz w:val="22"/>
              </w:rPr>
              <w:t>.</w:t>
            </w:r>
          </w:p>
          <w:p w14:paraId="4D8391EF" w14:textId="7A27EF1E" w:rsidR="00D26C27" w:rsidRPr="00FB1B05" w:rsidRDefault="00D26C27" w:rsidP="00D26C27">
            <w:pPr>
              <w:numPr>
                <w:ilvl w:val="0"/>
                <w:numId w:val="21"/>
              </w:numPr>
              <w:autoSpaceDE w:val="0"/>
              <w:autoSpaceDN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Participate in </w:t>
            </w:r>
            <w:r w:rsidRPr="00FB1B05">
              <w:rPr>
                <w:sz w:val="22"/>
              </w:rPr>
              <w:t>learning and development programs about workplace health and safety</w:t>
            </w:r>
            <w:r w:rsidR="00E13A79">
              <w:rPr>
                <w:sz w:val="22"/>
              </w:rPr>
              <w:t>.</w:t>
            </w:r>
          </w:p>
          <w:p w14:paraId="4B8253C4" w14:textId="77777777" w:rsidR="00246AF5" w:rsidRPr="00593E68" w:rsidRDefault="00D26C27" w:rsidP="00246AF5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D26C27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 w:rsidR="00BB007F">
              <w:rPr>
                <w:sz w:val="22"/>
              </w:rPr>
              <w:t>.</w:t>
            </w:r>
          </w:p>
          <w:p w14:paraId="162AD435" w14:textId="77777777" w:rsidR="003E4A53" w:rsidRPr="00E13A79" w:rsidRDefault="00246AF5" w:rsidP="003E4A53">
            <w:pPr>
              <w:ind w:left="720" w:hanging="1004"/>
              <w:rPr>
                <w:b/>
                <w:color w:val="722D69"/>
              </w:rPr>
            </w:pPr>
            <w:r>
              <w:rPr>
                <w:b/>
                <w:color w:val="722D69"/>
                <w:sz w:val="28"/>
              </w:rPr>
              <w:t xml:space="preserve">   </w:t>
            </w:r>
          </w:p>
          <w:p w14:paraId="2D6C610A" w14:textId="62F2C2DF" w:rsidR="00474630" w:rsidRPr="00193477" w:rsidRDefault="00B73BA0" w:rsidP="003E4A53">
            <w:pPr>
              <w:ind w:left="720" w:hanging="791"/>
              <w:rPr>
                <w:b/>
                <w:color w:val="522F8C"/>
              </w:rPr>
            </w:pPr>
            <w:r>
              <w:rPr>
                <w:b/>
                <w:color w:val="722D69"/>
                <w:sz w:val="28"/>
              </w:rPr>
              <w:t>Pur</w:t>
            </w:r>
            <w:r w:rsidR="00B47289" w:rsidRPr="0087756E">
              <w:rPr>
                <w:b/>
                <w:color w:val="722D69"/>
                <w:sz w:val="28"/>
              </w:rPr>
              <w:t>pose and V</w:t>
            </w:r>
            <w:r w:rsidR="00474630" w:rsidRPr="0087756E">
              <w:rPr>
                <w:b/>
                <w:color w:val="722D69"/>
                <w:sz w:val="28"/>
              </w:rPr>
              <w:t>alues</w:t>
            </w:r>
          </w:p>
        </w:tc>
      </w:tr>
      <w:tr w:rsidR="00474630" w:rsidRPr="000B007D" w14:paraId="1F841F23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</w:tcPr>
          <w:p w14:paraId="1897874D" w14:textId="5BA4DD0B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Actively support Mission</w:t>
            </w:r>
            <w:r w:rsidR="00E13A79">
              <w:rPr>
                <w:sz w:val="22"/>
              </w:rPr>
              <w:t xml:space="preserve"> Australia’s purpose and values.</w:t>
            </w:r>
          </w:p>
          <w:p w14:paraId="082E5E42" w14:textId="59DD235B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Positively and constructively</w:t>
            </w:r>
            <w:r w:rsidR="00347396">
              <w:rPr>
                <w:sz w:val="22"/>
              </w:rPr>
              <w:t>,</w:t>
            </w:r>
            <w:r w:rsidRPr="000B007D">
              <w:rPr>
                <w:sz w:val="22"/>
              </w:rPr>
              <w:t xml:space="preserve"> represent our organisation to externa</w:t>
            </w:r>
            <w:r w:rsidR="00E13A79">
              <w:rPr>
                <w:sz w:val="22"/>
              </w:rPr>
              <w:t>l contacts at all opportunities.</w:t>
            </w:r>
          </w:p>
          <w:p w14:paraId="75E2AFD0" w14:textId="73B02275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Behave in a way that contributes to a workplace that is free of discrimination, harassment and </w:t>
            </w:r>
            <w:r w:rsidR="00E13A79">
              <w:rPr>
                <w:sz w:val="22"/>
              </w:rPr>
              <w:t>bullying behaviour at all times.</w:t>
            </w:r>
          </w:p>
          <w:p w14:paraId="147FB45A" w14:textId="2C55CF20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Operate in line with Mission Australia policies and pract</w:t>
            </w:r>
            <w:r w:rsidR="00E13A79">
              <w:rPr>
                <w:sz w:val="22"/>
              </w:rPr>
              <w:t>ices (e.g. Financial, HR, etc.).</w:t>
            </w:r>
          </w:p>
          <w:p w14:paraId="0236A8DB" w14:textId="664D96D7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To help ensure the health, safety and welfare of self and</w:t>
            </w:r>
            <w:r w:rsidR="00E13A79">
              <w:rPr>
                <w:sz w:val="22"/>
              </w:rPr>
              <w:t xml:space="preserve"> others working in the business.</w:t>
            </w:r>
          </w:p>
          <w:p w14:paraId="05F889F7" w14:textId="1D7A6F21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Follow reasonable directions given by the company</w:t>
            </w:r>
            <w:r w:rsidR="00013C69">
              <w:rPr>
                <w:sz w:val="22"/>
              </w:rPr>
              <w:t>, including</w:t>
            </w:r>
            <w:r w:rsidRPr="000B007D">
              <w:rPr>
                <w:sz w:val="22"/>
              </w:rPr>
              <w:t xml:space="preserve"> in relation to </w:t>
            </w:r>
            <w:r>
              <w:rPr>
                <w:sz w:val="22"/>
              </w:rPr>
              <w:t>Work</w:t>
            </w:r>
            <w:r w:rsidRPr="000B007D">
              <w:rPr>
                <w:sz w:val="22"/>
              </w:rPr>
              <w:t xml:space="preserve"> Health and Safety.</w:t>
            </w:r>
          </w:p>
          <w:p w14:paraId="2AD1893F" w14:textId="77777777" w:rsidR="00F143C4" w:rsidRDefault="00F143C4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474630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 w:rsidR="00514F8D">
              <w:rPr>
                <w:sz w:val="22"/>
              </w:rPr>
              <w:t>.</w:t>
            </w:r>
          </w:p>
          <w:p w14:paraId="438B0F6B" w14:textId="3428CCBB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Promote and work within Mission Australia's client service delivery principles, ethics, policies and practice standards</w:t>
            </w:r>
            <w:r w:rsidR="00514F8D">
              <w:rPr>
                <w:sz w:val="22"/>
              </w:rPr>
              <w:t>.</w:t>
            </w:r>
          </w:p>
          <w:p w14:paraId="4866A782" w14:textId="485FE492" w:rsidR="00B63D22" w:rsidRPr="00E13A79" w:rsidRDefault="00B63D22" w:rsidP="00B63D2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EC008C"/>
                <w:sz w:val="22"/>
                <w:szCs w:val="22"/>
              </w:rPr>
            </w:pPr>
            <w:r w:rsidRPr="00182209">
              <w:rPr>
                <w:rFonts w:asciiTheme="minorHAnsi" w:hAnsiTheme="minorHAnsi" w:cstheme="minorHAnsi"/>
                <w:sz w:val="22"/>
                <w:szCs w:val="22"/>
              </w:rPr>
              <w:t xml:space="preserve">Contribute to an organisational culture that promotes Mission Australia’s </w:t>
            </w:r>
            <w:hyperlink r:id="rId11" w:history="1">
              <w:r w:rsidRPr="00E13A79">
                <w:rPr>
                  <w:rStyle w:val="Hyperlink"/>
                  <w:rFonts w:asciiTheme="minorHAnsi" w:hAnsiTheme="minorHAnsi" w:cstheme="minorHAnsi"/>
                  <w:color w:val="EC008C"/>
                  <w:sz w:val="22"/>
                  <w:szCs w:val="22"/>
                </w:rPr>
                <w:t>commitment to the safety and wellbeing of all children and young people</w:t>
              </w:r>
            </w:hyperlink>
            <w:r w:rsidRPr="00E13A79">
              <w:rPr>
                <w:rFonts w:asciiTheme="minorHAnsi" w:hAnsiTheme="minorHAnsi" w:cstheme="minorHAnsi"/>
                <w:color w:val="EC008C"/>
                <w:sz w:val="22"/>
                <w:szCs w:val="22"/>
              </w:rPr>
              <w:t>.</w:t>
            </w:r>
          </w:p>
          <w:p w14:paraId="48DB48C9" w14:textId="77777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A40233">
              <w:rPr>
                <w:sz w:val="22"/>
              </w:rPr>
              <w:t>Actively support Mission Australia’s Reconciliation Action Plan.</w:t>
            </w:r>
          </w:p>
        </w:tc>
      </w:tr>
    </w:tbl>
    <w:p w14:paraId="08A54220" w14:textId="77777777" w:rsidR="005F71CC" w:rsidRPr="00A54162" w:rsidRDefault="005F71CC" w:rsidP="000B007D">
      <w:pPr>
        <w:ind w:left="720" w:hanging="1004"/>
        <w:rPr>
          <w:b/>
          <w:color w:val="722D69"/>
          <w:sz w:val="28"/>
        </w:rPr>
      </w:pPr>
      <w:r w:rsidRPr="00A54162">
        <w:rPr>
          <w:b/>
          <w:color w:val="722D69"/>
          <w:sz w:val="28"/>
        </w:rPr>
        <w:t xml:space="preserve">Recruitment </w:t>
      </w:r>
      <w:r w:rsidR="00EA745B" w:rsidRPr="00A54162">
        <w:rPr>
          <w:b/>
          <w:color w:val="722D69"/>
          <w:sz w:val="28"/>
        </w:rPr>
        <w:t>information</w:t>
      </w:r>
    </w:p>
    <w:tbl>
      <w:tblPr>
        <w:tblW w:w="5270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4"/>
      </w:tblGrid>
      <w:tr w:rsidR="00474630" w:rsidRPr="00193477" w14:paraId="15784CD3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E68B3C" w14:textId="77777777" w:rsidR="00474630" w:rsidRPr="00193477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lastRenderedPageBreak/>
              <w:t>Qualification</w:t>
            </w:r>
            <w:r w:rsidR="009537C6">
              <w:rPr>
                <w:b/>
                <w:color w:val="522F8C"/>
              </w:rPr>
              <w:t>, k</w:t>
            </w:r>
            <w:r w:rsidR="00F143C4">
              <w:rPr>
                <w:b/>
                <w:color w:val="522F8C"/>
              </w:rPr>
              <w:t>nowledge, skills and experience</w:t>
            </w:r>
            <w:r w:rsidR="00474630">
              <w:rPr>
                <w:b/>
                <w:color w:val="522F8C"/>
              </w:rPr>
              <w:t xml:space="preserve"> </w:t>
            </w:r>
            <w:r w:rsidR="009537C6">
              <w:rPr>
                <w:b/>
                <w:color w:val="522F8C"/>
              </w:rPr>
              <w:t>required to do the role</w:t>
            </w:r>
          </w:p>
        </w:tc>
      </w:tr>
      <w:tr w:rsidR="00CB77B0" w:rsidRPr="000B007D" w14:paraId="6DDBBA2D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113515" w14:textId="48F1822D" w:rsidR="00CB77B0" w:rsidRPr="00CB77B0" w:rsidRDefault="00CB77B0" w:rsidP="007E6718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CB77B0">
              <w:rPr>
                <w:sz w:val="22"/>
              </w:rPr>
              <w:t>Tertiary qualifications, ideally in Industrial Relations</w:t>
            </w:r>
            <w:r w:rsidR="007E6718">
              <w:rPr>
                <w:sz w:val="22"/>
              </w:rPr>
              <w:t>,</w:t>
            </w:r>
            <w:r w:rsidRPr="00CB77B0">
              <w:rPr>
                <w:sz w:val="22"/>
              </w:rPr>
              <w:t xml:space="preserve"> Law</w:t>
            </w:r>
            <w:r w:rsidR="007E6718">
              <w:rPr>
                <w:sz w:val="22"/>
              </w:rPr>
              <w:t xml:space="preserve"> or </w:t>
            </w:r>
            <w:r w:rsidR="007E6718" w:rsidRPr="007E6718">
              <w:rPr>
                <w:sz w:val="22"/>
              </w:rPr>
              <w:t>HR Management</w:t>
            </w:r>
          </w:p>
          <w:p w14:paraId="452E2DF6" w14:textId="77777777" w:rsidR="00CB77B0" w:rsidRPr="00CB77B0" w:rsidRDefault="00CB77B0" w:rsidP="00CB77B0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CB77B0">
              <w:rPr>
                <w:sz w:val="22"/>
              </w:rPr>
              <w:t>Advanced knowledge and understanding of employment legislation and industrial instruments including Awards and Enterprise Agreements</w:t>
            </w:r>
          </w:p>
          <w:p w14:paraId="17A60D36" w14:textId="77777777" w:rsidR="00CB77B0" w:rsidRPr="00CB77B0" w:rsidRDefault="00CB77B0" w:rsidP="00CB77B0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CB77B0">
              <w:rPr>
                <w:sz w:val="22"/>
              </w:rPr>
              <w:t>High level communication skills, both verbal and written</w:t>
            </w:r>
          </w:p>
          <w:p w14:paraId="58559819" w14:textId="77777777" w:rsidR="00CB77B0" w:rsidRPr="00CB77B0" w:rsidRDefault="00CB77B0" w:rsidP="00CB77B0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CB77B0">
              <w:rPr>
                <w:sz w:val="22"/>
              </w:rPr>
              <w:t>Strong relationship building and interpersonal skills</w:t>
            </w:r>
          </w:p>
          <w:p w14:paraId="66B8DBDC" w14:textId="77777777" w:rsidR="00CB77B0" w:rsidRPr="00CB77B0" w:rsidRDefault="00CB77B0" w:rsidP="00CB77B0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CB77B0">
              <w:rPr>
                <w:sz w:val="22"/>
              </w:rPr>
              <w:t>Problem solving, research and analytical skills</w:t>
            </w:r>
          </w:p>
          <w:p w14:paraId="5CD76C86" w14:textId="77777777" w:rsidR="00CB77B0" w:rsidRPr="00CB77B0" w:rsidRDefault="00CB77B0" w:rsidP="00CB77B0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CB77B0">
              <w:rPr>
                <w:sz w:val="22"/>
              </w:rPr>
              <w:t>Excellent organisational skills</w:t>
            </w:r>
          </w:p>
          <w:p w14:paraId="4F6B3635" w14:textId="77777777" w:rsidR="00CB77B0" w:rsidRPr="00CB77B0" w:rsidRDefault="00CB77B0" w:rsidP="00CB77B0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CB77B0">
              <w:rPr>
                <w:sz w:val="22"/>
              </w:rPr>
              <w:t>Customer focus</w:t>
            </w:r>
          </w:p>
          <w:p w14:paraId="5F0B6DD0" w14:textId="77777777" w:rsidR="00CB77B0" w:rsidRPr="00CB77B0" w:rsidRDefault="00CB77B0" w:rsidP="00CB77B0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CB77B0">
              <w:rPr>
                <w:sz w:val="22"/>
              </w:rPr>
              <w:t>Demonstrated ability to work as part of a team</w:t>
            </w:r>
          </w:p>
          <w:p w14:paraId="4327EDD4" w14:textId="77777777" w:rsidR="00CB77B0" w:rsidRPr="00CB77B0" w:rsidRDefault="00CB77B0" w:rsidP="00CB77B0">
            <w:pPr>
              <w:pStyle w:val="ListParagraph"/>
              <w:spacing w:after="60"/>
              <w:contextualSpacing w:val="0"/>
              <w:rPr>
                <w:sz w:val="22"/>
              </w:rPr>
            </w:pPr>
          </w:p>
        </w:tc>
      </w:tr>
      <w:tr w:rsidR="00CB77B0" w:rsidRPr="00193477" w14:paraId="0A7F0AE6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9508CA" w14:textId="77777777" w:rsidR="00CB77B0" w:rsidRPr="00193477" w:rsidRDefault="00CB77B0" w:rsidP="00CB77B0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Key challenges of the role</w:t>
            </w:r>
          </w:p>
        </w:tc>
      </w:tr>
      <w:tr w:rsidR="00CB77B0" w:rsidRPr="00CB77B0" w14:paraId="77E79244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9BE6BF" w14:textId="77777777" w:rsidR="00CB77B0" w:rsidRPr="00CB77B0" w:rsidRDefault="00CB77B0" w:rsidP="00CB77B0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77B0">
              <w:rPr>
                <w:sz w:val="22"/>
                <w:szCs w:val="22"/>
              </w:rPr>
              <w:t>Multiple deadlines with quick turn around</w:t>
            </w:r>
          </w:p>
          <w:p w14:paraId="21ECCE12" w14:textId="77777777" w:rsidR="00CB77B0" w:rsidRPr="00CB77B0" w:rsidRDefault="00CB77B0" w:rsidP="00CB77B0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77B0">
              <w:rPr>
                <w:sz w:val="22"/>
                <w:szCs w:val="22"/>
              </w:rPr>
              <w:t>Complexity of IR/ER issues</w:t>
            </w:r>
          </w:p>
          <w:p w14:paraId="71984991" w14:textId="77777777" w:rsidR="00CB77B0" w:rsidRDefault="00CB77B0" w:rsidP="00CB77B0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77B0">
              <w:rPr>
                <w:sz w:val="22"/>
                <w:szCs w:val="22"/>
              </w:rPr>
              <w:t>Managing multiple BAU IR/ER issues whilst working on ER related projects</w:t>
            </w:r>
          </w:p>
          <w:p w14:paraId="46D1C10B" w14:textId="7C9519AC" w:rsidR="007E6718" w:rsidRPr="00F143C4" w:rsidRDefault="007E6718" w:rsidP="00CB77B0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Maintaining comprehensive knowledge and understanding of Industrial Relations developments affecting the industry</w:t>
            </w:r>
          </w:p>
        </w:tc>
      </w:tr>
    </w:tbl>
    <w:p w14:paraId="09E341A7" w14:textId="77777777" w:rsidR="000B007D" w:rsidRDefault="000B007D" w:rsidP="000B007D">
      <w:pPr>
        <w:ind w:left="720" w:hanging="1146"/>
        <w:rPr>
          <w:b/>
          <w:color w:val="722D69"/>
          <w:sz w:val="28"/>
        </w:rPr>
      </w:pPr>
    </w:p>
    <w:p w14:paraId="6E5A5C63" w14:textId="77777777" w:rsidR="007454A0" w:rsidRDefault="007454A0" w:rsidP="000B007D">
      <w:pPr>
        <w:ind w:left="720" w:hanging="1146"/>
        <w:rPr>
          <w:b/>
          <w:color w:val="722D69"/>
          <w:sz w:val="28"/>
        </w:rPr>
      </w:pPr>
    </w:p>
    <w:p w14:paraId="1B972F10" w14:textId="77777777" w:rsidR="00B47289" w:rsidRDefault="007454A0" w:rsidP="007454A0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 xml:space="preserve">Compliance checks required </w:t>
      </w:r>
    </w:p>
    <w:p w14:paraId="11F53E46" w14:textId="5E56E296" w:rsidR="007454A0" w:rsidRPr="007454A0" w:rsidRDefault="007454A0" w:rsidP="007454A0">
      <w:pPr>
        <w:spacing w:before="40" w:after="60"/>
        <w:ind w:left="720" w:hanging="720"/>
        <w:rPr>
          <w:b/>
          <w:color w:val="522F8C"/>
        </w:rPr>
      </w:pPr>
      <w:r w:rsidRPr="007454A0">
        <w:rPr>
          <w:b/>
          <w:color w:val="522F8C"/>
        </w:rPr>
        <w:t>Working with Children</w:t>
      </w:r>
      <w:r>
        <w:rPr>
          <w:b/>
          <w:color w:val="522F8C"/>
        </w:rPr>
        <w:t xml:space="preserve">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-179743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0862C585" w14:textId="79E1E53F" w:rsidR="007454A0" w:rsidRPr="007454A0" w:rsidRDefault="00D31CFA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 xml:space="preserve">National </w:t>
      </w:r>
      <w:r w:rsidR="007454A0" w:rsidRPr="007454A0">
        <w:rPr>
          <w:b/>
          <w:color w:val="522F8C"/>
        </w:rPr>
        <w:t>Police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2015499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51F4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14:paraId="50403ABC" w14:textId="1C33C379" w:rsidR="007454A0" w:rsidRPr="007454A0" w:rsidRDefault="00183C42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Vul</w:t>
      </w:r>
      <w:r w:rsidR="007454A0" w:rsidRPr="007454A0">
        <w:rPr>
          <w:b/>
          <w:color w:val="522F8C"/>
        </w:rPr>
        <w:t>nerable People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7524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B1A19B6" w14:textId="266C6CF5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Driver</w:t>
      </w:r>
      <w:r w:rsidR="002F29BC">
        <w:rPr>
          <w:b/>
          <w:color w:val="522F8C"/>
        </w:rPr>
        <w:t>’</w:t>
      </w:r>
      <w:r>
        <w:rPr>
          <w:b/>
          <w:color w:val="522F8C"/>
        </w:rPr>
        <w:t>s Licence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3306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35925AC" w14:textId="71BA29E4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Other (prescribe)</w:t>
      </w:r>
      <w:r>
        <w:rPr>
          <w:b/>
          <w:color w:val="522F8C"/>
        </w:rPr>
        <w:tab/>
        <w:t xml:space="preserve"> 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087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  <w:r>
        <w:rPr>
          <w:b/>
          <w:color w:val="522F8C"/>
        </w:rPr>
        <w:t xml:space="preserve">   </w:t>
      </w:r>
      <w:r w:rsidRPr="00D31CFA">
        <w:rPr>
          <w:color w:val="522F8C"/>
        </w:rPr>
        <w:t xml:space="preserve">  </w:t>
      </w:r>
      <w:r>
        <w:rPr>
          <w:color w:val="522F8C"/>
        </w:rPr>
        <w:t xml:space="preserve">       </w:t>
      </w:r>
      <w:r w:rsidRPr="00D31CFA">
        <w:rPr>
          <w:color w:val="522F8C"/>
        </w:rPr>
        <w:t>____________________</w:t>
      </w:r>
    </w:p>
    <w:p w14:paraId="4E07070F" w14:textId="587D58D3" w:rsidR="00B47289" w:rsidRDefault="00B47289" w:rsidP="000B007D">
      <w:pPr>
        <w:ind w:left="720" w:hanging="1146"/>
        <w:rPr>
          <w:b/>
          <w:color w:val="722D69"/>
          <w:sz w:val="28"/>
        </w:rPr>
      </w:pPr>
    </w:p>
    <w:p w14:paraId="5BC576DC" w14:textId="77777777" w:rsidR="003E4A53" w:rsidRDefault="003E4A53" w:rsidP="000B007D">
      <w:pPr>
        <w:ind w:left="720" w:hanging="1146"/>
        <w:rPr>
          <w:b/>
          <w:color w:val="722D69"/>
          <w:sz w:val="28"/>
        </w:rPr>
      </w:pPr>
    </w:p>
    <w:p w14:paraId="38B24BE1" w14:textId="77777777" w:rsidR="00A251F4" w:rsidRDefault="009537C6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Ap</w:t>
      </w:r>
      <w:r w:rsidR="00834EC7" w:rsidRPr="00A54162">
        <w:rPr>
          <w:b/>
          <w:color w:val="722D69"/>
          <w:sz w:val="28"/>
        </w:rPr>
        <w:t>proval</w:t>
      </w:r>
      <w:r w:rsidR="003E4A53">
        <w:rPr>
          <w:b/>
          <w:color w:val="722D69"/>
          <w:sz w:val="28"/>
        </w:rPr>
        <w:tab/>
      </w:r>
    </w:p>
    <w:p w14:paraId="7EA6A08A" w14:textId="5FCFBAA5" w:rsidR="00834EC7" w:rsidRPr="003E4A53" w:rsidRDefault="00A251F4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Cs/>
          <w:color w:val="722D69"/>
          <w:sz w:val="22"/>
          <w:szCs w:val="22"/>
        </w:rPr>
      </w:pPr>
      <w:r w:rsidRPr="00A251F4">
        <w:rPr>
          <w:bCs/>
          <w:sz w:val="22"/>
          <w:szCs w:val="22"/>
        </w:rPr>
        <w:t xml:space="preserve">Ramsina Lee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</w:t>
      </w:r>
      <w:r w:rsidRPr="00A251F4">
        <w:rPr>
          <w:bCs/>
          <w:sz w:val="22"/>
          <w:szCs w:val="22"/>
        </w:rPr>
        <w:t xml:space="preserve">November 2021                                                                           </w:t>
      </w:r>
    </w:p>
    <w:tbl>
      <w:tblPr>
        <w:tblW w:w="5270" w:type="pct"/>
        <w:tblInd w:w="-318" w:type="dxa"/>
        <w:tblBorders>
          <w:top w:val="single" w:sz="4" w:space="0" w:color="EC268C"/>
        </w:tblBorders>
        <w:tblLook w:val="04A0" w:firstRow="1" w:lastRow="0" w:firstColumn="1" w:lastColumn="0" w:noHBand="0" w:noVBand="1"/>
      </w:tblPr>
      <w:tblGrid>
        <w:gridCol w:w="1848"/>
        <w:gridCol w:w="4401"/>
        <w:gridCol w:w="1703"/>
        <w:gridCol w:w="1562"/>
      </w:tblGrid>
      <w:tr w:rsidR="00716708" w14:paraId="4E9B5431" w14:textId="77777777" w:rsidTr="00451E7B">
        <w:tc>
          <w:tcPr>
            <w:tcW w:w="971" w:type="pct"/>
            <w:hideMark/>
          </w:tcPr>
          <w:p w14:paraId="5969C305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Manager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3" w:type="pct"/>
          </w:tcPr>
          <w:p w14:paraId="496B7E71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  <w:tc>
          <w:tcPr>
            <w:tcW w:w="895" w:type="pct"/>
          </w:tcPr>
          <w:p w14:paraId="3BDE96E8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Approval date</w:t>
            </w:r>
          </w:p>
        </w:tc>
        <w:tc>
          <w:tcPr>
            <w:tcW w:w="821" w:type="pct"/>
          </w:tcPr>
          <w:p w14:paraId="655024A9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</w:tr>
    </w:tbl>
    <w:p w14:paraId="37F9ABC0" w14:textId="3331CFFA" w:rsidR="007117A1" w:rsidRDefault="007117A1" w:rsidP="00A251F4"/>
    <w:sectPr w:rsidR="007117A1" w:rsidSect="0065572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94" w:footer="85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C1D5" w14:textId="77777777" w:rsidR="00A20A38" w:rsidRDefault="00A20A38" w:rsidP="00985745">
      <w:r>
        <w:separator/>
      </w:r>
    </w:p>
  </w:endnote>
  <w:endnote w:type="continuationSeparator" w:id="0">
    <w:p w14:paraId="02953848" w14:textId="77777777" w:rsidR="00A20A38" w:rsidRDefault="00A20A38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9FC0" w14:textId="4BDC6568" w:rsidR="00E756B3" w:rsidRDefault="0039366D" w:rsidP="00480DFF">
    <w:pPr>
      <w:pStyle w:val="x9MAfooter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1A3C92C8" wp14:editId="1C1FF22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076f4f8f8ad54f618b5a88c9" descr="{&quot;HashCode&quot;:-6413259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26C4AC" w14:textId="7823CB47" w:rsidR="0039366D" w:rsidRPr="0039366D" w:rsidRDefault="0039366D" w:rsidP="0039366D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39366D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C92C8" id="_x0000_t202" coordsize="21600,21600" o:spt="202" path="m,l,21600r21600,l21600,xe">
              <v:stroke joinstyle="miter"/>
              <v:path gradientshapeok="t" o:connecttype="rect"/>
            </v:shapetype>
            <v:shape id="MSIPCM076f4f8f8ad54f618b5a88c9" o:spid="_x0000_s1028" type="#_x0000_t202" alt="{&quot;HashCode&quot;:-64132599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6E26C4AC" w14:textId="7823CB47" w:rsidR="0039366D" w:rsidRPr="0039366D" w:rsidRDefault="0039366D" w:rsidP="0039366D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39366D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4D6B">
      <w:drawing>
        <wp:anchor distT="0" distB="0" distL="114300" distR="114300" simplePos="0" relativeHeight="251651072" behindDoc="0" locked="0" layoutInCell="1" allowOverlap="1" wp14:anchorId="30948799" wp14:editId="4D22B2F3">
          <wp:simplePos x="0" y="0"/>
          <wp:positionH relativeFrom="column">
            <wp:posOffset>-227330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2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039">
      <w:t>P</w:t>
    </w:r>
    <w:r w:rsidR="00E756B3">
      <w:t xml:space="preserve">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292E0A">
      <w:t>2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47E2" w14:textId="6C14B7A9" w:rsidR="00E756B3" w:rsidRDefault="0039366D" w:rsidP="004B7E91">
    <w:pPr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D6BEB6" wp14:editId="0D9AF3B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00834bc08127594998122aba" descr="{&quot;HashCode&quot;:-641325995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F8AB5E" w14:textId="1FF11358" w:rsidR="0039366D" w:rsidRPr="0039366D" w:rsidRDefault="0039366D" w:rsidP="0039366D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39366D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6BEB6" id="_x0000_t202" coordsize="21600,21600" o:spt="202" path="m,l,21600r21600,l21600,xe">
              <v:stroke joinstyle="miter"/>
              <v:path gradientshapeok="t" o:connecttype="rect"/>
            </v:shapetype>
            <v:shape id="MSIPCM00834bc08127594998122aba" o:spid="_x0000_s1030" type="#_x0000_t202" alt="{&quot;HashCode&quot;:-641325995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07F8AB5E" w14:textId="1FF11358" w:rsidR="0039366D" w:rsidRPr="0039366D" w:rsidRDefault="0039366D" w:rsidP="0039366D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39366D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C931" w14:textId="77777777" w:rsidR="00A20A38" w:rsidRDefault="00A20A38" w:rsidP="00985745">
      <w:r>
        <w:separator/>
      </w:r>
    </w:p>
  </w:footnote>
  <w:footnote w:type="continuationSeparator" w:id="0">
    <w:p w14:paraId="2E1DB474" w14:textId="77777777" w:rsidR="00A20A38" w:rsidRDefault="00A20A38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7E82" w14:textId="179000EB" w:rsidR="00E756B3" w:rsidRPr="00E13A79" w:rsidRDefault="003E4A53" w:rsidP="00B26A13">
    <w:pPr>
      <w:pStyle w:val="Header"/>
      <w:tabs>
        <w:tab w:val="left" w:pos="8553"/>
      </w:tabs>
      <w:rPr>
        <w:sz w:val="18"/>
        <w:szCs w:val="18"/>
      </w:rPr>
    </w:pPr>
    <w:r w:rsidRPr="00E13A7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BC0963" wp14:editId="49D4EEF9">
              <wp:simplePos x="0" y="0"/>
              <wp:positionH relativeFrom="column">
                <wp:posOffset>-98122</wp:posOffset>
              </wp:positionH>
              <wp:positionV relativeFrom="paragraph">
                <wp:posOffset>56211</wp:posOffset>
              </wp:positionV>
              <wp:extent cx="4982845" cy="47688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C135" w14:textId="2961679A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54162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A54162">
                            <w:rPr>
                              <w:color w:val="F7B3D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F7B3D1"/>
                              <w:sz w:val="22"/>
                            </w:rPr>
                            <w:t xml:space="preserve">| </w:t>
                          </w:r>
                          <w:r w:rsidR="00E0601B">
                            <w:rPr>
                              <w:color w:val="F7B3D1"/>
                              <w:sz w:val="22"/>
                            </w:rPr>
                            <w:t>Position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5pt;margin-top:4.45pt;width:392.35pt;height:3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" filled="f" stroked="f">
              <v:textbox>
                <w:txbxContent>
                  <w:p w14:paraId="7E8DC135" w14:textId="2961679A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54162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A54162">
                      <w:rPr>
                        <w:color w:val="F7B3D1"/>
                        <w:sz w:val="22"/>
                      </w:rPr>
                      <w:t xml:space="preserve"> </w:t>
                    </w:r>
                    <w:r>
                      <w:rPr>
                        <w:color w:val="F7B3D1"/>
                        <w:sz w:val="22"/>
                      </w:rPr>
                      <w:t xml:space="preserve">| </w:t>
                    </w:r>
                    <w:r w:rsidR="00E0601B">
                      <w:rPr>
                        <w:color w:val="F7B3D1"/>
                        <w:sz w:val="22"/>
                      </w:rPr>
                      <w:t>Position Title</w:t>
                    </w:r>
                  </w:p>
                </w:txbxContent>
              </v:textbox>
            </v:shape>
          </w:pict>
        </mc:Fallback>
      </mc:AlternateContent>
    </w:r>
    <w:r w:rsidRPr="00E13A79">
      <w:rPr>
        <w:noProof/>
        <w:sz w:val="18"/>
        <w:szCs w:val="18"/>
      </w:rPr>
      <w:drawing>
        <wp:anchor distT="0" distB="0" distL="114300" distR="114300" simplePos="0" relativeHeight="251655168" behindDoc="1" locked="0" layoutInCell="1" allowOverlap="1" wp14:anchorId="6506A441" wp14:editId="3B0DBAAF">
          <wp:simplePos x="0" y="0"/>
          <wp:positionH relativeFrom="column">
            <wp:posOffset>-128297</wp:posOffset>
          </wp:positionH>
          <wp:positionV relativeFrom="paragraph">
            <wp:posOffset>55576</wp:posOffset>
          </wp:positionV>
          <wp:extent cx="6096000" cy="352425"/>
          <wp:effectExtent l="0" t="0" r="0" b="0"/>
          <wp:wrapTight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D6B" w:rsidRPr="00E13A7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69C9E0C" wp14:editId="21681258">
              <wp:simplePos x="0" y="0"/>
              <wp:positionH relativeFrom="column">
                <wp:posOffset>-212090</wp:posOffset>
              </wp:positionH>
              <wp:positionV relativeFrom="paragraph">
                <wp:posOffset>58420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213EB" w14:textId="77777777"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A54162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A54162">
                            <w:rPr>
                              <w:color w:val="F7B3D1"/>
                              <w:sz w:val="22"/>
                            </w:rPr>
                            <w:t xml:space="preserve"> </w:t>
                          </w:r>
                          <w:r w:rsidR="00A54162">
                            <w:rPr>
                              <w:color w:val="F7B3D1"/>
                              <w:sz w:val="22"/>
                            </w:rPr>
                            <w:t xml:space="preserve">|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C9E0C" id="_x0000_s1027" type="#_x0000_t202" style="position:absolute;margin-left:-16.7pt;margin-top:4.6pt;width:392.35pt;height:3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" filled="f" stroked="f">
              <v:textbox>
                <w:txbxContent>
                  <w:p w14:paraId="734213EB" w14:textId="77777777"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A54162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A54162">
                      <w:rPr>
                        <w:color w:val="F7B3D1"/>
                        <w:sz w:val="22"/>
                      </w:rPr>
                      <w:t xml:space="preserve"> </w:t>
                    </w:r>
                    <w:r w:rsidR="00A54162">
                      <w:rPr>
                        <w:color w:val="F7B3D1"/>
                        <w:sz w:val="22"/>
                      </w:rPr>
                      <w:t xml:space="preserve">|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C4EA" w14:textId="327B4FE7" w:rsidR="005B3FFE" w:rsidRDefault="003E4A53" w:rsidP="006C7793">
    <w:pPr>
      <w:pStyle w:val="Header"/>
      <w:spacing w:after="0"/>
      <w:ind w:left="-425" w:firstLine="42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B51088" wp14:editId="77649FD9">
              <wp:simplePos x="0" y="0"/>
              <wp:positionH relativeFrom="column">
                <wp:posOffset>723845</wp:posOffset>
              </wp:positionH>
              <wp:positionV relativeFrom="paragraph">
                <wp:posOffset>-77994</wp:posOffset>
              </wp:positionV>
              <wp:extent cx="4563110" cy="476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062D9" w14:textId="374F4EA6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826F7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874DA0">
                            <w:rPr>
                              <w:b/>
                              <w:color w:val="FFFFFF"/>
                            </w:rPr>
                            <w:t>Industrial Relations Business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510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7pt;margin-top:-6.15pt;width:359.3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" filled="f" stroked="f">
              <v:textbox>
                <w:txbxContent>
                  <w:p w14:paraId="76F062D9" w14:textId="374F4EA6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826F7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874DA0">
                      <w:rPr>
                        <w:b/>
                        <w:color w:val="FFFFFF"/>
                      </w:rPr>
                      <w:t>Industrial Relations Business Partner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6EFF94E" wp14:editId="4C64CAD9">
          <wp:simplePos x="0" y="0"/>
          <wp:positionH relativeFrom="column">
            <wp:posOffset>-890546</wp:posOffset>
          </wp:positionH>
          <wp:positionV relativeFrom="paragraph">
            <wp:posOffset>-143261</wp:posOffset>
          </wp:positionV>
          <wp:extent cx="7505700" cy="600710"/>
          <wp:effectExtent l="0" t="0" r="0" b="8890"/>
          <wp:wrapTight wrapText="bothSides">
            <wp:wrapPolygon edited="0">
              <wp:start x="0" y="0"/>
              <wp:lineTo x="0" y="21235"/>
              <wp:lineTo x="21545" y="21235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281"/>
    <w:multiLevelType w:val="hybridMultilevel"/>
    <w:tmpl w:val="0FD0112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5F2BBD"/>
    <w:multiLevelType w:val="hybridMultilevel"/>
    <w:tmpl w:val="B6D6AFE6"/>
    <w:lvl w:ilvl="0" w:tplc="109228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BC7"/>
    <w:multiLevelType w:val="hybridMultilevel"/>
    <w:tmpl w:val="E8A6DDB8"/>
    <w:lvl w:ilvl="0" w:tplc="0748B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1247A"/>
    <w:multiLevelType w:val="hybridMultilevel"/>
    <w:tmpl w:val="37144590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15F"/>
    <w:multiLevelType w:val="hybridMultilevel"/>
    <w:tmpl w:val="3FF27CC6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977B8"/>
    <w:multiLevelType w:val="hybridMultilevel"/>
    <w:tmpl w:val="61825464"/>
    <w:lvl w:ilvl="0" w:tplc="E022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6E17"/>
    <w:multiLevelType w:val="hybridMultilevel"/>
    <w:tmpl w:val="77465A50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2EC7"/>
    <w:multiLevelType w:val="hybridMultilevel"/>
    <w:tmpl w:val="6A220A3A"/>
    <w:lvl w:ilvl="0" w:tplc="48AE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77542A2"/>
    <w:multiLevelType w:val="hybridMultilevel"/>
    <w:tmpl w:val="254C3946"/>
    <w:lvl w:ilvl="0" w:tplc="616E4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4FEB"/>
    <w:multiLevelType w:val="hybridMultilevel"/>
    <w:tmpl w:val="68D678B0"/>
    <w:lvl w:ilvl="0" w:tplc="7ED419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3248"/>
    <w:multiLevelType w:val="hybridMultilevel"/>
    <w:tmpl w:val="85C67FF6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2E21867"/>
    <w:multiLevelType w:val="hybridMultilevel"/>
    <w:tmpl w:val="9CD4F4F8"/>
    <w:lvl w:ilvl="0" w:tplc="36A0074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94594"/>
    <w:multiLevelType w:val="hybridMultilevel"/>
    <w:tmpl w:val="E136971E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6E3"/>
    <w:multiLevelType w:val="hybridMultilevel"/>
    <w:tmpl w:val="C2C0DFC8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25FA"/>
    <w:multiLevelType w:val="hybridMultilevel"/>
    <w:tmpl w:val="27BA6FE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B4909"/>
    <w:multiLevelType w:val="hybridMultilevel"/>
    <w:tmpl w:val="B38820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8F26190"/>
    <w:multiLevelType w:val="hybridMultilevel"/>
    <w:tmpl w:val="5E9AC424"/>
    <w:lvl w:ilvl="0" w:tplc="123CD3F8">
      <w:start w:val="1"/>
      <w:numFmt w:val="bullet"/>
      <w:lvlText w:val=""/>
      <w:lvlJc w:val="left"/>
      <w:pPr>
        <w:ind w:left="754" w:hanging="360"/>
      </w:pPr>
      <w:rPr>
        <w:rFonts w:ascii="Wingdings 2" w:hAnsi="Wingdings 2" w:hint="default"/>
      </w:rPr>
    </w:lvl>
    <w:lvl w:ilvl="1" w:tplc="0C090019">
      <w:start w:val="1"/>
      <w:numFmt w:val="lowerLetter"/>
      <w:lvlText w:val="%2."/>
      <w:lvlJc w:val="left"/>
      <w:pPr>
        <w:ind w:left="1474" w:hanging="360"/>
      </w:pPr>
    </w:lvl>
    <w:lvl w:ilvl="2" w:tplc="0C09001B">
      <w:start w:val="1"/>
      <w:numFmt w:val="lowerRoman"/>
      <w:lvlText w:val="%3."/>
      <w:lvlJc w:val="right"/>
      <w:pPr>
        <w:ind w:left="2194" w:hanging="180"/>
      </w:pPr>
    </w:lvl>
    <w:lvl w:ilvl="3" w:tplc="0C09000F">
      <w:start w:val="1"/>
      <w:numFmt w:val="decimal"/>
      <w:lvlText w:val="%4."/>
      <w:lvlJc w:val="left"/>
      <w:pPr>
        <w:ind w:left="2914" w:hanging="360"/>
      </w:pPr>
    </w:lvl>
    <w:lvl w:ilvl="4" w:tplc="0C090019">
      <w:start w:val="1"/>
      <w:numFmt w:val="lowerLetter"/>
      <w:lvlText w:val="%5."/>
      <w:lvlJc w:val="left"/>
      <w:pPr>
        <w:ind w:left="3634" w:hanging="360"/>
      </w:pPr>
    </w:lvl>
    <w:lvl w:ilvl="5" w:tplc="0C09001B">
      <w:start w:val="1"/>
      <w:numFmt w:val="lowerRoman"/>
      <w:lvlText w:val="%6."/>
      <w:lvlJc w:val="right"/>
      <w:pPr>
        <w:ind w:left="4354" w:hanging="180"/>
      </w:pPr>
    </w:lvl>
    <w:lvl w:ilvl="6" w:tplc="0C09000F">
      <w:start w:val="1"/>
      <w:numFmt w:val="decimal"/>
      <w:lvlText w:val="%7."/>
      <w:lvlJc w:val="left"/>
      <w:pPr>
        <w:ind w:left="5074" w:hanging="360"/>
      </w:pPr>
    </w:lvl>
    <w:lvl w:ilvl="7" w:tplc="0C090019">
      <w:start w:val="1"/>
      <w:numFmt w:val="lowerLetter"/>
      <w:lvlText w:val="%8."/>
      <w:lvlJc w:val="left"/>
      <w:pPr>
        <w:ind w:left="5794" w:hanging="360"/>
      </w:pPr>
    </w:lvl>
    <w:lvl w:ilvl="8" w:tplc="0C09001B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D1D529E"/>
    <w:multiLevelType w:val="hybridMultilevel"/>
    <w:tmpl w:val="0742A8EA"/>
    <w:lvl w:ilvl="0" w:tplc="0748B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7140B"/>
    <w:multiLevelType w:val="hybridMultilevel"/>
    <w:tmpl w:val="9C480A32"/>
    <w:lvl w:ilvl="0" w:tplc="2654A8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8007D"/>
    <w:multiLevelType w:val="hybridMultilevel"/>
    <w:tmpl w:val="CCA220C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26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31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  <w:num w:numId="19">
    <w:abstractNumId w:val="0"/>
  </w:num>
  <w:num w:numId="20">
    <w:abstractNumId w:val="18"/>
  </w:num>
  <w:num w:numId="21">
    <w:abstractNumId w:val="24"/>
  </w:num>
  <w:num w:numId="22">
    <w:abstractNumId w:val="4"/>
  </w:num>
  <w:num w:numId="23">
    <w:abstractNumId w:val="20"/>
  </w:num>
  <w:num w:numId="24">
    <w:abstractNumId w:val="30"/>
  </w:num>
  <w:num w:numId="25">
    <w:abstractNumId w:val="19"/>
  </w:num>
  <w:num w:numId="26">
    <w:abstractNumId w:val="7"/>
  </w:num>
  <w:num w:numId="27">
    <w:abstractNumId w:val="32"/>
  </w:num>
  <w:num w:numId="28">
    <w:abstractNumId w:val="8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"/>
  </w:num>
  <w:num w:numId="32">
    <w:abstractNumId w:val="5"/>
  </w:num>
  <w:num w:numId="33">
    <w:abstractNumId w:val="21"/>
  </w:num>
  <w:num w:numId="3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zC2sDQysrQwMzNV0lEKTi0uzszPAykwrQUAFSPYUSwAAAA="/>
  </w:docVars>
  <w:rsids>
    <w:rsidRoot w:val="00B22DB7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1C84"/>
    <w:rsid w:val="00013C69"/>
    <w:rsid w:val="00015A43"/>
    <w:rsid w:val="000170E7"/>
    <w:rsid w:val="00017556"/>
    <w:rsid w:val="000177EA"/>
    <w:rsid w:val="00020525"/>
    <w:rsid w:val="00021F7D"/>
    <w:rsid w:val="00021F91"/>
    <w:rsid w:val="00022137"/>
    <w:rsid w:val="000231BD"/>
    <w:rsid w:val="00023399"/>
    <w:rsid w:val="00023825"/>
    <w:rsid w:val="0002467B"/>
    <w:rsid w:val="000246A7"/>
    <w:rsid w:val="00025A08"/>
    <w:rsid w:val="00025AA9"/>
    <w:rsid w:val="00025B17"/>
    <w:rsid w:val="00025EE7"/>
    <w:rsid w:val="000261CF"/>
    <w:rsid w:val="00027E00"/>
    <w:rsid w:val="0003038A"/>
    <w:rsid w:val="000307D2"/>
    <w:rsid w:val="00030983"/>
    <w:rsid w:val="00030F01"/>
    <w:rsid w:val="000339F0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80A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E03"/>
    <w:rsid w:val="00063F42"/>
    <w:rsid w:val="00063FE1"/>
    <w:rsid w:val="00064B25"/>
    <w:rsid w:val="00065CB0"/>
    <w:rsid w:val="00067801"/>
    <w:rsid w:val="00067E1A"/>
    <w:rsid w:val="00071B9F"/>
    <w:rsid w:val="00071E3E"/>
    <w:rsid w:val="0007266A"/>
    <w:rsid w:val="00073FA4"/>
    <w:rsid w:val="000742DE"/>
    <w:rsid w:val="00076AC1"/>
    <w:rsid w:val="00081D60"/>
    <w:rsid w:val="00081DDA"/>
    <w:rsid w:val="00081EFC"/>
    <w:rsid w:val="00082AC4"/>
    <w:rsid w:val="00082E8B"/>
    <w:rsid w:val="00085559"/>
    <w:rsid w:val="00085B42"/>
    <w:rsid w:val="0008687D"/>
    <w:rsid w:val="00087CC5"/>
    <w:rsid w:val="0009037B"/>
    <w:rsid w:val="00090420"/>
    <w:rsid w:val="00092A5C"/>
    <w:rsid w:val="00093E46"/>
    <w:rsid w:val="00094B84"/>
    <w:rsid w:val="000951FD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07D"/>
    <w:rsid w:val="000B0A5C"/>
    <w:rsid w:val="000B17F8"/>
    <w:rsid w:val="000B22A7"/>
    <w:rsid w:val="000B2A58"/>
    <w:rsid w:val="000B4F2F"/>
    <w:rsid w:val="000B6920"/>
    <w:rsid w:val="000C18E4"/>
    <w:rsid w:val="000C1AF7"/>
    <w:rsid w:val="000C37E1"/>
    <w:rsid w:val="000C425F"/>
    <w:rsid w:val="000C5141"/>
    <w:rsid w:val="000C51FB"/>
    <w:rsid w:val="000C60B9"/>
    <w:rsid w:val="000C6C21"/>
    <w:rsid w:val="000C6FDF"/>
    <w:rsid w:val="000C7694"/>
    <w:rsid w:val="000D0A69"/>
    <w:rsid w:val="000D3D2D"/>
    <w:rsid w:val="000D605D"/>
    <w:rsid w:val="000D6736"/>
    <w:rsid w:val="000D6C7D"/>
    <w:rsid w:val="000E0E60"/>
    <w:rsid w:val="000E0EE3"/>
    <w:rsid w:val="000E113C"/>
    <w:rsid w:val="000E1494"/>
    <w:rsid w:val="000E25F7"/>
    <w:rsid w:val="000E2EE7"/>
    <w:rsid w:val="000E486E"/>
    <w:rsid w:val="000E61E6"/>
    <w:rsid w:val="000E621B"/>
    <w:rsid w:val="000E670C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6EDE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06CE1"/>
    <w:rsid w:val="0011021E"/>
    <w:rsid w:val="0011039E"/>
    <w:rsid w:val="00110DDE"/>
    <w:rsid w:val="00111049"/>
    <w:rsid w:val="00111406"/>
    <w:rsid w:val="0011197E"/>
    <w:rsid w:val="00111D18"/>
    <w:rsid w:val="00113781"/>
    <w:rsid w:val="00117A32"/>
    <w:rsid w:val="00120E22"/>
    <w:rsid w:val="00121D37"/>
    <w:rsid w:val="00122285"/>
    <w:rsid w:val="00122A59"/>
    <w:rsid w:val="001254EC"/>
    <w:rsid w:val="001272B5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5C6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C42"/>
    <w:rsid w:val="00183F34"/>
    <w:rsid w:val="00184A8C"/>
    <w:rsid w:val="00184F81"/>
    <w:rsid w:val="001860E3"/>
    <w:rsid w:val="001874ED"/>
    <w:rsid w:val="00190848"/>
    <w:rsid w:val="001914F6"/>
    <w:rsid w:val="00191562"/>
    <w:rsid w:val="001919A8"/>
    <w:rsid w:val="00192E2F"/>
    <w:rsid w:val="00193477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8CC"/>
    <w:rsid w:val="001C1AA4"/>
    <w:rsid w:val="001C2153"/>
    <w:rsid w:val="001C35BF"/>
    <w:rsid w:val="001C6CC7"/>
    <w:rsid w:val="001D09CB"/>
    <w:rsid w:val="001D1006"/>
    <w:rsid w:val="001D17E7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69BE"/>
    <w:rsid w:val="001F7855"/>
    <w:rsid w:val="002017F3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2952"/>
    <w:rsid w:val="002238BA"/>
    <w:rsid w:val="00225645"/>
    <w:rsid w:val="00226174"/>
    <w:rsid w:val="002271F3"/>
    <w:rsid w:val="002274A5"/>
    <w:rsid w:val="002301DC"/>
    <w:rsid w:val="00231030"/>
    <w:rsid w:val="00231588"/>
    <w:rsid w:val="002318F5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AF5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60EA5"/>
    <w:rsid w:val="00261521"/>
    <w:rsid w:val="00263126"/>
    <w:rsid w:val="002638C7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687D"/>
    <w:rsid w:val="00277857"/>
    <w:rsid w:val="00281C50"/>
    <w:rsid w:val="0028438F"/>
    <w:rsid w:val="00284414"/>
    <w:rsid w:val="00284938"/>
    <w:rsid w:val="00285D7B"/>
    <w:rsid w:val="00286AB1"/>
    <w:rsid w:val="00287A8A"/>
    <w:rsid w:val="002917B9"/>
    <w:rsid w:val="00292E0A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3D4"/>
    <w:rsid w:val="002B56D2"/>
    <w:rsid w:val="002B6BAD"/>
    <w:rsid w:val="002B6E4F"/>
    <w:rsid w:val="002B7A17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6F81"/>
    <w:rsid w:val="002D7465"/>
    <w:rsid w:val="002E16FE"/>
    <w:rsid w:val="002E1A17"/>
    <w:rsid w:val="002E1CD5"/>
    <w:rsid w:val="002E31A8"/>
    <w:rsid w:val="002E360A"/>
    <w:rsid w:val="002E39D1"/>
    <w:rsid w:val="002E3DBA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BC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2D02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5CC6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4AE7"/>
    <w:rsid w:val="0034561C"/>
    <w:rsid w:val="00347396"/>
    <w:rsid w:val="00347561"/>
    <w:rsid w:val="00347CB1"/>
    <w:rsid w:val="00350666"/>
    <w:rsid w:val="00350779"/>
    <w:rsid w:val="00351B1A"/>
    <w:rsid w:val="00351DD2"/>
    <w:rsid w:val="0035387F"/>
    <w:rsid w:val="00354B61"/>
    <w:rsid w:val="00354BCA"/>
    <w:rsid w:val="00355055"/>
    <w:rsid w:val="00355088"/>
    <w:rsid w:val="0035518A"/>
    <w:rsid w:val="003552B0"/>
    <w:rsid w:val="00355A47"/>
    <w:rsid w:val="00356D25"/>
    <w:rsid w:val="00357FE5"/>
    <w:rsid w:val="00360E5F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366D"/>
    <w:rsid w:val="003941CE"/>
    <w:rsid w:val="00394C6C"/>
    <w:rsid w:val="00395FE2"/>
    <w:rsid w:val="003974F7"/>
    <w:rsid w:val="003975D0"/>
    <w:rsid w:val="003A010A"/>
    <w:rsid w:val="003A058E"/>
    <w:rsid w:val="003A1736"/>
    <w:rsid w:val="003A23DE"/>
    <w:rsid w:val="003A2573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899"/>
    <w:rsid w:val="003D0FCB"/>
    <w:rsid w:val="003D1DA8"/>
    <w:rsid w:val="003D23F6"/>
    <w:rsid w:val="003D256D"/>
    <w:rsid w:val="003D33C6"/>
    <w:rsid w:val="003D3A8E"/>
    <w:rsid w:val="003D3DD3"/>
    <w:rsid w:val="003D41E4"/>
    <w:rsid w:val="003D5135"/>
    <w:rsid w:val="003D59D8"/>
    <w:rsid w:val="003D630C"/>
    <w:rsid w:val="003E2539"/>
    <w:rsid w:val="003E4A53"/>
    <w:rsid w:val="003E4CE7"/>
    <w:rsid w:val="003E6754"/>
    <w:rsid w:val="003E6FA0"/>
    <w:rsid w:val="003E7060"/>
    <w:rsid w:val="003F011C"/>
    <w:rsid w:val="003F06A2"/>
    <w:rsid w:val="003F0C4F"/>
    <w:rsid w:val="003F1DB6"/>
    <w:rsid w:val="003F3531"/>
    <w:rsid w:val="003F6330"/>
    <w:rsid w:val="003F6701"/>
    <w:rsid w:val="003F6E8D"/>
    <w:rsid w:val="003F7129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0847"/>
    <w:rsid w:val="00411721"/>
    <w:rsid w:val="00411AD2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0369"/>
    <w:rsid w:val="00422424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47B8A"/>
    <w:rsid w:val="00450079"/>
    <w:rsid w:val="00450AB4"/>
    <w:rsid w:val="00451006"/>
    <w:rsid w:val="00451971"/>
    <w:rsid w:val="00451E7B"/>
    <w:rsid w:val="00452D62"/>
    <w:rsid w:val="00455110"/>
    <w:rsid w:val="00456179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2F91"/>
    <w:rsid w:val="00473909"/>
    <w:rsid w:val="0047399E"/>
    <w:rsid w:val="00474630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053A"/>
    <w:rsid w:val="0049151E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3DE"/>
    <w:rsid w:val="004B6C57"/>
    <w:rsid w:val="004B7E91"/>
    <w:rsid w:val="004C0ED9"/>
    <w:rsid w:val="004C22A2"/>
    <w:rsid w:val="004C4670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1AFD"/>
    <w:rsid w:val="004E2395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0BBB"/>
    <w:rsid w:val="00502C5B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4F8D"/>
    <w:rsid w:val="0051506C"/>
    <w:rsid w:val="005157CD"/>
    <w:rsid w:val="00516BB1"/>
    <w:rsid w:val="00517860"/>
    <w:rsid w:val="005178A4"/>
    <w:rsid w:val="00524710"/>
    <w:rsid w:val="00525825"/>
    <w:rsid w:val="005261E3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1B20"/>
    <w:rsid w:val="00545B7C"/>
    <w:rsid w:val="0054605B"/>
    <w:rsid w:val="00546EC9"/>
    <w:rsid w:val="0055004F"/>
    <w:rsid w:val="00550129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0ED2"/>
    <w:rsid w:val="00571A07"/>
    <w:rsid w:val="00571C7D"/>
    <w:rsid w:val="0057341B"/>
    <w:rsid w:val="00574B9C"/>
    <w:rsid w:val="00574DE8"/>
    <w:rsid w:val="005766B2"/>
    <w:rsid w:val="00576705"/>
    <w:rsid w:val="00576C6A"/>
    <w:rsid w:val="00576E73"/>
    <w:rsid w:val="005773BE"/>
    <w:rsid w:val="00581068"/>
    <w:rsid w:val="005817C9"/>
    <w:rsid w:val="005833DF"/>
    <w:rsid w:val="00583714"/>
    <w:rsid w:val="00583D6D"/>
    <w:rsid w:val="00584285"/>
    <w:rsid w:val="005845CC"/>
    <w:rsid w:val="005879AF"/>
    <w:rsid w:val="00587FE1"/>
    <w:rsid w:val="00590C84"/>
    <w:rsid w:val="00590E50"/>
    <w:rsid w:val="00591720"/>
    <w:rsid w:val="00591CD3"/>
    <w:rsid w:val="00592100"/>
    <w:rsid w:val="00592AB6"/>
    <w:rsid w:val="00592CF7"/>
    <w:rsid w:val="00592F3D"/>
    <w:rsid w:val="00593E68"/>
    <w:rsid w:val="005966FA"/>
    <w:rsid w:val="005A0170"/>
    <w:rsid w:val="005A019F"/>
    <w:rsid w:val="005A022F"/>
    <w:rsid w:val="005A0C10"/>
    <w:rsid w:val="005A2409"/>
    <w:rsid w:val="005A2D53"/>
    <w:rsid w:val="005A31BA"/>
    <w:rsid w:val="005A3B5C"/>
    <w:rsid w:val="005A43EA"/>
    <w:rsid w:val="005A48C4"/>
    <w:rsid w:val="005A7D9D"/>
    <w:rsid w:val="005B35BC"/>
    <w:rsid w:val="005B3FFE"/>
    <w:rsid w:val="005B63AD"/>
    <w:rsid w:val="005B74C7"/>
    <w:rsid w:val="005C1B05"/>
    <w:rsid w:val="005C2185"/>
    <w:rsid w:val="005C39BE"/>
    <w:rsid w:val="005C5EA0"/>
    <w:rsid w:val="005C7506"/>
    <w:rsid w:val="005D0868"/>
    <w:rsid w:val="005D1413"/>
    <w:rsid w:val="005D14B9"/>
    <w:rsid w:val="005D2846"/>
    <w:rsid w:val="005D2AD0"/>
    <w:rsid w:val="005D362C"/>
    <w:rsid w:val="005D56D1"/>
    <w:rsid w:val="005D64D9"/>
    <w:rsid w:val="005D704E"/>
    <w:rsid w:val="005D7660"/>
    <w:rsid w:val="005D76D1"/>
    <w:rsid w:val="005D7E1A"/>
    <w:rsid w:val="005E0924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1ED5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1E32"/>
    <w:rsid w:val="0061417E"/>
    <w:rsid w:val="0061497C"/>
    <w:rsid w:val="00615BC2"/>
    <w:rsid w:val="00616FA1"/>
    <w:rsid w:val="0062081E"/>
    <w:rsid w:val="00620CC2"/>
    <w:rsid w:val="00630B15"/>
    <w:rsid w:val="00632F7C"/>
    <w:rsid w:val="00634017"/>
    <w:rsid w:val="00634041"/>
    <w:rsid w:val="00634682"/>
    <w:rsid w:val="006349B4"/>
    <w:rsid w:val="006358AF"/>
    <w:rsid w:val="00635B41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102"/>
    <w:rsid w:val="00653E41"/>
    <w:rsid w:val="0065425C"/>
    <w:rsid w:val="00654D94"/>
    <w:rsid w:val="0065528C"/>
    <w:rsid w:val="00655723"/>
    <w:rsid w:val="006576F2"/>
    <w:rsid w:val="00660B5D"/>
    <w:rsid w:val="00660F08"/>
    <w:rsid w:val="006617D9"/>
    <w:rsid w:val="00662039"/>
    <w:rsid w:val="00662082"/>
    <w:rsid w:val="0066249C"/>
    <w:rsid w:val="00662517"/>
    <w:rsid w:val="00664708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7F6"/>
    <w:rsid w:val="00687C2E"/>
    <w:rsid w:val="00690251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A74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C7793"/>
    <w:rsid w:val="006D1FED"/>
    <w:rsid w:val="006D2F06"/>
    <w:rsid w:val="006D42EB"/>
    <w:rsid w:val="006D49FD"/>
    <w:rsid w:val="006D581F"/>
    <w:rsid w:val="006D62F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2247"/>
    <w:rsid w:val="006F3EF2"/>
    <w:rsid w:val="006F4339"/>
    <w:rsid w:val="006F45F0"/>
    <w:rsid w:val="006F5875"/>
    <w:rsid w:val="006F72FE"/>
    <w:rsid w:val="006F7D45"/>
    <w:rsid w:val="00700843"/>
    <w:rsid w:val="00700D4A"/>
    <w:rsid w:val="00703C5B"/>
    <w:rsid w:val="007041FB"/>
    <w:rsid w:val="0070562F"/>
    <w:rsid w:val="00705C4A"/>
    <w:rsid w:val="007076DD"/>
    <w:rsid w:val="00710CFA"/>
    <w:rsid w:val="007117A1"/>
    <w:rsid w:val="00712C01"/>
    <w:rsid w:val="00712FD2"/>
    <w:rsid w:val="00713171"/>
    <w:rsid w:val="007138B4"/>
    <w:rsid w:val="0071406F"/>
    <w:rsid w:val="007150FA"/>
    <w:rsid w:val="00716526"/>
    <w:rsid w:val="00716708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294F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4CB1"/>
    <w:rsid w:val="00745456"/>
    <w:rsid w:val="007454A0"/>
    <w:rsid w:val="00745F6E"/>
    <w:rsid w:val="0074631E"/>
    <w:rsid w:val="007471DA"/>
    <w:rsid w:val="007472B8"/>
    <w:rsid w:val="00747D92"/>
    <w:rsid w:val="00750E2D"/>
    <w:rsid w:val="00751147"/>
    <w:rsid w:val="00753C66"/>
    <w:rsid w:val="00753F74"/>
    <w:rsid w:val="00755BEF"/>
    <w:rsid w:val="00756C4F"/>
    <w:rsid w:val="00756D30"/>
    <w:rsid w:val="00756F2D"/>
    <w:rsid w:val="00757DFE"/>
    <w:rsid w:val="007602AC"/>
    <w:rsid w:val="00761485"/>
    <w:rsid w:val="007618E4"/>
    <w:rsid w:val="007643FA"/>
    <w:rsid w:val="00765318"/>
    <w:rsid w:val="00765A44"/>
    <w:rsid w:val="00766442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D74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38AF"/>
    <w:rsid w:val="007950A6"/>
    <w:rsid w:val="007A0AB9"/>
    <w:rsid w:val="007A130F"/>
    <w:rsid w:val="007A15E5"/>
    <w:rsid w:val="007A2ACE"/>
    <w:rsid w:val="007A4A00"/>
    <w:rsid w:val="007A50BC"/>
    <w:rsid w:val="007A71E9"/>
    <w:rsid w:val="007B003D"/>
    <w:rsid w:val="007B1551"/>
    <w:rsid w:val="007B1F34"/>
    <w:rsid w:val="007B2AAC"/>
    <w:rsid w:val="007B2BBC"/>
    <w:rsid w:val="007B6AAA"/>
    <w:rsid w:val="007B7D0A"/>
    <w:rsid w:val="007C14D6"/>
    <w:rsid w:val="007C1892"/>
    <w:rsid w:val="007C418E"/>
    <w:rsid w:val="007C4BB2"/>
    <w:rsid w:val="007C510D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66CA"/>
    <w:rsid w:val="007D791C"/>
    <w:rsid w:val="007E1F94"/>
    <w:rsid w:val="007E2C7A"/>
    <w:rsid w:val="007E50EE"/>
    <w:rsid w:val="007E5717"/>
    <w:rsid w:val="007E59E0"/>
    <w:rsid w:val="007E6442"/>
    <w:rsid w:val="007E6718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101"/>
    <w:rsid w:val="00810A93"/>
    <w:rsid w:val="00817683"/>
    <w:rsid w:val="00817C9C"/>
    <w:rsid w:val="00820968"/>
    <w:rsid w:val="008220F7"/>
    <w:rsid w:val="00822C3B"/>
    <w:rsid w:val="00823568"/>
    <w:rsid w:val="00824392"/>
    <w:rsid w:val="008248B2"/>
    <w:rsid w:val="00824BAC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4A3A"/>
    <w:rsid w:val="0084779E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49C"/>
    <w:rsid w:val="0087165B"/>
    <w:rsid w:val="00873A8D"/>
    <w:rsid w:val="0087444A"/>
    <w:rsid w:val="00874A12"/>
    <w:rsid w:val="00874DA0"/>
    <w:rsid w:val="00875651"/>
    <w:rsid w:val="0087580E"/>
    <w:rsid w:val="0087756E"/>
    <w:rsid w:val="00880259"/>
    <w:rsid w:val="00880C76"/>
    <w:rsid w:val="00882096"/>
    <w:rsid w:val="00884060"/>
    <w:rsid w:val="00886D7B"/>
    <w:rsid w:val="0088712D"/>
    <w:rsid w:val="0089050C"/>
    <w:rsid w:val="0089079B"/>
    <w:rsid w:val="008908F5"/>
    <w:rsid w:val="008923B8"/>
    <w:rsid w:val="008924C4"/>
    <w:rsid w:val="00892937"/>
    <w:rsid w:val="008929CB"/>
    <w:rsid w:val="008943F5"/>
    <w:rsid w:val="008966B6"/>
    <w:rsid w:val="008A0472"/>
    <w:rsid w:val="008A2A34"/>
    <w:rsid w:val="008A3B94"/>
    <w:rsid w:val="008A50B5"/>
    <w:rsid w:val="008A639F"/>
    <w:rsid w:val="008B035B"/>
    <w:rsid w:val="008B0863"/>
    <w:rsid w:val="008B1985"/>
    <w:rsid w:val="008B1B79"/>
    <w:rsid w:val="008B28E1"/>
    <w:rsid w:val="008B2C8F"/>
    <w:rsid w:val="008B37E9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283"/>
    <w:rsid w:val="008C374D"/>
    <w:rsid w:val="008C4513"/>
    <w:rsid w:val="008C488C"/>
    <w:rsid w:val="008C538C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0436"/>
    <w:rsid w:val="00901369"/>
    <w:rsid w:val="00901AD3"/>
    <w:rsid w:val="009027C9"/>
    <w:rsid w:val="00902905"/>
    <w:rsid w:val="009033B1"/>
    <w:rsid w:val="00903408"/>
    <w:rsid w:val="00904B39"/>
    <w:rsid w:val="00905378"/>
    <w:rsid w:val="00907B3C"/>
    <w:rsid w:val="00912126"/>
    <w:rsid w:val="0091290B"/>
    <w:rsid w:val="0091315E"/>
    <w:rsid w:val="00913B44"/>
    <w:rsid w:val="00913BAA"/>
    <w:rsid w:val="00914AA1"/>
    <w:rsid w:val="00914AEA"/>
    <w:rsid w:val="00915681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4E0"/>
    <w:rsid w:val="0092565D"/>
    <w:rsid w:val="009278A0"/>
    <w:rsid w:val="009306E6"/>
    <w:rsid w:val="00932F6E"/>
    <w:rsid w:val="009345DF"/>
    <w:rsid w:val="00934C84"/>
    <w:rsid w:val="009364BD"/>
    <w:rsid w:val="00937FDE"/>
    <w:rsid w:val="009407D4"/>
    <w:rsid w:val="00941BD6"/>
    <w:rsid w:val="00942603"/>
    <w:rsid w:val="00943314"/>
    <w:rsid w:val="009447B1"/>
    <w:rsid w:val="00946C1F"/>
    <w:rsid w:val="0095156B"/>
    <w:rsid w:val="0095287D"/>
    <w:rsid w:val="009537C6"/>
    <w:rsid w:val="009576D7"/>
    <w:rsid w:val="0096174F"/>
    <w:rsid w:val="00961A68"/>
    <w:rsid w:val="00961E28"/>
    <w:rsid w:val="009621E5"/>
    <w:rsid w:val="00963671"/>
    <w:rsid w:val="0096424D"/>
    <w:rsid w:val="009644E4"/>
    <w:rsid w:val="009649C7"/>
    <w:rsid w:val="009653B3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497C"/>
    <w:rsid w:val="00974F56"/>
    <w:rsid w:val="009750AD"/>
    <w:rsid w:val="00980222"/>
    <w:rsid w:val="0098263E"/>
    <w:rsid w:val="00982982"/>
    <w:rsid w:val="00982BE1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1BAD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57E9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564"/>
    <w:rsid w:val="00A11660"/>
    <w:rsid w:val="00A11E3F"/>
    <w:rsid w:val="00A14F2B"/>
    <w:rsid w:val="00A16C2F"/>
    <w:rsid w:val="00A2050B"/>
    <w:rsid w:val="00A20A38"/>
    <w:rsid w:val="00A2160E"/>
    <w:rsid w:val="00A23FFF"/>
    <w:rsid w:val="00A251F4"/>
    <w:rsid w:val="00A25FC7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6A9"/>
    <w:rsid w:val="00A477CF"/>
    <w:rsid w:val="00A4797B"/>
    <w:rsid w:val="00A47B05"/>
    <w:rsid w:val="00A514BB"/>
    <w:rsid w:val="00A5237F"/>
    <w:rsid w:val="00A525AC"/>
    <w:rsid w:val="00A53645"/>
    <w:rsid w:val="00A538AE"/>
    <w:rsid w:val="00A54162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EE3"/>
    <w:rsid w:val="00A713FC"/>
    <w:rsid w:val="00A718CF"/>
    <w:rsid w:val="00A74F87"/>
    <w:rsid w:val="00A75402"/>
    <w:rsid w:val="00A758AC"/>
    <w:rsid w:val="00A771FA"/>
    <w:rsid w:val="00A778DD"/>
    <w:rsid w:val="00A77F77"/>
    <w:rsid w:val="00A81635"/>
    <w:rsid w:val="00A81E60"/>
    <w:rsid w:val="00A826F7"/>
    <w:rsid w:val="00A8570C"/>
    <w:rsid w:val="00A861E6"/>
    <w:rsid w:val="00A863D1"/>
    <w:rsid w:val="00A86ACF"/>
    <w:rsid w:val="00A86CBE"/>
    <w:rsid w:val="00A879C2"/>
    <w:rsid w:val="00A90822"/>
    <w:rsid w:val="00A92B99"/>
    <w:rsid w:val="00A92DAE"/>
    <w:rsid w:val="00A93295"/>
    <w:rsid w:val="00A93323"/>
    <w:rsid w:val="00A934FC"/>
    <w:rsid w:val="00A94095"/>
    <w:rsid w:val="00A95891"/>
    <w:rsid w:val="00A95920"/>
    <w:rsid w:val="00A95AC2"/>
    <w:rsid w:val="00A95AC9"/>
    <w:rsid w:val="00A95DD5"/>
    <w:rsid w:val="00A95EC8"/>
    <w:rsid w:val="00A963A9"/>
    <w:rsid w:val="00AA09FE"/>
    <w:rsid w:val="00AA196E"/>
    <w:rsid w:val="00AA2821"/>
    <w:rsid w:val="00AA4A1F"/>
    <w:rsid w:val="00AA6134"/>
    <w:rsid w:val="00AA629F"/>
    <w:rsid w:val="00AA652A"/>
    <w:rsid w:val="00AA6BC0"/>
    <w:rsid w:val="00AB1184"/>
    <w:rsid w:val="00AB1279"/>
    <w:rsid w:val="00AB4050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4FE3"/>
    <w:rsid w:val="00AD50EE"/>
    <w:rsid w:val="00AD7086"/>
    <w:rsid w:val="00AD7679"/>
    <w:rsid w:val="00AD77F4"/>
    <w:rsid w:val="00AE0B10"/>
    <w:rsid w:val="00AE0B3C"/>
    <w:rsid w:val="00AE0F4B"/>
    <w:rsid w:val="00AE2686"/>
    <w:rsid w:val="00AE35E7"/>
    <w:rsid w:val="00AE3A73"/>
    <w:rsid w:val="00AE422F"/>
    <w:rsid w:val="00AE590B"/>
    <w:rsid w:val="00AE5DB9"/>
    <w:rsid w:val="00AF09FD"/>
    <w:rsid w:val="00AF0E16"/>
    <w:rsid w:val="00AF1017"/>
    <w:rsid w:val="00AF1DF3"/>
    <w:rsid w:val="00AF2C76"/>
    <w:rsid w:val="00AF2E48"/>
    <w:rsid w:val="00AF35D6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6ECD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2DB7"/>
    <w:rsid w:val="00B2346F"/>
    <w:rsid w:val="00B23470"/>
    <w:rsid w:val="00B23A03"/>
    <w:rsid w:val="00B24132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470D1"/>
    <w:rsid w:val="00B47289"/>
    <w:rsid w:val="00B50258"/>
    <w:rsid w:val="00B50C6B"/>
    <w:rsid w:val="00B517B5"/>
    <w:rsid w:val="00B52E11"/>
    <w:rsid w:val="00B53E53"/>
    <w:rsid w:val="00B54477"/>
    <w:rsid w:val="00B54AC2"/>
    <w:rsid w:val="00B550C2"/>
    <w:rsid w:val="00B5592E"/>
    <w:rsid w:val="00B55997"/>
    <w:rsid w:val="00B56091"/>
    <w:rsid w:val="00B56366"/>
    <w:rsid w:val="00B579C9"/>
    <w:rsid w:val="00B6008F"/>
    <w:rsid w:val="00B62254"/>
    <w:rsid w:val="00B62B91"/>
    <w:rsid w:val="00B62BF2"/>
    <w:rsid w:val="00B63D22"/>
    <w:rsid w:val="00B65983"/>
    <w:rsid w:val="00B662AC"/>
    <w:rsid w:val="00B71288"/>
    <w:rsid w:val="00B73BA0"/>
    <w:rsid w:val="00B77854"/>
    <w:rsid w:val="00B77FD1"/>
    <w:rsid w:val="00B851E8"/>
    <w:rsid w:val="00B9206E"/>
    <w:rsid w:val="00B9380F"/>
    <w:rsid w:val="00B946FE"/>
    <w:rsid w:val="00B9514C"/>
    <w:rsid w:val="00B978F3"/>
    <w:rsid w:val="00BA076B"/>
    <w:rsid w:val="00BA6101"/>
    <w:rsid w:val="00BA6867"/>
    <w:rsid w:val="00BB007F"/>
    <w:rsid w:val="00BB0311"/>
    <w:rsid w:val="00BB10C9"/>
    <w:rsid w:val="00BB169A"/>
    <w:rsid w:val="00BB3FCE"/>
    <w:rsid w:val="00BB4B4E"/>
    <w:rsid w:val="00BB4F50"/>
    <w:rsid w:val="00BB547B"/>
    <w:rsid w:val="00BB547E"/>
    <w:rsid w:val="00BC1594"/>
    <w:rsid w:val="00BC258D"/>
    <w:rsid w:val="00BC3FCE"/>
    <w:rsid w:val="00BC4DF2"/>
    <w:rsid w:val="00BC5B99"/>
    <w:rsid w:val="00BC643E"/>
    <w:rsid w:val="00BC6E6A"/>
    <w:rsid w:val="00BD0F3E"/>
    <w:rsid w:val="00BD1473"/>
    <w:rsid w:val="00BD167D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958"/>
    <w:rsid w:val="00C14E97"/>
    <w:rsid w:val="00C16A1D"/>
    <w:rsid w:val="00C17F6F"/>
    <w:rsid w:val="00C21976"/>
    <w:rsid w:val="00C21A41"/>
    <w:rsid w:val="00C22833"/>
    <w:rsid w:val="00C22C43"/>
    <w:rsid w:val="00C25BB5"/>
    <w:rsid w:val="00C27F6D"/>
    <w:rsid w:val="00C3040C"/>
    <w:rsid w:val="00C306E5"/>
    <w:rsid w:val="00C342BE"/>
    <w:rsid w:val="00C34A67"/>
    <w:rsid w:val="00C3652A"/>
    <w:rsid w:val="00C402CE"/>
    <w:rsid w:val="00C422AF"/>
    <w:rsid w:val="00C42B33"/>
    <w:rsid w:val="00C44117"/>
    <w:rsid w:val="00C44375"/>
    <w:rsid w:val="00C44FF2"/>
    <w:rsid w:val="00C45810"/>
    <w:rsid w:val="00C45B5B"/>
    <w:rsid w:val="00C463BB"/>
    <w:rsid w:val="00C46DF0"/>
    <w:rsid w:val="00C4791F"/>
    <w:rsid w:val="00C47FA4"/>
    <w:rsid w:val="00C50099"/>
    <w:rsid w:val="00C53069"/>
    <w:rsid w:val="00C54FB7"/>
    <w:rsid w:val="00C5577C"/>
    <w:rsid w:val="00C557B1"/>
    <w:rsid w:val="00C56DC7"/>
    <w:rsid w:val="00C56E68"/>
    <w:rsid w:val="00C6002C"/>
    <w:rsid w:val="00C64883"/>
    <w:rsid w:val="00C657DF"/>
    <w:rsid w:val="00C65929"/>
    <w:rsid w:val="00C6662C"/>
    <w:rsid w:val="00C66D56"/>
    <w:rsid w:val="00C732BC"/>
    <w:rsid w:val="00C73ECA"/>
    <w:rsid w:val="00C74E13"/>
    <w:rsid w:val="00C7501B"/>
    <w:rsid w:val="00C763FA"/>
    <w:rsid w:val="00C766DB"/>
    <w:rsid w:val="00C805F7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64B9"/>
    <w:rsid w:val="00C9710B"/>
    <w:rsid w:val="00CA0257"/>
    <w:rsid w:val="00CA0B4B"/>
    <w:rsid w:val="00CA4F83"/>
    <w:rsid w:val="00CA539E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7B0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3FCA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2BF3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0E15"/>
    <w:rsid w:val="00D212D6"/>
    <w:rsid w:val="00D2162E"/>
    <w:rsid w:val="00D22708"/>
    <w:rsid w:val="00D232FE"/>
    <w:rsid w:val="00D26C27"/>
    <w:rsid w:val="00D26DE9"/>
    <w:rsid w:val="00D31CFA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2CA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4BCE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16C9"/>
    <w:rsid w:val="00D8240E"/>
    <w:rsid w:val="00D82AB3"/>
    <w:rsid w:val="00D83BFE"/>
    <w:rsid w:val="00D84CA5"/>
    <w:rsid w:val="00D8518B"/>
    <w:rsid w:val="00D866DC"/>
    <w:rsid w:val="00D87B07"/>
    <w:rsid w:val="00D87DDA"/>
    <w:rsid w:val="00D90BA6"/>
    <w:rsid w:val="00D910EE"/>
    <w:rsid w:val="00D91BE3"/>
    <w:rsid w:val="00D94D6B"/>
    <w:rsid w:val="00D95121"/>
    <w:rsid w:val="00D97721"/>
    <w:rsid w:val="00D97B0F"/>
    <w:rsid w:val="00DA47EA"/>
    <w:rsid w:val="00DA6547"/>
    <w:rsid w:val="00DA70EB"/>
    <w:rsid w:val="00DB03E6"/>
    <w:rsid w:val="00DB0667"/>
    <w:rsid w:val="00DB0E03"/>
    <w:rsid w:val="00DB2AD0"/>
    <w:rsid w:val="00DB38F2"/>
    <w:rsid w:val="00DB4E37"/>
    <w:rsid w:val="00DB4E9C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371A"/>
    <w:rsid w:val="00DE4FA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3C4C"/>
    <w:rsid w:val="00E05EDA"/>
    <w:rsid w:val="00E0601B"/>
    <w:rsid w:val="00E065EA"/>
    <w:rsid w:val="00E06C26"/>
    <w:rsid w:val="00E070BD"/>
    <w:rsid w:val="00E07BAF"/>
    <w:rsid w:val="00E1099A"/>
    <w:rsid w:val="00E11112"/>
    <w:rsid w:val="00E11C97"/>
    <w:rsid w:val="00E13072"/>
    <w:rsid w:val="00E13374"/>
    <w:rsid w:val="00E13A79"/>
    <w:rsid w:val="00E14B7E"/>
    <w:rsid w:val="00E15AFC"/>
    <w:rsid w:val="00E16B04"/>
    <w:rsid w:val="00E17919"/>
    <w:rsid w:val="00E200C4"/>
    <w:rsid w:val="00E20116"/>
    <w:rsid w:val="00E23C9B"/>
    <w:rsid w:val="00E247D9"/>
    <w:rsid w:val="00E267D1"/>
    <w:rsid w:val="00E268A6"/>
    <w:rsid w:val="00E27AB8"/>
    <w:rsid w:val="00E304C8"/>
    <w:rsid w:val="00E30634"/>
    <w:rsid w:val="00E31E28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335"/>
    <w:rsid w:val="00E454AD"/>
    <w:rsid w:val="00E457ED"/>
    <w:rsid w:val="00E46A67"/>
    <w:rsid w:val="00E47658"/>
    <w:rsid w:val="00E5049B"/>
    <w:rsid w:val="00E52707"/>
    <w:rsid w:val="00E52986"/>
    <w:rsid w:val="00E52F32"/>
    <w:rsid w:val="00E56452"/>
    <w:rsid w:val="00E62193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1A5"/>
    <w:rsid w:val="00E90AEB"/>
    <w:rsid w:val="00E90C64"/>
    <w:rsid w:val="00E9204E"/>
    <w:rsid w:val="00E921D5"/>
    <w:rsid w:val="00E95DA2"/>
    <w:rsid w:val="00E9627E"/>
    <w:rsid w:val="00E96620"/>
    <w:rsid w:val="00E976B7"/>
    <w:rsid w:val="00EA020C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6E7A"/>
    <w:rsid w:val="00EA745B"/>
    <w:rsid w:val="00EB462B"/>
    <w:rsid w:val="00EB4730"/>
    <w:rsid w:val="00EB4788"/>
    <w:rsid w:val="00EB47BA"/>
    <w:rsid w:val="00EB5EA2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1DB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2B50"/>
    <w:rsid w:val="00EE35EC"/>
    <w:rsid w:val="00EE3DDD"/>
    <w:rsid w:val="00EE5F89"/>
    <w:rsid w:val="00EE678C"/>
    <w:rsid w:val="00EE67F6"/>
    <w:rsid w:val="00EE7721"/>
    <w:rsid w:val="00EF050C"/>
    <w:rsid w:val="00EF15FF"/>
    <w:rsid w:val="00EF20A2"/>
    <w:rsid w:val="00EF24D3"/>
    <w:rsid w:val="00EF2780"/>
    <w:rsid w:val="00EF3407"/>
    <w:rsid w:val="00EF6592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43C4"/>
    <w:rsid w:val="00F162CC"/>
    <w:rsid w:val="00F16874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27F2B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37EDE"/>
    <w:rsid w:val="00F40A75"/>
    <w:rsid w:val="00F410E7"/>
    <w:rsid w:val="00F41412"/>
    <w:rsid w:val="00F41FED"/>
    <w:rsid w:val="00F45267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6B8F"/>
    <w:rsid w:val="00F72999"/>
    <w:rsid w:val="00F72D1D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4051"/>
    <w:rsid w:val="00F852D7"/>
    <w:rsid w:val="00F85556"/>
    <w:rsid w:val="00F8748E"/>
    <w:rsid w:val="00F90027"/>
    <w:rsid w:val="00F91678"/>
    <w:rsid w:val="00F91BF3"/>
    <w:rsid w:val="00F936EE"/>
    <w:rsid w:val="00F94BDC"/>
    <w:rsid w:val="00F94FBA"/>
    <w:rsid w:val="00F95BF7"/>
    <w:rsid w:val="00F97A7F"/>
    <w:rsid w:val="00FA0547"/>
    <w:rsid w:val="00FA176F"/>
    <w:rsid w:val="00FA1D4C"/>
    <w:rsid w:val="00FA76B5"/>
    <w:rsid w:val="00FB16E5"/>
    <w:rsid w:val="00FB1B05"/>
    <w:rsid w:val="00FB22DE"/>
    <w:rsid w:val="00FB2CAE"/>
    <w:rsid w:val="00FB2F2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AAD"/>
    <w:rsid w:val="00FD7F22"/>
    <w:rsid w:val="00FE25F8"/>
    <w:rsid w:val="00FE555C"/>
    <w:rsid w:val="00FE7144"/>
    <w:rsid w:val="00FF19E4"/>
    <w:rsid w:val="00FF2A32"/>
    <w:rsid w:val="00FF30A9"/>
    <w:rsid w:val="00FF340C"/>
    <w:rsid w:val="00FF3AA2"/>
    <w:rsid w:val="00FF4EC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417CE2"/>
  <w15:docId w15:val="{3CCAF8BF-6262-446D-ABC4-6B59923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link w:val="ListParagraphChar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character" w:styleId="PlaceholderText">
    <w:name w:val="Placeholder Text"/>
    <w:uiPriority w:val="99"/>
    <w:semiHidden/>
    <w:rsid w:val="00601ED5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63D22"/>
    <w:rPr>
      <w:rFonts w:ascii="Calibri" w:hAnsi="Calibr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29BC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B77B0"/>
    <w:pPr>
      <w:widowControl w:val="0"/>
      <w:suppressLineNumbers/>
      <w:suppressAutoHyphens/>
      <w:spacing w:after="57"/>
    </w:pPr>
    <w:rPr>
      <w:rFonts w:ascii="Times New Roman" w:eastAsia="DejaVu Sans" w:hAnsi="Times New Roman" w:cs="Lucidasans"/>
      <w:kern w:val="1"/>
      <w:lang w:bidi="en-AU"/>
    </w:rPr>
  </w:style>
  <w:style w:type="character" w:styleId="CommentReference">
    <w:name w:val="annotation reference"/>
    <w:basedOn w:val="DefaultParagraphFont"/>
    <w:semiHidden/>
    <w:unhideWhenUsed/>
    <w:rsid w:val="00C56E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6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6E6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6E6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ssionaustralia.com.au/what-we-do/children-youth-families-and-communities/keeping-children-and-young-people-saf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77BB1D6F49F43BEB0BF9D01D764B6" ma:contentTypeVersion="6" ma:contentTypeDescription="Create a new document." ma:contentTypeScope="" ma:versionID="7c0ea3312440d6c2c7ca458171372ec0">
  <xsd:schema xmlns:xsd="http://www.w3.org/2001/XMLSchema" xmlns:xs="http://www.w3.org/2001/XMLSchema" xmlns:p="http://schemas.microsoft.com/office/2006/metadata/properties" xmlns:ns2="57cfe0cd-1463-4c24-9824-346f944cd59b" xmlns:ns3="b2a68f99-9119-4848-9604-675297a83c58" targetNamespace="http://schemas.microsoft.com/office/2006/metadata/properties" ma:root="true" ma:fieldsID="64593d223670cb4153d8e972c8d5d043" ns2:_="" ns3:_="">
    <xsd:import namespace="57cfe0cd-1463-4c24-9824-346f944cd59b"/>
    <xsd:import namespace="b2a68f99-9119-4848-9604-675297a83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fe0cd-1463-4c24-9824-346f944cd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8f99-9119-4848-9604-675297a83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0FCF4-18CF-40B3-AEC7-6AABAE5A22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23650-76EC-4DB3-A964-7D12D325A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E6CC0-D35A-4D5A-88F2-ED5AD225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2D2B1-DF6C-4D0B-93DF-A9B67340F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fe0cd-1463-4c24-9824-346f944cd59b"/>
    <ds:schemaRef ds:uri="b2a68f99-9119-4848-9604-675297a83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people leader position description</vt:lpstr>
    </vt:vector>
  </TitlesOfParts>
  <Company>Mission Australia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people leader position description</dc:title>
  <dc:subject/>
  <dc:creator>Michael O'Brien</dc:creator>
  <cp:keywords/>
  <cp:lastModifiedBy>Kerrie Driver</cp:lastModifiedBy>
  <cp:revision>2</cp:revision>
  <cp:lastPrinted>2014-03-03T01:31:00Z</cp:lastPrinted>
  <dcterms:created xsi:type="dcterms:W3CDTF">2022-01-24T23:22:00Z</dcterms:created>
  <dcterms:modified xsi:type="dcterms:W3CDTF">2022-01-24T23:22:00Z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0x01010070177BB1D6F49F43BEB0BF9D01D764B6</vt:lpwstr>
  </property>
  <property fmtid="{D5CDD505-2E9C-101B-9397-08002B2CF9AE}" pid="3" name="MSIP_Label_9090dcd5-8ec6-49c6-a93f-ea8c1f34abce_Enabled">
    <vt:lpwstr>true</vt:lpwstr>
  </property>
  <property fmtid="{D5CDD505-2E9C-101B-9397-08002B2CF9AE}" pid="4" name="MSIP_Label_9090dcd5-8ec6-49c6-a93f-ea8c1f34abce_SetDate">
    <vt:lpwstr>2022-01-24T23:22:10Z</vt:lpwstr>
  </property>
  <property fmtid="{D5CDD505-2E9C-101B-9397-08002B2CF9AE}" pid="5" name="MSIP_Label_9090dcd5-8ec6-49c6-a93f-ea8c1f34abce_Method">
    <vt:lpwstr>Privileged</vt:lpwstr>
  </property>
  <property fmtid="{D5CDD505-2E9C-101B-9397-08002B2CF9AE}" pid="6" name="MSIP_Label_9090dcd5-8ec6-49c6-a93f-ea8c1f34abce_Name">
    <vt:lpwstr>Confidential</vt:lpwstr>
  </property>
  <property fmtid="{D5CDD505-2E9C-101B-9397-08002B2CF9AE}" pid="7" name="MSIP_Label_9090dcd5-8ec6-49c6-a93f-ea8c1f34abce_SiteId">
    <vt:lpwstr>f5425b56-2188-4545-9791-9d766a091f5a</vt:lpwstr>
  </property>
  <property fmtid="{D5CDD505-2E9C-101B-9397-08002B2CF9AE}" pid="8" name="MSIP_Label_9090dcd5-8ec6-49c6-a93f-ea8c1f34abce_ActionId">
    <vt:lpwstr>92c9a2c7-17ee-430e-a818-41739e2fb567</vt:lpwstr>
  </property>
  <property fmtid="{D5CDD505-2E9C-101B-9397-08002B2CF9AE}" pid="9" name="MSIP_Label_9090dcd5-8ec6-49c6-a93f-ea8c1f34abce_ContentBits">
    <vt:lpwstr>2</vt:lpwstr>
  </property>
</Properties>
</file>