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8728" w14:textId="77777777" w:rsidR="00CB4638" w:rsidRPr="008702FF" w:rsidRDefault="00CB4638" w:rsidP="00CB4638">
      <w:pPr>
        <w:pStyle w:val="Heading1"/>
        <w:rPr>
          <w:bCs/>
        </w:rPr>
      </w:pPr>
      <w:r w:rsidRPr="008702FF">
        <w:t>The Department of Justice</w:t>
      </w:r>
    </w:p>
    <w:p w14:paraId="2793CA32" w14:textId="77777777" w:rsidR="00CB4638" w:rsidRDefault="00CB4638" w:rsidP="00CB4638">
      <w:pPr>
        <w:pStyle w:val="Heading2"/>
      </w:pPr>
      <w:r w:rsidRPr="00CE3850">
        <w:t>Aim</w:t>
      </w:r>
      <w:r w:rsidRPr="008702FF">
        <w:t xml:space="preserve"> </w:t>
      </w:r>
    </w:p>
    <w:p w14:paraId="6BC0B0A2" w14:textId="77777777" w:rsidR="00CB4638" w:rsidRPr="008702FF" w:rsidRDefault="00CB4638" w:rsidP="00CB4638">
      <w:pPr>
        <w:tabs>
          <w:tab w:val="left" w:pos="3750"/>
        </w:tabs>
        <w:rPr>
          <w:sz w:val="22"/>
          <w:szCs w:val="22"/>
        </w:rPr>
      </w:pPr>
      <w:r w:rsidRPr="008702FF">
        <w:rPr>
          <w:sz w:val="22"/>
          <w:szCs w:val="22"/>
        </w:rPr>
        <w:t>A safe, fair and just Tasmania.</w:t>
      </w:r>
    </w:p>
    <w:p w14:paraId="5A453A33" w14:textId="77777777" w:rsidR="00CB4638" w:rsidRDefault="00CB4638" w:rsidP="00CB4638">
      <w:pPr>
        <w:pStyle w:val="Heading2"/>
      </w:pPr>
      <w:r>
        <w:t>Purpose</w:t>
      </w:r>
    </w:p>
    <w:p w14:paraId="2CD6A067" w14:textId="77777777" w:rsidR="00CB4638" w:rsidRPr="00C6019E" w:rsidRDefault="00CB4638" w:rsidP="00CB4638">
      <w:pPr>
        <w:rPr>
          <w:sz w:val="22"/>
          <w:szCs w:val="22"/>
        </w:rPr>
      </w:pPr>
      <w:r w:rsidRPr="00C6019E">
        <w:rPr>
          <w:sz w:val="22"/>
          <w:szCs w:val="22"/>
        </w:rPr>
        <w:t>To support the Tasmanian Government to promote the rule of law by</w:t>
      </w:r>
    </w:p>
    <w:p w14:paraId="40D45C25" w14:textId="77777777" w:rsidR="00CB4638" w:rsidRPr="00C6019E" w:rsidRDefault="00CB4638" w:rsidP="00CB4638">
      <w:pPr>
        <w:pStyle w:val="ListBullet"/>
        <w:rPr>
          <w:sz w:val="22"/>
          <w:szCs w:val="22"/>
        </w:rPr>
      </w:pPr>
      <w:r w:rsidRPr="00C6019E">
        <w:rPr>
          <w:sz w:val="22"/>
          <w:szCs w:val="22"/>
        </w:rPr>
        <w:t>ensuring an effective, efficient and accessible justice system</w:t>
      </w:r>
    </w:p>
    <w:p w14:paraId="2DDFD148" w14:textId="77777777" w:rsidR="00CB4638" w:rsidRPr="00C6019E" w:rsidRDefault="00CB4638" w:rsidP="00CB4638">
      <w:pPr>
        <w:pStyle w:val="ListBullet"/>
        <w:rPr>
          <w:sz w:val="22"/>
          <w:szCs w:val="22"/>
        </w:rPr>
      </w:pPr>
      <w:r w:rsidRPr="00C6019E">
        <w:rPr>
          <w:sz w:val="22"/>
          <w:szCs w:val="22"/>
        </w:rPr>
        <w:t>protecting and respecting rights</w:t>
      </w:r>
    </w:p>
    <w:p w14:paraId="7E6C88D3" w14:textId="77777777" w:rsidR="00CB4638" w:rsidRPr="00C6019E" w:rsidRDefault="00CB4638" w:rsidP="00CB4638">
      <w:pPr>
        <w:pStyle w:val="ListBullet"/>
        <w:rPr>
          <w:sz w:val="22"/>
          <w:szCs w:val="22"/>
        </w:rPr>
      </w:pPr>
      <w:r w:rsidRPr="00C6019E">
        <w:rPr>
          <w:sz w:val="22"/>
          <w:szCs w:val="22"/>
        </w:rPr>
        <w:t>improving laws</w:t>
      </w:r>
    </w:p>
    <w:p w14:paraId="24CA0668" w14:textId="77777777" w:rsidR="00CB4638" w:rsidRPr="00C6019E" w:rsidRDefault="00CB4638" w:rsidP="00CB4638">
      <w:pPr>
        <w:pStyle w:val="ListBullet"/>
        <w:rPr>
          <w:sz w:val="22"/>
          <w:szCs w:val="22"/>
        </w:rPr>
      </w:pPr>
      <w:r w:rsidRPr="00C6019E">
        <w:rPr>
          <w:sz w:val="22"/>
          <w:szCs w:val="22"/>
        </w:rPr>
        <w:t>influencing positive behaviour and enforcing responsibilities</w:t>
      </w:r>
    </w:p>
    <w:p w14:paraId="75649214" w14:textId="77777777" w:rsidR="00CB4638" w:rsidRPr="00C6019E" w:rsidRDefault="00CB4638" w:rsidP="00CB4638">
      <w:pPr>
        <w:rPr>
          <w:sz w:val="22"/>
          <w:szCs w:val="22"/>
        </w:rPr>
      </w:pPr>
      <w:r w:rsidRPr="00C6019E">
        <w:rPr>
          <w:sz w:val="22"/>
          <w:szCs w:val="22"/>
        </w:rPr>
        <w:t xml:space="preserve">Visit the </w:t>
      </w:r>
      <w:hyperlink r:id="rId7" w:history="1">
        <w:r w:rsidRPr="00C6019E">
          <w:rPr>
            <w:rStyle w:val="Hyperlink"/>
            <w:sz w:val="22"/>
            <w:szCs w:val="22"/>
          </w:rPr>
          <w:t>Department of Justice website</w:t>
        </w:r>
      </w:hyperlink>
      <w:r w:rsidRPr="00C6019E">
        <w:rPr>
          <w:sz w:val="22"/>
          <w:szCs w:val="22"/>
        </w:rPr>
        <w:t xml:space="preserve"> for more information. </w:t>
      </w:r>
    </w:p>
    <w:p w14:paraId="2E45025A" w14:textId="77777777" w:rsidR="00CB4638" w:rsidRPr="0027445A" w:rsidRDefault="00CB4638" w:rsidP="00CB4638">
      <w:pPr>
        <w:pStyle w:val="Heading2"/>
      </w:pPr>
      <w:r w:rsidRPr="0027445A">
        <w:t xml:space="preserve">Working </w:t>
      </w:r>
      <w:r>
        <w:t>at Justice</w:t>
      </w:r>
    </w:p>
    <w:p w14:paraId="2877FE8E" w14:textId="77777777" w:rsidR="00CB4638" w:rsidRDefault="00CB4638" w:rsidP="00CB4638">
      <w:pPr>
        <w:pStyle w:val="Heading3"/>
      </w:pPr>
      <w:r>
        <w:t>State Service Principles and Code of Conduct</w:t>
      </w:r>
    </w:p>
    <w:p w14:paraId="1E6D487B" w14:textId="77777777" w:rsidR="00CB4638" w:rsidRPr="008702FF" w:rsidRDefault="00CB4638" w:rsidP="00CB4638">
      <w:pPr>
        <w:rPr>
          <w:rFonts w:cs="Arial"/>
          <w:sz w:val="22"/>
          <w:szCs w:val="22"/>
        </w:rPr>
      </w:pPr>
      <w:r w:rsidRPr="008702FF">
        <w:rPr>
          <w:rFonts w:cs="Arial"/>
          <w:sz w:val="22"/>
          <w:szCs w:val="22"/>
        </w:rPr>
        <w:t xml:space="preserve">Employment in the State Service is governed by the </w:t>
      </w:r>
      <w:hyperlink r:id="rId8" w:history="1">
        <w:r w:rsidRPr="00A05B92">
          <w:rPr>
            <w:rStyle w:val="Hyperlink"/>
            <w:rFonts w:cs="Arial"/>
            <w:i/>
            <w:sz w:val="22"/>
            <w:szCs w:val="22"/>
          </w:rPr>
          <w:t>State Service Act 2000</w:t>
        </w:r>
      </w:hyperlink>
      <w:r w:rsidRPr="008702FF">
        <w:rPr>
          <w:rFonts w:cs="Arial"/>
          <w:sz w:val="22"/>
          <w:szCs w:val="22"/>
        </w:rPr>
        <w:t xml:space="preserve">. Both employees and officers are required to uphold and comply with the </w:t>
      </w:r>
      <w:hyperlink r:id="rId9" w:anchor="GS7@EN" w:history="1">
        <w:r w:rsidRPr="00A05B92">
          <w:rPr>
            <w:rStyle w:val="Hyperlink"/>
            <w:rFonts w:cs="Arial"/>
            <w:sz w:val="22"/>
            <w:szCs w:val="22"/>
          </w:rPr>
          <w:t>State Service Principles (Section 7)</w:t>
        </w:r>
      </w:hyperlink>
      <w:r w:rsidRPr="008702FF">
        <w:rPr>
          <w:rFonts w:cs="Arial"/>
          <w:sz w:val="22"/>
          <w:szCs w:val="22"/>
        </w:rPr>
        <w:t xml:space="preserve"> and the </w:t>
      </w:r>
      <w:hyperlink r:id="rId10" w:anchor="GS9@EN" w:history="1">
        <w:r w:rsidRPr="00FA39A3">
          <w:rPr>
            <w:rStyle w:val="Hyperlink"/>
            <w:rFonts w:cs="Arial"/>
            <w:sz w:val="22"/>
            <w:szCs w:val="22"/>
          </w:rPr>
          <w:t>Code of Conduct (section 9)</w:t>
        </w:r>
      </w:hyperlink>
      <w:r w:rsidRPr="008702FF">
        <w:rPr>
          <w:rFonts w:cs="Arial"/>
          <w:color w:val="000000"/>
          <w:sz w:val="22"/>
          <w:szCs w:val="22"/>
        </w:rPr>
        <w:t xml:space="preserve">. </w:t>
      </w:r>
      <w:r>
        <w:rPr>
          <w:rFonts w:cs="Arial"/>
          <w:sz w:val="22"/>
          <w:szCs w:val="22"/>
        </w:rPr>
        <w:t xml:space="preserve">Officers and Employees who are found to have breached the Code of Conduct may have sanctions imposed. </w:t>
      </w:r>
    </w:p>
    <w:p w14:paraId="618267AE" w14:textId="023FA907" w:rsidR="00CB4638" w:rsidRDefault="001D20DF" w:rsidP="00CB4638">
      <w:pPr>
        <w:pStyle w:val="Heading3"/>
      </w:pPr>
      <w:r>
        <w:t>Our</w:t>
      </w:r>
      <w:r w:rsidR="00CB4638">
        <w:t xml:space="preserve"> Values </w:t>
      </w:r>
    </w:p>
    <w:p w14:paraId="62D0659C" w14:textId="77777777" w:rsidR="00CB4638" w:rsidRDefault="00CB4638" w:rsidP="00CB4638">
      <w:pPr>
        <w:rPr>
          <w:sz w:val="22"/>
        </w:rPr>
      </w:pPr>
      <w:r w:rsidRPr="00DD355D">
        <w:rPr>
          <w:sz w:val="22"/>
        </w:rPr>
        <w:t xml:space="preserve">At DoJ we </w:t>
      </w:r>
      <w:r>
        <w:rPr>
          <w:sz w:val="22"/>
        </w:rPr>
        <w:t xml:space="preserve">are a values based Agency. We aim to attract, recruit and retain people who uphold our values. </w:t>
      </w:r>
      <w:r w:rsidRPr="00DD355D">
        <w:rPr>
          <w:sz w:val="22"/>
        </w:rPr>
        <w:t>We actively work each day to support and encourage our people to uphold our values.</w:t>
      </w:r>
    </w:p>
    <w:p w14:paraId="6FD704FC" w14:textId="308D7FB9" w:rsidR="00CB4638" w:rsidRPr="00DD355D" w:rsidRDefault="003134BA" w:rsidP="00CB4638">
      <w:pPr>
        <w:rPr>
          <w:sz w:val="22"/>
        </w:rPr>
      </w:pPr>
      <w:r>
        <w:rPr>
          <w:noProof/>
          <w:sz w:val="22"/>
          <w:lang w:eastAsia="en-AU"/>
        </w:rPr>
        <w:drawing>
          <wp:inline distT="0" distB="0" distL="0" distR="0" wp14:anchorId="3F1D4F6C" wp14:editId="2FA30F21">
            <wp:extent cx="6343650" cy="411281"/>
            <wp:effectExtent l="0" t="0" r="0" b="0"/>
            <wp:docPr id="3" name="Picture 3" descr="Picture of Values logos which says We act with Integrity, Respect, Accountability and our workplaces are inclusive and collab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4836" cy="416545"/>
                    </a:xfrm>
                    <a:prstGeom prst="rect">
                      <a:avLst/>
                    </a:prstGeom>
                    <a:noFill/>
                  </pic:spPr>
                </pic:pic>
              </a:graphicData>
            </a:graphic>
          </wp:inline>
        </w:drawing>
      </w:r>
    </w:p>
    <w:p w14:paraId="26E7264B" w14:textId="77777777" w:rsidR="00CB4638" w:rsidRPr="00DD355D" w:rsidRDefault="00CB4638" w:rsidP="00CB4638">
      <w:pPr>
        <w:pStyle w:val="Heading3"/>
      </w:pPr>
      <w:r w:rsidRPr="00DD355D">
        <w:t>Safe Workplaces</w:t>
      </w:r>
    </w:p>
    <w:p w14:paraId="0CB4D0B5" w14:textId="77777777" w:rsidR="00CB4638" w:rsidRPr="0002758D" w:rsidRDefault="00CB4638" w:rsidP="00CB4638">
      <w:pPr>
        <w:rPr>
          <w:sz w:val="20"/>
          <w:szCs w:val="22"/>
        </w:rPr>
      </w:pPr>
      <w:r w:rsidRPr="0002758D">
        <w:rPr>
          <w:sz w:val="22"/>
        </w:rPr>
        <w:t xml:space="preserve">All employees are expected to contribute to maintaining safe working conditions and practices. They are expected to promote and uphold the principle of fair and equitable access to employment/promotion, personal development and training, be aware of their rights and responsibilities under the Tasmanian </w:t>
      </w:r>
      <w:hyperlink r:id="rId12" w:history="1">
        <w:r w:rsidRPr="00221011">
          <w:rPr>
            <w:rStyle w:val="Hyperlink"/>
            <w:i/>
            <w:iCs/>
            <w:sz w:val="22"/>
          </w:rPr>
          <w:t>Anti-Discrimination Act 1998</w:t>
        </w:r>
      </w:hyperlink>
      <w:r w:rsidRPr="0002758D">
        <w:rPr>
          <w:i/>
          <w:iCs/>
          <w:sz w:val="22"/>
        </w:rPr>
        <w:t xml:space="preserve"> </w:t>
      </w:r>
      <w:r w:rsidRPr="0002758D">
        <w:rPr>
          <w:sz w:val="22"/>
        </w:rPr>
        <w:t xml:space="preserve">and contribute to the elimination of workplace harassment and discrimination. </w:t>
      </w:r>
    </w:p>
    <w:p w14:paraId="0FB771D8" w14:textId="6FF43961" w:rsidR="00CB4638" w:rsidRDefault="000E0ACE" w:rsidP="00CB4638">
      <w:pPr>
        <w:rPr>
          <w:rFonts w:cs="Arial"/>
          <w:sz w:val="22"/>
          <w:szCs w:val="22"/>
        </w:rPr>
      </w:pPr>
      <w:r>
        <w:rPr>
          <w:sz w:val="22"/>
        </w:rPr>
        <w:t>We have a</w:t>
      </w:r>
      <w:r w:rsidR="00CB4638" w:rsidRPr="0002758D">
        <w:rPr>
          <w:sz w:val="22"/>
        </w:rPr>
        <w:t xml:space="preserve"> zero tolerance to violence, including violence against women and any form of family violence. We take an active role in supporting employees and their families and are committed to providing a workplace that promotes their safety and provide the flexibility to support employees to live free from violence. </w:t>
      </w:r>
    </w:p>
    <w:p w14:paraId="0B9726E4" w14:textId="77777777" w:rsidR="00CB4638" w:rsidRDefault="00CB4638" w:rsidP="00CB4638">
      <w:pPr>
        <w:rPr>
          <w:rFonts w:cs="Arial"/>
          <w:sz w:val="22"/>
          <w:szCs w:val="22"/>
        </w:rPr>
      </w:pPr>
      <w:r w:rsidRPr="008702FF">
        <w:rPr>
          <w:rFonts w:cs="Arial"/>
          <w:sz w:val="22"/>
          <w:szCs w:val="22"/>
        </w:rPr>
        <w:t>Smoking is prohibited in State Government workplaces and vehicles.</w:t>
      </w:r>
    </w:p>
    <w:p w14:paraId="40BBADE1" w14:textId="77777777" w:rsidR="00CB4638" w:rsidRDefault="00CB4638" w:rsidP="00CB4638">
      <w:pPr>
        <w:pStyle w:val="Heading3"/>
      </w:pPr>
      <w:r w:rsidRPr="00686386">
        <w:t>Health, Safety and Wellbeing</w:t>
      </w:r>
    </w:p>
    <w:p w14:paraId="7B0A5B4A" w14:textId="257BA0C5" w:rsidR="00CB4638" w:rsidRDefault="00CB4638" w:rsidP="00CB4638">
      <w:pPr>
        <w:rPr>
          <w:sz w:val="22"/>
        </w:rPr>
      </w:pPr>
      <w:r>
        <w:rPr>
          <w:sz w:val="22"/>
        </w:rPr>
        <w:t>We are</w:t>
      </w:r>
      <w:r w:rsidRPr="00B60EDD">
        <w:rPr>
          <w:sz w:val="22"/>
        </w:rPr>
        <w:t xml:space="preserve"> committed to promoting, achieving and maintaining the highest level of health, safety and wellbeing for </w:t>
      </w:r>
      <w:r>
        <w:rPr>
          <w:sz w:val="22"/>
        </w:rPr>
        <w:t>our people.</w:t>
      </w:r>
      <w:r w:rsidRPr="00B60EDD">
        <w:rPr>
          <w:sz w:val="22"/>
        </w:rPr>
        <w:t xml:space="preserve"> Every one o</w:t>
      </w:r>
      <w:r>
        <w:rPr>
          <w:sz w:val="22"/>
        </w:rPr>
        <w:t>f us is responsible for health and safety. W</w:t>
      </w:r>
      <w:r w:rsidRPr="00B60EDD">
        <w:rPr>
          <w:sz w:val="22"/>
        </w:rPr>
        <w:t xml:space="preserve">e must work safely, </w:t>
      </w:r>
      <w:r w:rsidRPr="00B60EDD">
        <w:rPr>
          <w:sz w:val="22"/>
        </w:rPr>
        <w:lastRenderedPageBreak/>
        <w:t xml:space="preserve">protect the safety of other people and think about how our </w:t>
      </w:r>
      <w:r w:rsidR="00914428">
        <w:rPr>
          <w:sz w:val="22"/>
        </w:rPr>
        <w:t>actions affect</w:t>
      </w:r>
      <w:r w:rsidRPr="00B60EDD">
        <w:rPr>
          <w:sz w:val="22"/>
        </w:rPr>
        <w:t xml:space="preserve"> the safety and wellbeing of others</w:t>
      </w:r>
      <w:r w:rsidR="00914428">
        <w:rPr>
          <w:sz w:val="22"/>
        </w:rPr>
        <w:t xml:space="preserve"> in the workplace</w:t>
      </w:r>
      <w:r w:rsidRPr="00B60EDD">
        <w:rPr>
          <w:sz w:val="22"/>
        </w:rPr>
        <w:t>.</w:t>
      </w:r>
    </w:p>
    <w:p w14:paraId="575D1BD2" w14:textId="77777777" w:rsidR="00CB4638" w:rsidRDefault="00CB4638" w:rsidP="00CB4638">
      <w:pPr>
        <w:rPr>
          <w:sz w:val="22"/>
        </w:rPr>
      </w:pPr>
      <w:r>
        <w:rPr>
          <w:sz w:val="22"/>
        </w:rPr>
        <w:t xml:space="preserve">All employees are expected to participate in maintaining safe working conditions and practices in accordance with the </w:t>
      </w:r>
      <w:hyperlink r:id="rId13" w:history="1">
        <w:r w:rsidRPr="00221011">
          <w:rPr>
            <w:rStyle w:val="Hyperlink"/>
            <w:i/>
            <w:sz w:val="22"/>
          </w:rPr>
          <w:t>Work Health and Safety Act 2012</w:t>
        </w:r>
      </w:hyperlink>
      <w:r>
        <w:rPr>
          <w:sz w:val="22"/>
        </w:rPr>
        <w:t xml:space="preserve">. </w:t>
      </w:r>
    </w:p>
    <w:p w14:paraId="2A011D88" w14:textId="438B01DF" w:rsidR="00CB4638" w:rsidRPr="00D32FFF" w:rsidRDefault="00CB4638" w:rsidP="00CB4638">
      <w:pPr>
        <w:rPr>
          <w:sz w:val="22"/>
        </w:rPr>
      </w:pPr>
      <w:r>
        <w:rPr>
          <w:sz w:val="22"/>
        </w:rPr>
        <w:t xml:space="preserve">We recognise the benefits of a healthy workplace. Our Wellbeing Program has been implemented to improve and support the wellbeing of our people. The </w:t>
      </w:r>
      <w:r w:rsidR="000C6480">
        <w:rPr>
          <w:sz w:val="22"/>
        </w:rPr>
        <w:t>program</w:t>
      </w:r>
      <w:r>
        <w:rPr>
          <w:sz w:val="22"/>
        </w:rPr>
        <w:t xml:space="preserve"> consists of a range of initiatives and activities which support wellbeing, including: health checks, online health assessments, flu vaccinations, step challenges and training.</w:t>
      </w:r>
    </w:p>
    <w:p w14:paraId="07D6C6DF" w14:textId="77777777" w:rsidR="00CB4638" w:rsidRDefault="00CB4638" w:rsidP="00CB4638">
      <w:pPr>
        <w:pStyle w:val="Heading3"/>
      </w:pPr>
      <w:r>
        <w:t>Diversity and Inclusion</w:t>
      </w:r>
    </w:p>
    <w:p w14:paraId="3A647FA3" w14:textId="7A532511" w:rsidR="009864DD" w:rsidRDefault="000E0ACE" w:rsidP="00CB4638">
      <w:pPr>
        <w:rPr>
          <w:sz w:val="22"/>
        </w:rPr>
      </w:pPr>
      <w:r>
        <w:rPr>
          <w:sz w:val="22"/>
        </w:rPr>
        <w:t>We are</w:t>
      </w:r>
      <w:r w:rsidR="00CB4638" w:rsidRPr="007B31F3">
        <w:rPr>
          <w:sz w:val="22"/>
        </w:rPr>
        <w:t xml:space="preserve"> committed to providing a diverse and inclusive workplace, enabling our people to reach their full potential. We recognise the strengths that diversity brings to both our work teams as well as to the Tasmanian community in our provision of services. </w:t>
      </w:r>
    </w:p>
    <w:p w14:paraId="55981208" w14:textId="5935D61B" w:rsidR="00CB4638" w:rsidRPr="00D4095A" w:rsidRDefault="000E0ACE" w:rsidP="00CB4638">
      <w:pPr>
        <w:rPr>
          <w:b/>
          <w:bCs/>
          <w:sz w:val="22"/>
        </w:rPr>
      </w:pPr>
      <w:r>
        <w:rPr>
          <w:sz w:val="22"/>
        </w:rPr>
        <w:t>Our Agency offers</w:t>
      </w:r>
      <w:r w:rsidR="00CB4638" w:rsidRPr="007B31F3">
        <w:rPr>
          <w:sz w:val="22"/>
        </w:rPr>
        <w:t xml:space="preserve"> inclusive and flexible work options including workplace adjustments to enable every employee to fully engage and excel in their role.</w:t>
      </w:r>
    </w:p>
    <w:p w14:paraId="45F89F83" w14:textId="77777777" w:rsidR="00CB4638" w:rsidRDefault="00CB4638" w:rsidP="00CB4638">
      <w:pPr>
        <w:pStyle w:val="Heading3"/>
      </w:pPr>
      <w:r>
        <w:t>Developing our People</w:t>
      </w:r>
    </w:p>
    <w:p w14:paraId="6E0C3FED" w14:textId="780E6709" w:rsidR="00CB4638" w:rsidRDefault="00CB4638" w:rsidP="00CB4638">
      <w:r>
        <w:rPr>
          <w:rFonts w:cs="Arial"/>
          <w:sz w:val="22"/>
          <w:szCs w:val="22"/>
        </w:rPr>
        <w:t>Our people are expected to participate actively and constructively in perform</w:t>
      </w:r>
      <w:r w:rsidR="00851DE4">
        <w:rPr>
          <w:rFonts w:cs="Arial"/>
          <w:sz w:val="22"/>
          <w:szCs w:val="22"/>
        </w:rPr>
        <w:t>ance development conversations.</w:t>
      </w:r>
      <w:r w:rsidR="00851DE4" w:rsidRPr="00851DE4">
        <w:rPr>
          <w:rFonts w:cs="Arial"/>
          <w:sz w:val="22"/>
          <w:szCs w:val="22"/>
        </w:rPr>
        <w:t xml:space="preserve"> </w:t>
      </w:r>
      <w:r w:rsidR="00851DE4">
        <w:rPr>
          <w:rFonts w:cs="Arial"/>
          <w:sz w:val="22"/>
          <w:szCs w:val="22"/>
        </w:rPr>
        <w:t>Both managers and employees have a responsibility to ensure they engage in regular performance development discussions. We recognise that performance development conversations are integral to an engaged and high performing workforce and where all our people have an opportunity to utilise their strengths in contributing to agency objectives and continuously improving and developing their skills, knowledge and experience.</w:t>
      </w:r>
    </w:p>
    <w:p w14:paraId="1562FD0B" w14:textId="4C6DC9E5" w:rsidR="00581963" w:rsidRPr="00CE3850" w:rsidRDefault="00581963" w:rsidP="00581963">
      <w:pPr>
        <w:pStyle w:val="Heading2"/>
      </w:pPr>
      <w:r w:rsidRPr="00CE3850">
        <w:t>Division</w:t>
      </w:r>
      <w:r>
        <w:t xml:space="preserve">al Information – </w:t>
      </w:r>
      <w:r w:rsidR="00B63E31">
        <w:t>Tasmania Prison Service</w:t>
      </w:r>
    </w:p>
    <w:p w14:paraId="0F8CEC51" w14:textId="77777777" w:rsidR="00B63E31" w:rsidRPr="00B63E31" w:rsidRDefault="00B63E31" w:rsidP="00B63E31">
      <w:pPr>
        <w:pStyle w:val="ListParagraph"/>
        <w:numPr>
          <w:ilvl w:val="0"/>
          <w:numId w:val="6"/>
        </w:numPr>
        <w:spacing w:before="50" w:after="50"/>
        <w:jc w:val="both"/>
        <w:rPr>
          <w:rFonts w:ascii="Gill Sans MT" w:eastAsia="Times New Roman" w:hAnsi="Gill Sans MT" w:cs="Arial"/>
        </w:rPr>
      </w:pPr>
      <w:r w:rsidRPr="00B63E31">
        <w:rPr>
          <w:rFonts w:ascii="Gill Sans MT" w:eastAsia="Times New Roman" w:hAnsi="Gill Sans MT" w:cs="Arial"/>
        </w:rPr>
        <w:t>The Mission of the Tasmania Prison Service is to contribute to a safer Tasmania. The objective is to provide safe and constructive environments for employees and prisoners. We do this by:</w:t>
      </w:r>
    </w:p>
    <w:p w14:paraId="2C528D82" w14:textId="77777777" w:rsidR="00B63E31" w:rsidRPr="00B63E31" w:rsidRDefault="00B63E31" w:rsidP="00B63E31">
      <w:pPr>
        <w:pStyle w:val="ListParagraph"/>
        <w:numPr>
          <w:ilvl w:val="1"/>
          <w:numId w:val="6"/>
        </w:numPr>
        <w:spacing w:before="50" w:after="50"/>
        <w:jc w:val="both"/>
        <w:rPr>
          <w:rFonts w:ascii="Gill Sans MT" w:eastAsia="Times New Roman" w:hAnsi="Gill Sans MT" w:cs="Arial"/>
        </w:rPr>
      </w:pPr>
      <w:r w:rsidRPr="00B63E31">
        <w:rPr>
          <w:rFonts w:ascii="Gill Sans MT" w:eastAsia="Times New Roman" w:hAnsi="Gill Sans MT" w:cs="Arial"/>
        </w:rPr>
        <w:t>Engaging the right people and empowering them to succeed</w:t>
      </w:r>
    </w:p>
    <w:p w14:paraId="760B82E6" w14:textId="77777777" w:rsidR="00B63E31" w:rsidRPr="00B63E31" w:rsidRDefault="00B63E31" w:rsidP="00B63E31">
      <w:pPr>
        <w:pStyle w:val="ListParagraph"/>
        <w:numPr>
          <w:ilvl w:val="1"/>
          <w:numId w:val="6"/>
        </w:numPr>
        <w:spacing w:before="50" w:after="50"/>
        <w:jc w:val="both"/>
        <w:rPr>
          <w:rFonts w:ascii="Gill Sans MT" w:eastAsia="Times New Roman" w:hAnsi="Gill Sans MT" w:cs="Arial"/>
        </w:rPr>
      </w:pPr>
      <w:r w:rsidRPr="00B63E31">
        <w:rPr>
          <w:rFonts w:ascii="Gill Sans MT" w:eastAsia="Times New Roman" w:hAnsi="Gill Sans MT" w:cs="Arial"/>
        </w:rPr>
        <w:t>Developing a healthy prison environment</w:t>
      </w:r>
    </w:p>
    <w:p w14:paraId="32A9A71E" w14:textId="77777777" w:rsidR="00B63E31" w:rsidRPr="00B63E31" w:rsidRDefault="00B63E31" w:rsidP="00B63E31">
      <w:pPr>
        <w:pStyle w:val="ListParagraph"/>
        <w:numPr>
          <w:ilvl w:val="1"/>
          <w:numId w:val="6"/>
        </w:numPr>
        <w:spacing w:before="50" w:after="50"/>
        <w:jc w:val="both"/>
        <w:rPr>
          <w:rFonts w:ascii="Gill Sans MT" w:eastAsia="Times New Roman" w:hAnsi="Gill Sans MT" w:cs="Arial"/>
        </w:rPr>
      </w:pPr>
      <w:r w:rsidRPr="00B63E31">
        <w:rPr>
          <w:rFonts w:ascii="Gill Sans MT" w:eastAsia="Times New Roman" w:hAnsi="Gill Sans MT" w:cs="Arial"/>
        </w:rPr>
        <w:t>Equipping our people with the resources they need to do their jobs</w:t>
      </w:r>
    </w:p>
    <w:p w14:paraId="317D0397" w14:textId="77777777" w:rsidR="00B63E31" w:rsidRPr="00B63E31" w:rsidRDefault="00B63E31" w:rsidP="00B63E31">
      <w:pPr>
        <w:pStyle w:val="ListParagraph"/>
        <w:numPr>
          <w:ilvl w:val="1"/>
          <w:numId w:val="6"/>
        </w:numPr>
        <w:spacing w:before="50" w:after="50"/>
        <w:jc w:val="both"/>
        <w:rPr>
          <w:rFonts w:ascii="Gill Sans MT" w:eastAsia="Times New Roman" w:hAnsi="Gill Sans MT" w:cs="Arial"/>
        </w:rPr>
      </w:pPr>
      <w:r w:rsidRPr="00B63E31">
        <w:rPr>
          <w:rFonts w:ascii="Gill Sans MT" w:eastAsia="Times New Roman" w:hAnsi="Gill Sans MT" w:cs="Arial"/>
        </w:rPr>
        <w:t>Ensuring effective community engagement</w:t>
      </w:r>
    </w:p>
    <w:p w14:paraId="23FF7B98" w14:textId="77777777" w:rsidR="00B63E31" w:rsidRPr="00B63E31" w:rsidRDefault="00B63E31" w:rsidP="00B63E31">
      <w:pPr>
        <w:pStyle w:val="ListParagraph"/>
        <w:numPr>
          <w:ilvl w:val="1"/>
          <w:numId w:val="6"/>
        </w:numPr>
        <w:spacing w:before="50" w:after="50"/>
        <w:jc w:val="both"/>
        <w:rPr>
          <w:rFonts w:ascii="Gill Sans MT" w:eastAsia="Times New Roman" w:hAnsi="Gill Sans MT" w:cs="Arial"/>
        </w:rPr>
      </w:pPr>
      <w:r w:rsidRPr="00B63E31">
        <w:rPr>
          <w:rFonts w:ascii="Gill Sans MT" w:eastAsia="Times New Roman" w:hAnsi="Gill Sans MT" w:cs="Arial"/>
        </w:rPr>
        <w:t xml:space="preserve">Supporting rehabilitation and reintegration </w:t>
      </w:r>
    </w:p>
    <w:p w14:paraId="1B35317D" w14:textId="103107AD" w:rsidR="00B63E31" w:rsidRPr="00B63E31" w:rsidRDefault="00B63E31" w:rsidP="00B63E31">
      <w:pPr>
        <w:pStyle w:val="ListParagraph"/>
        <w:numPr>
          <w:ilvl w:val="0"/>
          <w:numId w:val="6"/>
        </w:numPr>
        <w:spacing w:before="80" w:after="80"/>
        <w:jc w:val="both"/>
        <w:rPr>
          <w:rFonts w:ascii="Gill Sans MT" w:eastAsia="Times New Roman" w:hAnsi="Gill Sans MT" w:cs="Arial"/>
        </w:rPr>
      </w:pPr>
      <w:r w:rsidRPr="00B63E31">
        <w:rPr>
          <w:rFonts w:ascii="Gill Sans MT" w:eastAsia="Times New Roman" w:hAnsi="Gill Sans MT" w:cs="Arial"/>
        </w:rPr>
        <w:t xml:space="preserve">More information about the Tasmania Prison Service and the operations of the </w:t>
      </w:r>
      <w:r>
        <w:rPr>
          <w:rFonts w:ascii="Gill Sans MT" w:eastAsia="Times New Roman" w:hAnsi="Gill Sans MT" w:cs="Arial"/>
        </w:rPr>
        <w:t xml:space="preserve">department are available on its </w:t>
      </w:r>
      <w:hyperlink r:id="rId14" w:history="1">
        <w:r w:rsidRPr="00B63E31">
          <w:rPr>
            <w:rStyle w:val="Hyperlink"/>
            <w:rFonts w:ascii="Gill Sans MT" w:eastAsia="Times New Roman" w:hAnsi="Gill Sans MT" w:cs="Arial"/>
          </w:rPr>
          <w:t>website</w:t>
        </w:r>
      </w:hyperlink>
      <w:bookmarkStart w:id="0" w:name="_GoBack"/>
      <w:bookmarkEnd w:id="0"/>
      <w:r>
        <w:rPr>
          <w:rFonts w:ascii="Gill Sans MT" w:eastAsia="Times New Roman" w:hAnsi="Gill Sans MT" w:cs="Arial"/>
        </w:rPr>
        <w:t>.</w:t>
      </w:r>
    </w:p>
    <w:p w14:paraId="02200056" w14:textId="77777777" w:rsidR="00D3270B" w:rsidRDefault="00D3270B"/>
    <w:sectPr w:rsidR="00D3270B" w:rsidSect="00FE28E6">
      <w:headerReference w:type="even" r:id="rId15"/>
      <w:headerReference w:type="default" r:id="rId16"/>
      <w:footerReference w:type="even" r:id="rId17"/>
      <w:footerReference w:type="default" r:id="rId18"/>
      <w:headerReference w:type="first" r:id="rId19"/>
      <w:footerReference w:type="first" r:id="rId20"/>
      <w:pgSz w:w="12240" w:h="15840" w:code="1"/>
      <w:pgMar w:top="1440" w:right="1418" w:bottom="1440"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14B86" w14:textId="77777777" w:rsidR="00DB7282" w:rsidRDefault="00DB7282">
      <w:pPr>
        <w:spacing w:after="0"/>
      </w:pPr>
      <w:r>
        <w:separator/>
      </w:r>
    </w:p>
  </w:endnote>
  <w:endnote w:type="continuationSeparator" w:id="0">
    <w:p w14:paraId="2C64DDCB" w14:textId="77777777" w:rsidR="00DB7282" w:rsidRDefault="00DB72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8CD98" w14:textId="77777777" w:rsidR="00851DE4" w:rsidRDefault="00851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608ED" w14:textId="77777777" w:rsidR="00851DE4" w:rsidRDefault="00851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F7123" w14:textId="77777777" w:rsidR="00851DE4" w:rsidRDefault="00851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467DC" w14:textId="77777777" w:rsidR="00DB7282" w:rsidRDefault="00DB7282">
      <w:pPr>
        <w:spacing w:after="0"/>
      </w:pPr>
      <w:r>
        <w:separator/>
      </w:r>
    </w:p>
  </w:footnote>
  <w:footnote w:type="continuationSeparator" w:id="0">
    <w:p w14:paraId="64B7D156" w14:textId="77777777" w:rsidR="00DB7282" w:rsidRDefault="00DB72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35C08" w14:textId="77777777" w:rsidR="00851DE4" w:rsidRDefault="00851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18765" w14:textId="4213DC87" w:rsidR="00851DE4" w:rsidRDefault="00851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463B" w14:textId="40CEE764" w:rsidR="00B00073" w:rsidRPr="00FE28E6" w:rsidRDefault="00CB4638" w:rsidP="00FE28E6">
    <w:pPr>
      <w:pStyle w:val="Title"/>
      <w:rPr>
        <w:sz w:val="48"/>
      </w:rPr>
    </w:pPr>
    <w:r>
      <w:rPr>
        <w:noProof/>
        <w:lang w:eastAsia="en-AU"/>
      </w:rPr>
      <w:drawing>
        <wp:anchor distT="0" distB="0" distL="114300" distR="114300" simplePos="0" relativeHeight="251657216" behindDoc="0" locked="0" layoutInCell="1" allowOverlap="1" wp14:anchorId="45B0DDBF" wp14:editId="2D37C3F3">
          <wp:simplePos x="0" y="0"/>
          <wp:positionH relativeFrom="column">
            <wp:posOffset>5105400</wp:posOffset>
          </wp:positionH>
          <wp:positionV relativeFrom="paragraph">
            <wp:posOffset>-231140</wp:posOffset>
          </wp:positionV>
          <wp:extent cx="904240" cy="904240"/>
          <wp:effectExtent l="0" t="0" r="0" b="0"/>
          <wp:wrapSquare wrapText="bothSides"/>
          <wp:docPr id="2" name="Picture 2"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title="Tasmanian Governmen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31D4">
      <w:rPr>
        <w:sz w:val="48"/>
      </w:rPr>
      <w:t>Department of Justice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F2809"/>
    <w:multiLevelType w:val="hybridMultilevel"/>
    <w:tmpl w:val="2FF4312A"/>
    <w:lvl w:ilvl="0" w:tplc="F37EEC98">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5C509F"/>
    <w:multiLevelType w:val="hybridMultilevel"/>
    <w:tmpl w:val="6E7C0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9C3AA1"/>
    <w:multiLevelType w:val="hybridMultilevel"/>
    <w:tmpl w:val="E9CCF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742AF2"/>
    <w:multiLevelType w:val="hybridMultilevel"/>
    <w:tmpl w:val="65BC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01071A"/>
    <w:multiLevelType w:val="hybridMultilevel"/>
    <w:tmpl w:val="41BE6F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739567C1"/>
    <w:multiLevelType w:val="hybridMultilevel"/>
    <w:tmpl w:val="28A21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38"/>
    <w:rsid w:val="000C6480"/>
    <w:rsid w:val="000E0ACE"/>
    <w:rsid w:val="001D20DF"/>
    <w:rsid w:val="003134BA"/>
    <w:rsid w:val="00361E32"/>
    <w:rsid w:val="004C7202"/>
    <w:rsid w:val="00581963"/>
    <w:rsid w:val="005F003E"/>
    <w:rsid w:val="006943B4"/>
    <w:rsid w:val="006F1DDF"/>
    <w:rsid w:val="007D5603"/>
    <w:rsid w:val="00851DE4"/>
    <w:rsid w:val="00912A85"/>
    <w:rsid w:val="00914428"/>
    <w:rsid w:val="009864DD"/>
    <w:rsid w:val="00A56381"/>
    <w:rsid w:val="00A71F01"/>
    <w:rsid w:val="00B63E31"/>
    <w:rsid w:val="00BA508E"/>
    <w:rsid w:val="00BC62AA"/>
    <w:rsid w:val="00BD2B3D"/>
    <w:rsid w:val="00C541A4"/>
    <w:rsid w:val="00CB4638"/>
    <w:rsid w:val="00CE3B8D"/>
    <w:rsid w:val="00D3270B"/>
    <w:rsid w:val="00DB7282"/>
    <w:rsid w:val="00F34837"/>
    <w:rsid w:val="00F36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59CD5B"/>
  <w15:chartTrackingRefBased/>
  <w15:docId w15:val="{B6449A2C-65B9-425F-BE0F-E6E199844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38"/>
    <w:pPr>
      <w:spacing w:after="120" w:line="240" w:lineRule="auto"/>
    </w:pPr>
    <w:rPr>
      <w:rFonts w:ascii="Gill Sans MT" w:eastAsia="Times New Roman" w:hAnsi="Gill Sans MT" w:cs="Times New Roman"/>
      <w:sz w:val="24"/>
      <w:szCs w:val="24"/>
    </w:rPr>
  </w:style>
  <w:style w:type="paragraph" w:styleId="Heading1">
    <w:name w:val="heading 1"/>
    <w:basedOn w:val="Normal"/>
    <w:next w:val="Normal"/>
    <w:link w:val="Heading1Char"/>
    <w:qFormat/>
    <w:rsid w:val="00CB4638"/>
    <w:pPr>
      <w:keepNext/>
      <w:spacing w:before="120" w:after="360"/>
      <w:jc w:val="center"/>
      <w:outlineLvl w:val="0"/>
    </w:pPr>
    <w:rPr>
      <w:b/>
      <w:sz w:val="32"/>
      <w:szCs w:val="20"/>
    </w:rPr>
  </w:style>
  <w:style w:type="paragraph" w:styleId="Heading2">
    <w:name w:val="heading 2"/>
    <w:basedOn w:val="Normal"/>
    <w:next w:val="Normal"/>
    <w:link w:val="Heading2Char"/>
    <w:qFormat/>
    <w:rsid w:val="00CB4638"/>
    <w:pPr>
      <w:keepNext/>
      <w:spacing w:before="240"/>
      <w:outlineLvl w:val="1"/>
    </w:pPr>
    <w:rPr>
      <w:rFonts w:cs="Arial"/>
      <w:bCs/>
      <w:sz w:val="28"/>
    </w:rPr>
  </w:style>
  <w:style w:type="paragraph" w:styleId="Heading3">
    <w:name w:val="heading 3"/>
    <w:basedOn w:val="Normal"/>
    <w:next w:val="Normal"/>
    <w:link w:val="Heading3Char"/>
    <w:unhideWhenUsed/>
    <w:qFormat/>
    <w:rsid w:val="00CB4638"/>
    <w:pPr>
      <w:keepNext/>
      <w:keepLines/>
      <w:spacing w:before="120"/>
      <w:outlineLvl w:val="2"/>
    </w:pPr>
    <w:rPr>
      <w:b/>
      <w:bCs/>
      <w:color w:val="1F497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4638"/>
    <w:rPr>
      <w:rFonts w:ascii="Gill Sans MT" w:eastAsia="Times New Roman" w:hAnsi="Gill Sans MT" w:cs="Times New Roman"/>
      <w:b/>
      <w:sz w:val="32"/>
      <w:szCs w:val="20"/>
    </w:rPr>
  </w:style>
  <w:style w:type="character" w:customStyle="1" w:styleId="Heading2Char">
    <w:name w:val="Heading 2 Char"/>
    <w:basedOn w:val="DefaultParagraphFont"/>
    <w:link w:val="Heading2"/>
    <w:rsid w:val="00CB4638"/>
    <w:rPr>
      <w:rFonts w:ascii="Gill Sans MT" w:eastAsia="Times New Roman" w:hAnsi="Gill Sans MT" w:cs="Arial"/>
      <w:bCs/>
      <w:sz w:val="28"/>
      <w:szCs w:val="24"/>
    </w:rPr>
  </w:style>
  <w:style w:type="character" w:customStyle="1" w:styleId="Heading3Char">
    <w:name w:val="Heading 3 Char"/>
    <w:basedOn w:val="DefaultParagraphFont"/>
    <w:link w:val="Heading3"/>
    <w:rsid w:val="00CB4638"/>
    <w:rPr>
      <w:rFonts w:ascii="Gill Sans MT" w:eastAsia="Times New Roman" w:hAnsi="Gill Sans MT" w:cs="Times New Roman"/>
      <w:b/>
      <w:bCs/>
      <w:color w:val="1F497D"/>
      <w:sz w:val="24"/>
      <w:szCs w:val="24"/>
    </w:rPr>
  </w:style>
  <w:style w:type="paragraph" w:styleId="Title">
    <w:name w:val="Title"/>
    <w:basedOn w:val="Normal"/>
    <w:link w:val="TitleChar"/>
    <w:qFormat/>
    <w:rsid w:val="00CB4638"/>
    <w:pPr>
      <w:spacing w:before="240" w:after="360"/>
    </w:pPr>
    <w:rPr>
      <w:sz w:val="40"/>
      <w:szCs w:val="20"/>
    </w:rPr>
  </w:style>
  <w:style w:type="character" w:customStyle="1" w:styleId="TitleChar">
    <w:name w:val="Title Char"/>
    <w:basedOn w:val="DefaultParagraphFont"/>
    <w:link w:val="Title"/>
    <w:rsid w:val="00CB4638"/>
    <w:rPr>
      <w:rFonts w:ascii="Gill Sans MT" w:eastAsia="Times New Roman" w:hAnsi="Gill Sans MT" w:cs="Times New Roman"/>
      <w:sz w:val="40"/>
      <w:szCs w:val="20"/>
    </w:rPr>
  </w:style>
  <w:style w:type="character" w:styleId="Hyperlink">
    <w:name w:val="Hyperlink"/>
    <w:rsid w:val="00CB4638"/>
    <w:rPr>
      <w:color w:val="0000FF"/>
      <w:u w:val="single"/>
    </w:rPr>
  </w:style>
  <w:style w:type="paragraph" w:styleId="ListBullet">
    <w:name w:val="List Bullet"/>
    <w:basedOn w:val="Normal"/>
    <w:autoRedefine/>
    <w:qFormat/>
    <w:rsid w:val="00CB4638"/>
    <w:pPr>
      <w:numPr>
        <w:numId w:val="1"/>
      </w:numPr>
      <w:spacing w:after="60"/>
      <w:ind w:left="641" w:hanging="357"/>
    </w:pPr>
    <w:rPr>
      <w:rFonts w:cs="Arial"/>
      <w:szCs w:val="20"/>
    </w:rPr>
  </w:style>
  <w:style w:type="character" w:styleId="CommentReference">
    <w:name w:val="annotation reference"/>
    <w:rsid w:val="00CB4638"/>
    <w:rPr>
      <w:sz w:val="16"/>
      <w:szCs w:val="16"/>
    </w:rPr>
  </w:style>
  <w:style w:type="paragraph" w:styleId="CommentText">
    <w:name w:val="annotation text"/>
    <w:basedOn w:val="Normal"/>
    <w:link w:val="CommentTextChar"/>
    <w:rsid w:val="00CB4638"/>
    <w:rPr>
      <w:sz w:val="20"/>
      <w:szCs w:val="20"/>
    </w:rPr>
  </w:style>
  <w:style w:type="character" w:customStyle="1" w:styleId="CommentTextChar">
    <w:name w:val="Comment Text Char"/>
    <w:basedOn w:val="DefaultParagraphFont"/>
    <w:link w:val="CommentText"/>
    <w:rsid w:val="00CB4638"/>
    <w:rPr>
      <w:rFonts w:ascii="Gill Sans MT" w:eastAsia="Times New Roman" w:hAnsi="Gill Sans MT" w:cs="Times New Roman"/>
      <w:sz w:val="20"/>
      <w:szCs w:val="20"/>
    </w:rPr>
  </w:style>
  <w:style w:type="paragraph" w:styleId="BalloonText">
    <w:name w:val="Balloon Text"/>
    <w:basedOn w:val="Normal"/>
    <w:link w:val="BalloonTextChar"/>
    <w:uiPriority w:val="99"/>
    <w:semiHidden/>
    <w:unhideWhenUsed/>
    <w:rsid w:val="00CB463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63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5F003E"/>
    <w:rPr>
      <w:b/>
      <w:bCs/>
    </w:rPr>
  </w:style>
  <w:style w:type="character" w:customStyle="1" w:styleId="CommentSubjectChar">
    <w:name w:val="Comment Subject Char"/>
    <w:basedOn w:val="CommentTextChar"/>
    <w:link w:val="CommentSubject"/>
    <w:uiPriority w:val="99"/>
    <w:semiHidden/>
    <w:rsid w:val="005F003E"/>
    <w:rPr>
      <w:rFonts w:ascii="Gill Sans MT" w:eastAsia="Times New Roman" w:hAnsi="Gill Sans MT" w:cs="Times New Roman"/>
      <w:b/>
      <w:bCs/>
      <w:sz w:val="20"/>
      <w:szCs w:val="20"/>
    </w:rPr>
  </w:style>
  <w:style w:type="paragraph" w:styleId="Header">
    <w:name w:val="header"/>
    <w:basedOn w:val="Normal"/>
    <w:link w:val="HeaderChar"/>
    <w:uiPriority w:val="99"/>
    <w:unhideWhenUsed/>
    <w:rsid w:val="00851DE4"/>
    <w:pPr>
      <w:tabs>
        <w:tab w:val="center" w:pos="4513"/>
        <w:tab w:val="right" w:pos="9026"/>
      </w:tabs>
      <w:spacing w:after="0"/>
    </w:pPr>
  </w:style>
  <w:style w:type="character" w:customStyle="1" w:styleId="HeaderChar">
    <w:name w:val="Header Char"/>
    <w:basedOn w:val="DefaultParagraphFont"/>
    <w:link w:val="Header"/>
    <w:uiPriority w:val="99"/>
    <w:rsid w:val="00851DE4"/>
    <w:rPr>
      <w:rFonts w:ascii="Gill Sans MT" w:eastAsia="Times New Roman" w:hAnsi="Gill Sans MT" w:cs="Times New Roman"/>
      <w:sz w:val="24"/>
      <w:szCs w:val="24"/>
    </w:rPr>
  </w:style>
  <w:style w:type="paragraph" w:styleId="Footer">
    <w:name w:val="footer"/>
    <w:basedOn w:val="Normal"/>
    <w:link w:val="FooterChar"/>
    <w:uiPriority w:val="99"/>
    <w:unhideWhenUsed/>
    <w:rsid w:val="00851DE4"/>
    <w:pPr>
      <w:tabs>
        <w:tab w:val="center" w:pos="4513"/>
        <w:tab w:val="right" w:pos="9026"/>
      </w:tabs>
      <w:spacing w:after="0"/>
    </w:pPr>
  </w:style>
  <w:style w:type="character" w:customStyle="1" w:styleId="FooterChar">
    <w:name w:val="Footer Char"/>
    <w:basedOn w:val="DefaultParagraphFont"/>
    <w:link w:val="Footer"/>
    <w:uiPriority w:val="99"/>
    <w:rsid w:val="00851DE4"/>
    <w:rPr>
      <w:rFonts w:ascii="Gill Sans MT" w:eastAsia="Times New Roman" w:hAnsi="Gill Sans MT" w:cs="Times New Roman"/>
      <w:sz w:val="24"/>
      <w:szCs w:val="24"/>
    </w:rPr>
  </w:style>
  <w:style w:type="paragraph" w:styleId="ListParagraph">
    <w:name w:val="List Paragraph"/>
    <w:basedOn w:val="Normal"/>
    <w:uiPriority w:val="34"/>
    <w:qFormat/>
    <w:rsid w:val="00B63E31"/>
    <w:pPr>
      <w:spacing w:after="0"/>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tas.gov.au/view/html/inforce/current/act-2000-085" TargetMode="External"/><Relationship Id="rId13" Type="http://schemas.openxmlformats.org/officeDocument/2006/relationships/hyperlink" Target="https://www.legislation.tas.gov.au/view/whole/html/inforce/current/act-2012-00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ustice.tas.gov.au" TargetMode="External"/><Relationship Id="rId12" Type="http://schemas.openxmlformats.org/officeDocument/2006/relationships/hyperlink" Target="https://www.legislation.tas.gov.au/view/whole/html/inforce/current/act-1998-046"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legislation.tas.gov.au/view/html/inforce/current/act-2000-085"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legislation.tas.gov.au/view/html/inforce/current/act-2000-085" TargetMode="External"/><Relationship Id="rId14" Type="http://schemas.openxmlformats.org/officeDocument/2006/relationships/hyperlink" Target="http://www.justice.tas.gov.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Beven, Grace</dc:creator>
  <cp:keywords/>
  <dc:description/>
  <cp:lastModifiedBy>Copelin, Shannon</cp:lastModifiedBy>
  <cp:revision>2</cp:revision>
  <dcterms:created xsi:type="dcterms:W3CDTF">2021-06-28T04:31:00Z</dcterms:created>
  <dcterms:modified xsi:type="dcterms:W3CDTF">2021-06-28T04:31:00Z</dcterms:modified>
</cp:coreProperties>
</file>