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9"/>
        <w:gridCol w:w="1292"/>
        <w:gridCol w:w="4204"/>
      </w:tblGrid>
      <w:tr w:rsidR="0001592E" w:rsidRPr="0001592E" w:rsidTr="003F1715">
        <w:tc>
          <w:tcPr>
            <w:tcW w:w="4699" w:type="dxa"/>
            <w:shd w:val="clear" w:color="auto" w:fill="00428B"/>
            <w:vAlign w:val="bottom"/>
          </w:tcPr>
          <w:p w:rsidR="00F3361C" w:rsidRPr="0001592E" w:rsidRDefault="00F3361C" w:rsidP="00946F5F">
            <w:pPr>
              <w:spacing w:before="120"/>
              <w:rPr>
                <w:b/>
                <w:szCs w:val="20"/>
              </w:rPr>
            </w:pPr>
            <w:bookmarkStart w:id="0" w:name="_GoBack"/>
            <w:bookmarkEnd w:id="0"/>
            <w:r w:rsidRPr="0001592E">
              <w:rPr>
                <w:b/>
                <w:szCs w:val="20"/>
              </w:rPr>
              <w:t>REPORTS TO:</w:t>
            </w:r>
          </w:p>
        </w:tc>
        <w:tc>
          <w:tcPr>
            <w:tcW w:w="5496" w:type="dxa"/>
            <w:gridSpan w:val="2"/>
            <w:shd w:val="clear" w:color="auto" w:fill="00428B"/>
            <w:vAlign w:val="bottom"/>
          </w:tcPr>
          <w:p w:rsidR="00F3361C" w:rsidRPr="0001592E" w:rsidRDefault="00F3361C" w:rsidP="00946F5F">
            <w:pPr>
              <w:spacing w:before="120"/>
              <w:rPr>
                <w:b/>
                <w:szCs w:val="20"/>
              </w:rPr>
            </w:pPr>
            <w:r w:rsidRPr="0001592E">
              <w:rPr>
                <w:b/>
                <w:szCs w:val="20"/>
              </w:rPr>
              <w:t>DIRECT REPORTS</w:t>
            </w:r>
            <w:r w:rsidR="0059345D" w:rsidRPr="0001592E">
              <w:rPr>
                <w:b/>
                <w:szCs w:val="20"/>
              </w:rPr>
              <w:t xml:space="preserve"> AND TEAM SIZE</w:t>
            </w:r>
            <w:r w:rsidRPr="0001592E">
              <w:rPr>
                <w:b/>
                <w:szCs w:val="20"/>
              </w:rPr>
              <w:t>:</w:t>
            </w:r>
          </w:p>
        </w:tc>
      </w:tr>
      <w:tr w:rsidR="0001592E" w:rsidRPr="0001592E" w:rsidTr="003F1715">
        <w:trPr>
          <w:trHeight w:val="751"/>
        </w:trPr>
        <w:tc>
          <w:tcPr>
            <w:tcW w:w="4699" w:type="dxa"/>
          </w:tcPr>
          <w:p w:rsidR="00F3361C" w:rsidRPr="0001592E" w:rsidRDefault="00B85A2A" w:rsidP="005A6B90">
            <w:pPr>
              <w:spacing w:before="120"/>
              <w:rPr>
                <w:szCs w:val="20"/>
              </w:rPr>
            </w:pPr>
            <w:r>
              <w:rPr>
                <w:szCs w:val="20"/>
              </w:rPr>
              <w:t>Program Lead, Management Systems</w:t>
            </w:r>
          </w:p>
        </w:tc>
        <w:tc>
          <w:tcPr>
            <w:tcW w:w="5496" w:type="dxa"/>
            <w:gridSpan w:val="2"/>
          </w:tcPr>
          <w:p w:rsidR="00F3361C" w:rsidRPr="0001592E" w:rsidRDefault="00B85A2A" w:rsidP="00946F5F">
            <w:pPr>
              <w:spacing w:before="120"/>
              <w:jc w:val="both"/>
              <w:rPr>
                <w:szCs w:val="20"/>
              </w:rPr>
            </w:pPr>
            <w:r>
              <w:rPr>
                <w:szCs w:val="20"/>
              </w:rPr>
              <w:t>NIL</w:t>
            </w:r>
          </w:p>
        </w:tc>
      </w:tr>
      <w:tr w:rsidR="0001592E" w:rsidRPr="0001592E" w:rsidTr="003F1715">
        <w:tc>
          <w:tcPr>
            <w:tcW w:w="10195" w:type="dxa"/>
            <w:gridSpan w:val="3"/>
            <w:shd w:val="clear" w:color="auto" w:fill="00428B"/>
          </w:tcPr>
          <w:p w:rsidR="00F3361C" w:rsidRPr="0001592E" w:rsidRDefault="00F3361C" w:rsidP="00946F5F">
            <w:pPr>
              <w:spacing w:before="120"/>
              <w:jc w:val="both"/>
              <w:rPr>
                <w:b/>
                <w:szCs w:val="20"/>
              </w:rPr>
            </w:pPr>
            <w:r w:rsidRPr="0001592E">
              <w:rPr>
                <w:b/>
                <w:szCs w:val="20"/>
              </w:rPr>
              <w:t>THIS ROLE EXISTS TO: (PURPOSE)</w:t>
            </w:r>
          </w:p>
        </w:tc>
      </w:tr>
      <w:tr w:rsidR="0001592E" w:rsidRPr="0001592E" w:rsidTr="003F1715">
        <w:trPr>
          <w:trHeight w:val="1131"/>
        </w:trPr>
        <w:tc>
          <w:tcPr>
            <w:tcW w:w="10195" w:type="dxa"/>
            <w:gridSpan w:val="3"/>
          </w:tcPr>
          <w:p w:rsidR="00B85A2A" w:rsidRDefault="00B85A2A" w:rsidP="005B2428">
            <w:pPr>
              <w:tabs>
                <w:tab w:val="clear" w:pos="9639"/>
              </w:tabs>
              <w:spacing w:after="0"/>
              <w:textAlignment w:val="baseline"/>
              <w:rPr>
                <w:szCs w:val="20"/>
              </w:rPr>
            </w:pPr>
          </w:p>
          <w:p w:rsidR="00F3361C" w:rsidRPr="0001592E" w:rsidRDefault="00781F8B" w:rsidP="005B2428">
            <w:pPr>
              <w:tabs>
                <w:tab w:val="clear" w:pos="9639"/>
              </w:tabs>
              <w:spacing w:after="0"/>
              <w:textAlignment w:val="baseline"/>
              <w:rPr>
                <w:szCs w:val="20"/>
              </w:rPr>
            </w:pPr>
            <w:r w:rsidRPr="00781F8B">
              <w:rPr>
                <w:szCs w:val="20"/>
              </w:rPr>
              <w:t>The purpose of this position is to provide an administration and coordination function for the implementation and improvement of management system frameworks primarily across the waterways an</w:t>
            </w:r>
            <w:r>
              <w:rPr>
                <w:szCs w:val="20"/>
              </w:rPr>
              <w:t xml:space="preserve">d land delivery business unit. </w:t>
            </w:r>
          </w:p>
        </w:tc>
      </w:tr>
      <w:tr w:rsidR="0001592E" w:rsidRPr="0001592E" w:rsidTr="003F1715">
        <w:tc>
          <w:tcPr>
            <w:tcW w:w="10195" w:type="dxa"/>
            <w:gridSpan w:val="3"/>
            <w:shd w:val="clear" w:color="auto" w:fill="00428B"/>
          </w:tcPr>
          <w:p w:rsidR="00F3361C" w:rsidRPr="0001592E" w:rsidRDefault="00F3361C" w:rsidP="00946F5F">
            <w:pPr>
              <w:spacing w:before="120"/>
              <w:jc w:val="both"/>
              <w:rPr>
                <w:b/>
                <w:caps/>
                <w:szCs w:val="20"/>
              </w:rPr>
            </w:pPr>
            <w:r w:rsidRPr="0001592E">
              <w:rPr>
                <w:b/>
                <w:caps/>
                <w:szCs w:val="20"/>
              </w:rPr>
              <w:t>Key accountabilities:</w:t>
            </w:r>
          </w:p>
        </w:tc>
      </w:tr>
      <w:tr w:rsidR="0001592E" w:rsidRPr="0001592E" w:rsidTr="003F1715">
        <w:trPr>
          <w:trHeight w:val="2164"/>
        </w:trPr>
        <w:tc>
          <w:tcPr>
            <w:tcW w:w="10195" w:type="dxa"/>
            <w:gridSpan w:val="3"/>
          </w:tcPr>
          <w:p w:rsidR="00781F8B" w:rsidRDefault="00781F8B" w:rsidP="00781F8B">
            <w:r>
              <w:br/>
              <w:t>Supporting the Waterways and Land Delivery teams (Program Development and Work Execution) on a day to day basis your responsibilities will include:</w:t>
            </w:r>
          </w:p>
          <w:p w:rsidR="00781F8B" w:rsidRDefault="00781F8B" w:rsidP="00781F8B">
            <w:pPr>
              <w:ind w:left="360" w:hanging="360"/>
            </w:pPr>
            <w:r>
              <w:t>•</w:t>
            </w:r>
            <w:r>
              <w:tab/>
              <w:t>Administration and coordination activities associated with information management, document control, management oversight programs and other improvement initiatives.</w:t>
            </w:r>
          </w:p>
          <w:p w:rsidR="00781F8B" w:rsidRDefault="00781F8B" w:rsidP="00781F8B">
            <w:pPr>
              <w:ind w:left="360" w:hanging="360"/>
            </w:pPr>
            <w:r>
              <w:t>•</w:t>
            </w:r>
            <w:r>
              <w:tab/>
              <w:t>Accountable for site/office management for multiple site(s) and/or activities.</w:t>
            </w:r>
          </w:p>
          <w:p w:rsidR="00781F8B" w:rsidRDefault="00781F8B" w:rsidP="00781F8B">
            <w:pPr>
              <w:ind w:left="360" w:hanging="360"/>
            </w:pPr>
            <w:r>
              <w:t>•</w:t>
            </w:r>
            <w:r>
              <w:tab/>
              <w:t xml:space="preserve">Accountable for managing the site induction and key administration processes across multiple sites and for internal and external stakeholders. </w:t>
            </w:r>
          </w:p>
          <w:p w:rsidR="00781F8B" w:rsidRDefault="00781F8B" w:rsidP="00781F8B">
            <w:pPr>
              <w:ind w:left="360" w:hanging="360"/>
            </w:pPr>
            <w:r>
              <w:t>•</w:t>
            </w:r>
            <w:r>
              <w:tab/>
              <w:t xml:space="preserve">Review, </w:t>
            </w:r>
            <w:proofErr w:type="spellStart"/>
            <w:r>
              <w:t>analyse</w:t>
            </w:r>
            <w:proofErr w:type="spellEnd"/>
            <w:r>
              <w:t xml:space="preserve"> and support reporting of data relating to the program; this could include risks, hazards, issues and recommend system and process improvement opportunities </w:t>
            </w:r>
          </w:p>
          <w:p w:rsidR="00781F8B" w:rsidRDefault="00781F8B" w:rsidP="00781F8B">
            <w:pPr>
              <w:ind w:left="360" w:hanging="360"/>
            </w:pPr>
            <w:r>
              <w:t>•</w:t>
            </w:r>
            <w:r>
              <w:tab/>
              <w:t>Maintain system of procedures and guidelines on behalf of waterways and land delivery and continuously review and suggest improvements;</w:t>
            </w:r>
          </w:p>
          <w:p w:rsidR="00781F8B" w:rsidRDefault="00781F8B" w:rsidP="00781F8B">
            <w:pPr>
              <w:ind w:left="360" w:hanging="360"/>
            </w:pPr>
            <w:r>
              <w:t>•</w:t>
            </w:r>
            <w:r>
              <w:tab/>
              <w:t>Complete projects as required and participate in related committees and working groups;</w:t>
            </w:r>
          </w:p>
          <w:p w:rsidR="003F1715" w:rsidRPr="0001592E" w:rsidRDefault="00781F8B" w:rsidP="00781F8B">
            <w:pPr>
              <w:ind w:left="360" w:hanging="360"/>
            </w:pPr>
            <w:r>
              <w:t>•</w:t>
            </w:r>
            <w:r>
              <w:tab/>
              <w:t>Taking care of own and colleagues Health and Safety through identification and reporting of hazards and active involvement in improvement initiatives.</w:t>
            </w:r>
          </w:p>
        </w:tc>
      </w:tr>
      <w:tr w:rsidR="0001592E" w:rsidRPr="0001592E" w:rsidTr="003F1715">
        <w:tc>
          <w:tcPr>
            <w:tcW w:w="5991" w:type="dxa"/>
            <w:gridSpan w:val="2"/>
            <w:shd w:val="clear" w:color="auto" w:fill="00428B"/>
          </w:tcPr>
          <w:p w:rsidR="00F3361C" w:rsidRPr="0001592E" w:rsidRDefault="00F3361C" w:rsidP="00946F5F">
            <w:pPr>
              <w:spacing w:before="120"/>
              <w:jc w:val="both"/>
              <w:rPr>
                <w:b/>
                <w:szCs w:val="20"/>
              </w:rPr>
            </w:pPr>
            <w:r w:rsidRPr="0001592E">
              <w:rPr>
                <w:b/>
                <w:szCs w:val="20"/>
              </w:rPr>
              <w:t>KEY RESPONSIBILITIES</w:t>
            </w:r>
          </w:p>
        </w:tc>
        <w:tc>
          <w:tcPr>
            <w:tcW w:w="4204" w:type="dxa"/>
            <w:shd w:val="clear" w:color="auto" w:fill="00428B"/>
          </w:tcPr>
          <w:p w:rsidR="00F3361C" w:rsidRPr="0001592E" w:rsidRDefault="00F3361C" w:rsidP="00946F5F">
            <w:pPr>
              <w:spacing w:before="120"/>
              <w:jc w:val="both"/>
              <w:rPr>
                <w:b/>
                <w:szCs w:val="20"/>
              </w:rPr>
            </w:pPr>
            <w:r w:rsidRPr="0001592E">
              <w:rPr>
                <w:b/>
                <w:szCs w:val="20"/>
              </w:rPr>
              <w:t>KPIs</w:t>
            </w:r>
          </w:p>
        </w:tc>
      </w:tr>
      <w:tr w:rsidR="0001592E" w:rsidRPr="0001592E" w:rsidTr="003F1715">
        <w:trPr>
          <w:trHeight w:val="1647"/>
        </w:trPr>
        <w:tc>
          <w:tcPr>
            <w:tcW w:w="5991" w:type="dxa"/>
            <w:gridSpan w:val="2"/>
          </w:tcPr>
          <w:p w:rsidR="00781F8B" w:rsidRPr="00D877E6" w:rsidRDefault="00781F8B" w:rsidP="00781F8B">
            <w:pPr>
              <w:spacing w:before="120"/>
              <w:ind w:left="142" w:right="242"/>
              <w:jc w:val="both"/>
              <w:rPr>
                <w:b/>
                <w:szCs w:val="20"/>
              </w:rPr>
            </w:pPr>
            <w:r w:rsidRPr="00D877E6">
              <w:rPr>
                <w:b/>
                <w:szCs w:val="20"/>
              </w:rPr>
              <w:t>Health, Safety, Environment, Quality</w:t>
            </w:r>
          </w:p>
          <w:p w:rsidR="00781F8B" w:rsidRDefault="00781F8B" w:rsidP="00781F8B">
            <w:r>
              <w:t>• Document control and information management support activities, including updating documents and coordination of reviews.</w:t>
            </w:r>
          </w:p>
          <w:p w:rsidR="00781F8B" w:rsidRDefault="00781F8B" w:rsidP="00781F8B">
            <w:r>
              <w:t>• Administration and coordination for the management oversight program, including reporting, coordination and follow up. Upload data, review and develop reports for analysis of incident, audit and other data to identify trends as directed. This may including hazards, condition monitoring data, risks, issues and incidents and identify trends. Coordinate response, including feedback mechanisms.</w:t>
            </w:r>
          </w:p>
          <w:p w:rsidR="00781F8B" w:rsidRDefault="00781F8B" w:rsidP="00781F8B">
            <w:r>
              <w:t xml:space="preserve">• Provide administration support for the Waterways and Land Delivery Health and Safety Committee including assisting with preparing meeting agendas, preparation of minutes and tracking of actions. </w:t>
            </w:r>
          </w:p>
          <w:p w:rsidR="00B85A2A" w:rsidRDefault="00781F8B" w:rsidP="00781F8B">
            <w:r>
              <w:t>• Proactively identify themes and work with the broader team to identify and implement improvement ideas.  This may include safety focus areas, capability uplift, process enhancements or other.</w:t>
            </w:r>
          </w:p>
          <w:p w:rsidR="00781F8B" w:rsidRDefault="00781F8B" w:rsidP="00781F8B">
            <w:r>
              <w:t xml:space="preserve">• Assist with maintenance of internal and external databases and systems for recording and reporting of employee and contractor training, </w:t>
            </w:r>
            <w:proofErr w:type="spellStart"/>
            <w:r>
              <w:t>licences</w:t>
            </w:r>
            <w:proofErr w:type="spellEnd"/>
            <w:r>
              <w:t>, inductions and competencies. This may include fire training records and procedures.</w:t>
            </w:r>
          </w:p>
          <w:p w:rsidR="00781F8B" w:rsidRDefault="00781F8B" w:rsidP="00781F8B">
            <w:r>
              <w:t xml:space="preserve">• Assist with the coordination of field crew medical checks. </w:t>
            </w:r>
          </w:p>
          <w:p w:rsidR="00781F8B" w:rsidRPr="005B2428" w:rsidRDefault="00781F8B" w:rsidP="00781F8B">
            <w:r>
              <w:t>• Provide administrative and coordination support activities during declared incidents or as required. This may include rostering, tracking of timesheets and allowances, other support.</w:t>
            </w:r>
          </w:p>
        </w:tc>
        <w:tc>
          <w:tcPr>
            <w:tcW w:w="4204" w:type="dxa"/>
          </w:tcPr>
          <w:p w:rsidR="00781F8B" w:rsidRDefault="00781F8B" w:rsidP="00781F8B">
            <w:pPr>
              <w:ind w:left="360" w:hanging="360"/>
            </w:pPr>
            <w:r>
              <w:t>•</w:t>
            </w:r>
            <w:r>
              <w:tab/>
              <w:t>IRIS actions managed.</w:t>
            </w:r>
          </w:p>
          <w:p w:rsidR="00781F8B" w:rsidRDefault="00781F8B" w:rsidP="00781F8B">
            <w:pPr>
              <w:ind w:left="360" w:hanging="360"/>
            </w:pPr>
            <w:r>
              <w:t>•</w:t>
            </w:r>
            <w:r>
              <w:tab/>
              <w:t>Controlled documents proactively managed.</w:t>
            </w:r>
          </w:p>
          <w:p w:rsidR="00781F8B" w:rsidRDefault="00781F8B" w:rsidP="00781F8B">
            <w:pPr>
              <w:ind w:left="360" w:hanging="360"/>
            </w:pPr>
            <w:r>
              <w:t>•</w:t>
            </w:r>
            <w:r>
              <w:tab/>
              <w:t xml:space="preserve">Performance framework reporting requirements met </w:t>
            </w:r>
          </w:p>
          <w:p w:rsidR="00781F8B" w:rsidRDefault="00781F8B" w:rsidP="00781F8B">
            <w:pPr>
              <w:ind w:left="360" w:hanging="360"/>
            </w:pPr>
            <w:r>
              <w:t>•</w:t>
            </w:r>
            <w:r>
              <w:tab/>
              <w:t>Improvements are suggested and efficiencies to processes are implemented.</w:t>
            </w:r>
          </w:p>
          <w:p w:rsidR="008838A8" w:rsidRPr="0001592E" w:rsidRDefault="00781F8B" w:rsidP="00781F8B">
            <w:pPr>
              <w:ind w:left="360" w:hanging="360"/>
            </w:pPr>
            <w:r>
              <w:t>•</w:t>
            </w:r>
            <w:r>
              <w:tab/>
              <w:t>Audit, assurance, issues and risk improvements and actions monitored and managed</w:t>
            </w:r>
          </w:p>
        </w:tc>
      </w:tr>
      <w:tr w:rsidR="0001592E" w:rsidRPr="0001592E" w:rsidTr="003F1715">
        <w:trPr>
          <w:trHeight w:val="1701"/>
        </w:trPr>
        <w:tc>
          <w:tcPr>
            <w:tcW w:w="5991" w:type="dxa"/>
            <w:gridSpan w:val="2"/>
          </w:tcPr>
          <w:p w:rsidR="00B85A2A" w:rsidRPr="005C57F6" w:rsidRDefault="00B85A2A" w:rsidP="00C51CA1">
            <w:pPr>
              <w:pStyle w:val="ListBullet"/>
              <w:numPr>
                <w:ilvl w:val="0"/>
                <w:numId w:val="0"/>
              </w:numPr>
            </w:pPr>
            <w:r w:rsidRPr="005C57F6">
              <w:rPr>
                <w:b/>
              </w:rPr>
              <w:lastRenderedPageBreak/>
              <w:t>Site Coordination</w:t>
            </w:r>
          </w:p>
          <w:p w:rsidR="00781F8B" w:rsidRDefault="00781F8B" w:rsidP="00781F8B">
            <w:pPr>
              <w:pStyle w:val="ListParagraph"/>
            </w:pPr>
            <w:r>
              <w:t xml:space="preserve">Coordinate and support site, facility and building management activities including inductions and site access fobs for SERO, NERO and the Catchment Work </w:t>
            </w:r>
            <w:proofErr w:type="spellStart"/>
            <w:r>
              <w:t>Centres</w:t>
            </w:r>
            <w:proofErr w:type="spellEnd"/>
            <w:r>
              <w:t xml:space="preserve">. </w:t>
            </w:r>
          </w:p>
          <w:p w:rsidR="00781F8B" w:rsidRDefault="00781F8B" w:rsidP="00781F8B">
            <w:pPr>
              <w:pStyle w:val="ListParagraph"/>
            </w:pPr>
            <w:r>
              <w:t>Administration of the Waterways and Land access keys process.</w:t>
            </w:r>
          </w:p>
          <w:p w:rsidR="00781F8B" w:rsidRDefault="00781F8B" w:rsidP="00781F8B">
            <w:pPr>
              <w:pStyle w:val="ListParagraph"/>
            </w:pPr>
            <w:r>
              <w:t xml:space="preserve">Maintain Waterways and Land Delivery </w:t>
            </w:r>
            <w:proofErr w:type="spellStart"/>
            <w:r>
              <w:t>organisational</w:t>
            </w:r>
            <w:proofErr w:type="spellEnd"/>
            <w:r>
              <w:t xml:space="preserve"> charts and email groups. </w:t>
            </w:r>
          </w:p>
          <w:p w:rsidR="00F3361C" w:rsidRPr="005B2428" w:rsidRDefault="00781F8B" w:rsidP="00781F8B">
            <w:pPr>
              <w:pStyle w:val="ListParagraph"/>
            </w:pPr>
            <w:r>
              <w:t>Provide support for the recruitment of new staff and on-boarding/off-boarding of staff.</w:t>
            </w:r>
          </w:p>
        </w:tc>
        <w:tc>
          <w:tcPr>
            <w:tcW w:w="4204" w:type="dxa"/>
          </w:tcPr>
          <w:p w:rsidR="00781F8B" w:rsidRDefault="00781F8B" w:rsidP="00781F8B">
            <w:pPr>
              <w:ind w:left="360" w:hanging="360"/>
            </w:pPr>
            <w:r>
              <w:t>•</w:t>
            </w:r>
            <w:r>
              <w:tab/>
              <w:t>Induction, training, building, site records maintained and managed.</w:t>
            </w:r>
          </w:p>
          <w:p w:rsidR="00781F8B" w:rsidRDefault="00781F8B" w:rsidP="00781F8B">
            <w:pPr>
              <w:ind w:left="360" w:hanging="360"/>
            </w:pPr>
            <w:r>
              <w:t>•</w:t>
            </w:r>
            <w:r>
              <w:tab/>
              <w:t>Database records for management of access keys maintained.</w:t>
            </w:r>
          </w:p>
          <w:p w:rsidR="00F3361C" w:rsidRPr="00B85A2A" w:rsidRDefault="00781F8B" w:rsidP="00781F8B">
            <w:pPr>
              <w:ind w:left="360" w:hanging="360"/>
            </w:pPr>
            <w:r>
              <w:t>•</w:t>
            </w:r>
            <w:r>
              <w:tab/>
              <w:t>Organization charts and email groups updated monthly.</w:t>
            </w:r>
          </w:p>
        </w:tc>
      </w:tr>
      <w:tr w:rsidR="0001592E" w:rsidRPr="0001592E" w:rsidTr="003F1715">
        <w:trPr>
          <w:trHeight w:val="1701"/>
        </w:trPr>
        <w:tc>
          <w:tcPr>
            <w:tcW w:w="5991" w:type="dxa"/>
            <w:gridSpan w:val="2"/>
          </w:tcPr>
          <w:p w:rsidR="00B85A2A" w:rsidRDefault="00B85A2A" w:rsidP="00B85A2A">
            <w:pPr>
              <w:spacing w:before="120"/>
              <w:ind w:right="242"/>
              <w:jc w:val="both"/>
              <w:rPr>
                <w:b/>
                <w:szCs w:val="20"/>
              </w:rPr>
            </w:pPr>
            <w:r>
              <w:rPr>
                <w:b/>
                <w:szCs w:val="20"/>
              </w:rPr>
              <w:t>Relationship Management</w:t>
            </w:r>
          </w:p>
          <w:p w:rsidR="00A454B5" w:rsidRPr="0001592E" w:rsidRDefault="00781F8B" w:rsidP="00781F8B">
            <w:pPr>
              <w:pStyle w:val="ListBullet"/>
              <w:numPr>
                <w:ilvl w:val="0"/>
                <w:numId w:val="0"/>
              </w:numPr>
              <w:ind w:left="180" w:hanging="180"/>
              <w:rPr>
                <w:szCs w:val="20"/>
              </w:rPr>
            </w:pPr>
            <w:r w:rsidRPr="00781F8B">
              <w:rPr>
                <w:szCs w:val="20"/>
              </w:rPr>
              <w:t>•</w:t>
            </w:r>
            <w:r w:rsidRPr="00781F8B">
              <w:rPr>
                <w:szCs w:val="20"/>
              </w:rPr>
              <w:tab/>
              <w:t>Build and maintain effective working relationships within Waterways &amp; Land Delivery and with key corporate support team members</w:t>
            </w:r>
          </w:p>
        </w:tc>
        <w:tc>
          <w:tcPr>
            <w:tcW w:w="4204" w:type="dxa"/>
          </w:tcPr>
          <w:p w:rsidR="00B85A2A" w:rsidRDefault="00B85A2A" w:rsidP="00B85A2A">
            <w:pPr>
              <w:pStyle w:val="ListParagraph"/>
              <w:numPr>
                <w:ilvl w:val="0"/>
                <w:numId w:val="19"/>
              </w:numPr>
              <w:ind w:left="535"/>
            </w:pPr>
            <w:r>
              <w:t>Engagement and alignment</w:t>
            </w:r>
          </w:p>
          <w:p w:rsidR="00B85A2A" w:rsidRDefault="00B85A2A" w:rsidP="00B85A2A">
            <w:pPr>
              <w:pStyle w:val="ListParagraph"/>
              <w:numPr>
                <w:ilvl w:val="0"/>
                <w:numId w:val="19"/>
              </w:numPr>
              <w:ind w:left="535"/>
            </w:pPr>
            <w:r>
              <w:t>Reputation survey</w:t>
            </w:r>
          </w:p>
          <w:p w:rsidR="008838A8" w:rsidRPr="0001592E" w:rsidRDefault="008838A8" w:rsidP="00B85A2A">
            <w:pPr>
              <w:ind w:left="360" w:hanging="360"/>
            </w:pPr>
          </w:p>
        </w:tc>
      </w:tr>
    </w:tbl>
    <w:p w:rsidR="003751D1" w:rsidRPr="0001592E" w:rsidRDefault="003751D1"/>
    <w:tbl>
      <w:tblPr>
        <w:tblStyle w:val="TableGrid"/>
        <w:tblW w:w="0" w:type="auto"/>
        <w:tblLook w:val="04A0" w:firstRow="1" w:lastRow="0" w:firstColumn="1" w:lastColumn="0" w:noHBand="0" w:noVBand="1"/>
      </w:tblPr>
      <w:tblGrid>
        <w:gridCol w:w="10195"/>
      </w:tblGrid>
      <w:tr w:rsidR="0001592E" w:rsidRPr="0001592E" w:rsidTr="00B85A2A">
        <w:tc>
          <w:tcPr>
            <w:tcW w:w="10195" w:type="dxa"/>
            <w:shd w:val="clear" w:color="auto" w:fill="00428B"/>
          </w:tcPr>
          <w:p w:rsidR="00F3361C" w:rsidRPr="0001592E" w:rsidRDefault="00F3361C" w:rsidP="003751D1">
            <w:pPr>
              <w:keepNext/>
              <w:keepLines/>
              <w:spacing w:before="120"/>
              <w:rPr>
                <w:b/>
                <w:szCs w:val="20"/>
              </w:rPr>
            </w:pPr>
            <w:r w:rsidRPr="0001592E">
              <w:rPr>
                <w:b/>
                <w:szCs w:val="20"/>
              </w:rPr>
              <w:t>SKILLS, KNOWLEDGE AND EXPERIENCE REQUIRED:</w:t>
            </w:r>
          </w:p>
        </w:tc>
      </w:tr>
      <w:tr w:rsidR="00B85A2A" w:rsidRPr="0001592E" w:rsidTr="00B85A2A">
        <w:trPr>
          <w:trHeight w:val="470"/>
        </w:trPr>
        <w:tc>
          <w:tcPr>
            <w:tcW w:w="10195" w:type="dxa"/>
          </w:tcPr>
          <w:p w:rsidR="00781F8B" w:rsidRDefault="00B04840" w:rsidP="00781F8B">
            <w:pPr>
              <w:ind w:left="360" w:hanging="360"/>
            </w:pPr>
            <w:r>
              <w:br/>
            </w:r>
            <w:r w:rsidR="00781F8B">
              <w:t xml:space="preserve">The role requires a detailed understanding of administrative systems and process along with significant experience in a related position. </w:t>
            </w:r>
          </w:p>
          <w:p w:rsidR="00781F8B" w:rsidRDefault="00781F8B" w:rsidP="00781F8B">
            <w:pPr>
              <w:pStyle w:val="ListParagraph"/>
              <w:numPr>
                <w:ilvl w:val="0"/>
                <w:numId w:val="19"/>
              </w:numPr>
            </w:pPr>
            <w:r>
              <w:t>Understanding of Integrated Management Systems and HSEQ processes.</w:t>
            </w:r>
          </w:p>
          <w:p w:rsidR="00781F8B" w:rsidRDefault="00781F8B" w:rsidP="00781F8B">
            <w:pPr>
              <w:pStyle w:val="ListParagraph"/>
              <w:numPr>
                <w:ilvl w:val="0"/>
                <w:numId w:val="19"/>
              </w:numPr>
            </w:pPr>
            <w:r>
              <w:t>Demonstrated experience in working in administrative roles;</w:t>
            </w:r>
          </w:p>
          <w:p w:rsidR="00781F8B" w:rsidRDefault="00781F8B" w:rsidP="00781F8B">
            <w:pPr>
              <w:pStyle w:val="ListParagraph"/>
              <w:numPr>
                <w:ilvl w:val="0"/>
                <w:numId w:val="19"/>
              </w:numPr>
            </w:pPr>
            <w:r>
              <w:t>Ability to work under limited supervision, display initiative, possess a proactive attitude and demonstrate flexibility to manage competing priorities;</w:t>
            </w:r>
          </w:p>
          <w:p w:rsidR="00781F8B" w:rsidRDefault="00781F8B" w:rsidP="00781F8B">
            <w:pPr>
              <w:pStyle w:val="ListParagraph"/>
              <w:numPr>
                <w:ilvl w:val="0"/>
                <w:numId w:val="19"/>
              </w:numPr>
            </w:pPr>
            <w:r>
              <w:t>Good process improvement and analytical skills;</w:t>
            </w:r>
          </w:p>
          <w:p w:rsidR="00781F8B" w:rsidRDefault="00781F8B" w:rsidP="00781F8B">
            <w:pPr>
              <w:pStyle w:val="ListParagraph"/>
              <w:numPr>
                <w:ilvl w:val="0"/>
                <w:numId w:val="19"/>
              </w:numPr>
            </w:pPr>
            <w:r>
              <w:t xml:space="preserve">Strong attention to detail; </w:t>
            </w:r>
          </w:p>
          <w:p w:rsidR="00781F8B" w:rsidRDefault="00781F8B" w:rsidP="00781F8B">
            <w:pPr>
              <w:pStyle w:val="ListParagraph"/>
              <w:numPr>
                <w:ilvl w:val="0"/>
                <w:numId w:val="19"/>
              </w:numPr>
            </w:pPr>
            <w:r>
              <w:t>Demonstrated ability to manage processes and ensure deadlines are met;</w:t>
            </w:r>
          </w:p>
          <w:p w:rsidR="00781F8B" w:rsidRDefault="00781F8B" w:rsidP="00781F8B">
            <w:pPr>
              <w:pStyle w:val="ListParagraph"/>
              <w:numPr>
                <w:ilvl w:val="0"/>
                <w:numId w:val="19"/>
              </w:numPr>
            </w:pPr>
            <w:r>
              <w:t>Passionate about fostering and promoting a culture of quality and continuous improvement;</w:t>
            </w:r>
          </w:p>
          <w:p w:rsidR="00781F8B" w:rsidRDefault="00781F8B" w:rsidP="00781F8B">
            <w:pPr>
              <w:pStyle w:val="ListParagraph"/>
              <w:numPr>
                <w:ilvl w:val="0"/>
                <w:numId w:val="19"/>
              </w:numPr>
            </w:pPr>
            <w:r>
              <w:t>Excellent communication skills and strong customer service orientation;</w:t>
            </w:r>
          </w:p>
          <w:p w:rsidR="00781F8B" w:rsidRDefault="00781F8B" w:rsidP="00781F8B">
            <w:pPr>
              <w:pStyle w:val="ListParagraph"/>
              <w:numPr>
                <w:ilvl w:val="0"/>
                <w:numId w:val="19"/>
              </w:numPr>
            </w:pPr>
            <w:r>
              <w:t>Ability to develop collaborative working relationships within own and the broader team;</w:t>
            </w:r>
          </w:p>
          <w:p w:rsidR="00B04840" w:rsidRDefault="00781F8B" w:rsidP="00781F8B">
            <w:pPr>
              <w:pStyle w:val="ListParagraph"/>
              <w:numPr>
                <w:ilvl w:val="0"/>
                <w:numId w:val="19"/>
              </w:numPr>
            </w:pPr>
            <w:r>
              <w:t>Is proficient in the use of risk and incident, document management and asset management systems, and Microsoft Office suite.</w:t>
            </w:r>
          </w:p>
          <w:p w:rsidR="00B04840" w:rsidRDefault="00B04840" w:rsidP="00B04840"/>
          <w:p w:rsidR="00B04840" w:rsidRDefault="00B04840" w:rsidP="00B04840"/>
          <w:p w:rsidR="00B04840" w:rsidRDefault="00B04840" w:rsidP="00B04840"/>
          <w:p w:rsidR="00B04840" w:rsidRPr="007C751A" w:rsidRDefault="00B04840" w:rsidP="00B04840"/>
        </w:tc>
      </w:tr>
      <w:tr w:rsidR="00B85A2A" w:rsidRPr="0001592E" w:rsidTr="00B85A2A">
        <w:tc>
          <w:tcPr>
            <w:tcW w:w="10195" w:type="dxa"/>
            <w:shd w:val="clear" w:color="auto" w:fill="00428B"/>
          </w:tcPr>
          <w:p w:rsidR="00B85A2A" w:rsidRPr="0001592E" w:rsidRDefault="00B85A2A" w:rsidP="00B85A2A">
            <w:pPr>
              <w:spacing w:before="120"/>
              <w:rPr>
                <w:b/>
                <w:szCs w:val="20"/>
              </w:rPr>
            </w:pPr>
            <w:r w:rsidRPr="0001592E">
              <w:rPr>
                <w:b/>
                <w:szCs w:val="20"/>
              </w:rPr>
              <w:t>KEY RELATIONSHIPS:</w:t>
            </w:r>
          </w:p>
        </w:tc>
      </w:tr>
      <w:tr w:rsidR="00B85A2A" w:rsidRPr="0001592E" w:rsidTr="00B85A2A">
        <w:trPr>
          <w:trHeight w:val="2687"/>
        </w:trPr>
        <w:tc>
          <w:tcPr>
            <w:tcW w:w="10195" w:type="dxa"/>
          </w:tcPr>
          <w:p w:rsidR="00B85A2A" w:rsidRDefault="00B04840" w:rsidP="00781F8B">
            <w:pPr>
              <w:pStyle w:val="ListBullet"/>
              <w:numPr>
                <w:ilvl w:val="0"/>
                <w:numId w:val="0"/>
              </w:numPr>
            </w:pPr>
            <w:r w:rsidRPr="00B04840">
              <w:t>All Melbourne Water employees are responsible for managing aspects of our customer/stakeholder relationships and service interactions, and will work proactively to deliver a consistent customer experience.</w:t>
            </w:r>
          </w:p>
          <w:p w:rsidR="00B04840" w:rsidRPr="00E80934" w:rsidRDefault="00B04840" w:rsidP="00B04840">
            <w:pPr>
              <w:spacing w:before="120"/>
              <w:rPr>
                <w:b/>
                <w:szCs w:val="20"/>
              </w:rPr>
            </w:pPr>
            <w:r w:rsidRPr="00E80934">
              <w:rPr>
                <w:b/>
                <w:szCs w:val="20"/>
              </w:rPr>
              <w:t>INTERNAL</w:t>
            </w:r>
          </w:p>
          <w:p w:rsidR="00B04840" w:rsidRDefault="00B04840" w:rsidP="00C51CA1">
            <w:pPr>
              <w:pStyle w:val="ListBullet"/>
              <w:spacing w:line="240" w:lineRule="auto"/>
            </w:pPr>
            <w:r>
              <w:t>Waterways &amp; Land Delivery; Team Leaders, Schedulers, Planners, Supervisors, crew members, Administration</w:t>
            </w:r>
          </w:p>
          <w:p w:rsidR="00B04840" w:rsidRDefault="00B04840" w:rsidP="00C51CA1">
            <w:pPr>
              <w:pStyle w:val="ListBullet"/>
              <w:spacing w:line="240" w:lineRule="auto"/>
            </w:pPr>
            <w:r>
              <w:t>Risk, Information Management, Safety, People &amp; Capability, Facilities Management</w:t>
            </w:r>
          </w:p>
          <w:p w:rsidR="00B04840" w:rsidRDefault="00B04840" w:rsidP="00C51CA1">
            <w:pPr>
              <w:pStyle w:val="ListBullet"/>
              <w:numPr>
                <w:ilvl w:val="0"/>
                <w:numId w:val="0"/>
              </w:numPr>
              <w:spacing w:line="240" w:lineRule="auto"/>
            </w:pPr>
            <w:r>
              <w:t>• Waterways &amp; Land Regional Services</w:t>
            </w:r>
          </w:p>
          <w:p w:rsidR="00B04840" w:rsidRPr="00E80934" w:rsidRDefault="00B04840" w:rsidP="00B04840">
            <w:pPr>
              <w:spacing w:before="120"/>
              <w:rPr>
                <w:b/>
                <w:szCs w:val="20"/>
              </w:rPr>
            </w:pPr>
            <w:r w:rsidRPr="00E80934">
              <w:rPr>
                <w:b/>
                <w:szCs w:val="20"/>
              </w:rPr>
              <w:t>EXTERNAL</w:t>
            </w:r>
          </w:p>
          <w:p w:rsidR="00B04840" w:rsidRPr="005A6B90" w:rsidRDefault="00B04840" w:rsidP="00B04840">
            <w:pPr>
              <w:pStyle w:val="ListBullet"/>
              <w:numPr>
                <w:ilvl w:val="0"/>
                <w:numId w:val="0"/>
              </w:numPr>
            </w:pPr>
            <w:r>
              <w:t xml:space="preserve">• </w:t>
            </w:r>
            <w:r w:rsidRPr="00B04840">
              <w:t>Service Providers and suppliers as required, external consultants (incl. auditors) as required</w:t>
            </w:r>
          </w:p>
        </w:tc>
      </w:tr>
      <w:tr w:rsidR="00B85A2A" w:rsidRPr="0001592E" w:rsidTr="00B85A2A">
        <w:tc>
          <w:tcPr>
            <w:tcW w:w="10195" w:type="dxa"/>
            <w:shd w:val="clear" w:color="auto" w:fill="00428B"/>
          </w:tcPr>
          <w:p w:rsidR="00B85A2A" w:rsidRPr="0001592E" w:rsidRDefault="00B85A2A" w:rsidP="00B85A2A">
            <w:pPr>
              <w:spacing w:before="120"/>
              <w:rPr>
                <w:b/>
                <w:szCs w:val="20"/>
              </w:rPr>
            </w:pPr>
            <w:r w:rsidRPr="0001592E">
              <w:rPr>
                <w:b/>
                <w:szCs w:val="20"/>
              </w:rPr>
              <w:t>SALARY RANGE:</w:t>
            </w:r>
          </w:p>
        </w:tc>
      </w:tr>
      <w:tr w:rsidR="00B85A2A" w:rsidRPr="0001592E" w:rsidTr="00B85A2A">
        <w:trPr>
          <w:trHeight w:val="70"/>
        </w:trPr>
        <w:tc>
          <w:tcPr>
            <w:tcW w:w="10195" w:type="dxa"/>
          </w:tcPr>
          <w:p w:rsidR="00B85A2A" w:rsidRPr="0001592E" w:rsidRDefault="00B85A2A" w:rsidP="00B85A2A">
            <w:r>
              <w:rPr>
                <w:szCs w:val="20"/>
              </w:rPr>
              <w:br/>
            </w:r>
            <w:r w:rsidR="0017208D" w:rsidRPr="00BA61F3">
              <w:rPr>
                <w:szCs w:val="20"/>
              </w:rPr>
              <w:t>Melbourne Water reserves the right to remunerate people according to their ability to perform the functions of the role based on their qualifications, skills and experience.</w:t>
            </w:r>
          </w:p>
        </w:tc>
      </w:tr>
      <w:tr w:rsidR="00B85A2A" w:rsidRPr="0001592E" w:rsidTr="00B85A2A">
        <w:tc>
          <w:tcPr>
            <w:tcW w:w="10195" w:type="dxa"/>
            <w:shd w:val="clear" w:color="auto" w:fill="00428B"/>
          </w:tcPr>
          <w:p w:rsidR="00B85A2A" w:rsidRPr="0001592E" w:rsidRDefault="00B85A2A" w:rsidP="00B85A2A">
            <w:pPr>
              <w:spacing w:before="120"/>
              <w:rPr>
                <w:b/>
                <w:szCs w:val="20"/>
              </w:rPr>
            </w:pPr>
            <w:r w:rsidRPr="0001592E">
              <w:rPr>
                <w:b/>
                <w:szCs w:val="20"/>
              </w:rPr>
              <w:t>OTHER COMMENTS:</w:t>
            </w:r>
          </w:p>
        </w:tc>
      </w:tr>
      <w:tr w:rsidR="00B85A2A" w:rsidRPr="0001592E" w:rsidTr="00B85A2A">
        <w:tc>
          <w:tcPr>
            <w:tcW w:w="10195" w:type="dxa"/>
          </w:tcPr>
          <w:p w:rsidR="00B04840" w:rsidRPr="00B04840" w:rsidRDefault="00B04840" w:rsidP="00B04840">
            <w:pPr>
              <w:spacing w:before="120"/>
              <w:rPr>
                <w:szCs w:val="20"/>
              </w:rPr>
            </w:pPr>
            <w:r w:rsidRPr="00B04840">
              <w:rPr>
                <w:szCs w:val="20"/>
              </w:rPr>
              <w:t>This role requires the following:</w:t>
            </w:r>
          </w:p>
          <w:p w:rsidR="00B04840" w:rsidRPr="00B04840" w:rsidRDefault="00B04840" w:rsidP="00C51CA1">
            <w:pPr>
              <w:spacing w:before="120"/>
              <w:rPr>
                <w:szCs w:val="20"/>
              </w:rPr>
            </w:pPr>
            <w:r>
              <w:rPr>
                <w:szCs w:val="20"/>
              </w:rPr>
              <w:t xml:space="preserve">• </w:t>
            </w:r>
            <w:r w:rsidRPr="00B04840">
              <w:rPr>
                <w:szCs w:val="20"/>
              </w:rPr>
              <w:t>Criminal Records Check</w:t>
            </w:r>
          </w:p>
          <w:p w:rsidR="00B04840" w:rsidRPr="00B04840" w:rsidRDefault="00B04840" w:rsidP="0017208D">
            <w:pPr>
              <w:tabs>
                <w:tab w:val="clear" w:pos="9639"/>
                <w:tab w:val="center" w:pos="4989"/>
              </w:tabs>
              <w:spacing w:before="120"/>
              <w:rPr>
                <w:szCs w:val="20"/>
              </w:rPr>
            </w:pPr>
            <w:r>
              <w:rPr>
                <w:szCs w:val="20"/>
              </w:rPr>
              <w:lastRenderedPageBreak/>
              <w:t xml:space="preserve">• </w:t>
            </w:r>
            <w:r w:rsidRPr="00B04840">
              <w:rPr>
                <w:szCs w:val="20"/>
              </w:rPr>
              <w:t>Medical Assessment</w:t>
            </w:r>
            <w:r w:rsidR="0017208D">
              <w:rPr>
                <w:szCs w:val="20"/>
              </w:rPr>
              <w:tab/>
            </w:r>
          </w:p>
          <w:p w:rsidR="00B04840" w:rsidRPr="00B04840" w:rsidRDefault="00B04840" w:rsidP="00C51CA1">
            <w:pPr>
              <w:spacing w:before="120"/>
              <w:rPr>
                <w:szCs w:val="20"/>
              </w:rPr>
            </w:pPr>
            <w:r>
              <w:rPr>
                <w:szCs w:val="20"/>
              </w:rPr>
              <w:t xml:space="preserve">• </w:t>
            </w:r>
            <w:r w:rsidRPr="00B04840">
              <w:rPr>
                <w:szCs w:val="20"/>
              </w:rPr>
              <w:t>A post-secondary qualification (or working towards) in a Business related field is preferable but not mandatory</w:t>
            </w:r>
          </w:p>
          <w:p w:rsidR="00B04840" w:rsidRPr="00B04840" w:rsidRDefault="00B04840" w:rsidP="00C51CA1">
            <w:pPr>
              <w:spacing w:before="120"/>
              <w:rPr>
                <w:szCs w:val="20"/>
              </w:rPr>
            </w:pPr>
            <w:r>
              <w:rPr>
                <w:szCs w:val="20"/>
              </w:rPr>
              <w:t xml:space="preserve">• </w:t>
            </w:r>
            <w:r w:rsidRPr="00B04840">
              <w:rPr>
                <w:szCs w:val="20"/>
              </w:rPr>
              <w:t>Relevant experience</w:t>
            </w:r>
          </w:p>
          <w:p w:rsidR="00B04840" w:rsidRPr="00B04840" w:rsidRDefault="00B04840" w:rsidP="00B04840">
            <w:pPr>
              <w:spacing w:before="120"/>
              <w:rPr>
                <w:szCs w:val="20"/>
              </w:rPr>
            </w:pPr>
          </w:p>
          <w:p w:rsidR="00B85A2A" w:rsidRPr="0001592E" w:rsidRDefault="00B04840" w:rsidP="00B04840">
            <w:pPr>
              <w:spacing w:before="120"/>
              <w:rPr>
                <w:szCs w:val="20"/>
              </w:rPr>
            </w:pPr>
            <w:r w:rsidRPr="00B04840">
              <w:rPr>
                <w:szCs w:val="20"/>
              </w:rPr>
              <w:t>Location: Based at a nominated depot, the role will require some travel to other sites (including Healesville, NERO, Brooklyn, SERO and Docklands) as required.</w:t>
            </w:r>
          </w:p>
        </w:tc>
      </w:tr>
    </w:tbl>
    <w:p w:rsidR="00946F5F" w:rsidRPr="00E80934" w:rsidRDefault="00946F5F">
      <w:pPr>
        <w:spacing w:before="120"/>
        <w:rPr>
          <w:szCs w:val="20"/>
        </w:rPr>
      </w:pPr>
    </w:p>
    <w:sectPr w:rsidR="00946F5F" w:rsidRPr="00E80934" w:rsidSect="0051137E">
      <w:headerReference w:type="default" r:id="rId8"/>
      <w:footerReference w:type="default" r:id="rId9"/>
      <w:pgSz w:w="11907" w:h="16839" w:code="9"/>
      <w:pgMar w:top="851" w:right="851" w:bottom="851" w:left="851" w:header="34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C4" w:rsidRDefault="00287EC4" w:rsidP="00727219">
      <w:r>
        <w:separator/>
      </w:r>
    </w:p>
  </w:endnote>
  <w:endnote w:type="continuationSeparator" w:id="0">
    <w:p w:rsidR="00287EC4" w:rsidRDefault="00287EC4" w:rsidP="007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5" w:type="pct"/>
      <w:tblCellMar>
        <w:left w:w="57" w:type="dxa"/>
        <w:right w:w="57" w:type="dxa"/>
      </w:tblCellMar>
      <w:tblLook w:val="0000" w:firstRow="0" w:lastRow="0" w:firstColumn="0" w:lastColumn="0" w:noHBand="0" w:noVBand="0"/>
    </w:tblPr>
    <w:tblGrid>
      <w:gridCol w:w="1778"/>
      <w:gridCol w:w="8417"/>
    </w:tblGrid>
    <w:tr w:rsidR="00C300A8" w:rsidTr="00C51CA1">
      <w:trPr>
        <w:trHeight w:val="161"/>
      </w:trPr>
      <w:tc>
        <w:tcPr>
          <w:tcW w:w="872" w:type="pct"/>
          <w:vAlign w:val="bottom"/>
        </w:tcPr>
        <w:p w:rsidR="0017208D" w:rsidRPr="00370129" w:rsidRDefault="0038551F" w:rsidP="004E680C">
          <w:pPr>
            <w:pStyle w:val="Footer"/>
            <w:spacing w:after="60"/>
            <w:rPr>
              <w:sz w:val="16"/>
              <w:szCs w:val="16"/>
            </w:rPr>
          </w:pPr>
          <w:r>
            <w:rPr>
              <w:sz w:val="16"/>
              <w:szCs w:val="16"/>
            </w:rPr>
            <w:t>Job level:</w:t>
          </w:r>
          <w:r w:rsidR="0017208D">
            <w:rPr>
              <w:sz w:val="16"/>
              <w:szCs w:val="16"/>
            </w:rPr>
            <w:t xml:space="preserve"> EA 4</w:t>
          </w:r>
        </w:p>
      </w:tc>
      <w:tc>
        <w:tcPr>
          <w:tcW w:w="4128" w:type="pct"/>
          <w:vAlign w:val="bottom"/>
        </w:tcPr>
        <w:p w:rsidR="00C300A8" w:rsidRPr="005414E3" w:rsidRDefault="00C300A8" w:rsidP="004E680C">
          <w:pPr>
            <w:pStyle w:val="Footer"/>
            <w:spacing w:after="60"/>
            <w:rPr>
              <w:sz w:val="16"/>
            </w:rPr>
          </w:pPr>
        </w:p>
      </w:tc>
    </w:tr>
    <w:tr w:rsidR="004E680C" w:rsidTr="00C51CA1">
      <w:trPr>
        <w:trHeight w:val="161"/>
      </w:trPr>
      <w:tc>
        <w:tcPr>
          <w:tcW w:w="872" w:type="pct"/>
          <w:vAlign w:val="bottom"/>
        </w:tcPr>
        <w:p w:rsidR="004E680C" w:rsidRDefault="004E680C" w:rsidP="004E680C">
          <w:pPr>
            <w:pStyle w:val="Footer"/>
            <w:spacing w:after="60"/>
            <w:rPr>
              <w:sz w:val="16"/>
              <w:szCs w:val="16"/>
            </w:rPr>
          </w:pPr>
          <w:r>
            <w:rPr>
              <w:sz w:val="16"/>
              <w:szCs w:val="16"/>
            </w:rPr>
            <w:t>Assessed by:</w:t>
          </w:r>
          <w:r w:rsidR="00C51CA1">
            <w:rPr>
              <w:sz w:val="16"/>
              <w:szCs w:val="16"/>
            </w:rPr>
            <w:t xml:space="preserve"> P&amp;C</w:t>
          </w:r>
        </w:p>
      </w:tc>
      <w:tc>
        <w:tcPr>
          <w:tcW w:w="4128" w:type="pct"/>
          <w:vAlign w:val="bottom"/>
        </w:tcPr>
        <w:p w:rsidR="004E680C" w:rsidRPr="005414E3" w:rsidRDefault="004E680C" w:rsidP="004E680C">
          <w:pPr>
            <w:pStyle w:val="Footer"/>
            <w:spacing w:after="60"/>
            <w:rPr>
              <w:noProof/>
              <w:sz w:val="16"/>
              <w:lang w:val="en-AU" w:eastAsia="en-AU"/>
            </w:rPr>
          </w:pPr>
        </w:p>
      </w:tc>
    </w:tr>
    <w:tr w:rsidR="004E680C" w:rsidTr="00C51CA1">
      <w:trPr>
        <w:trHeight w:val="161"/>
      </w:trPr>
      <w:tc>
        <w:tcPr>
          <w:tcW w:w="872" w:type="pct"/>
          <w:vAlign w:val="bottom"/>
        </w:tcPr>
        <w:p w:rsidR="00C51CA1" w:rsidRDefault="004E680C" w:rsidP="004E680C">
          <w:pPr>
            <w:pStyle w:val="Footer"/>
            <w:spacing w:after="60"/>
            <w:rPr>
              <w:sz w:val="16"/>
              <w:szCs w:val="16"/>
            </w:rPr>
          </w:pPr>
          <w:r>
            <w:rPr>
              <w:sz w:val="16"/>
              <w:szCs w:val="16"/>
            </w:rPr>
            <w:t>Date:</w:t>
          </w:r>
          <w:r w:rsidR="00C51CA1">
            <w:rPr>
              <w:sz w:val="16"/>
              <w:szCs w:val="16"/>
            </w:rPr>
            <w:t xml:space="preserve"> October 2019</w:t>
          </w:r>
        </w:p>
      </w:tc>
      <w:tc>
        <w:tcPr>
          <w:tcW w:w="4128" w:type="pct"/>
          <w:vAlign w:val="bottom"/>
        </w:tcPr>
        <w:p w:rsidR="004E680C" w:rsidRPr="005414E3" w:rsidRDefault="004E680C" w:rsidP="004E680C">
          <w:pPr>
            <w:pStyle w:val="Footer"/>
            <w:spacing w:after="60"/>
            <w:rPr>
              <w:noProof/>
              <w:sz w:val="16"/>
              <w:lang w:val="en-AU" w:eastAsia="en-AU"/>
            </w:rPr>
          </w:pPr>
        </w:p>
      </w:tc>
    </w:tr>
  </w:tbl>
  <w:p w:rsidR="00C300A8" w:rsidRPr="00531573" w:rsidRDefault="00206FCB" w:rsidP="00531573">
    <w:pPr>
      <w:pStyle w:val="Footer"/>
    </w:pPr>
    <w:r>
      <w:rPr>
        <w:noProof/>
        <w:lang w:val="en-AU" w:eastAsia="en-AU"/>
      </w:rPr>
      <w:drawing>
        <wp:anchor distT="0" distB="0" distL="114300" distR="114300" simplePos="0" relativeHeight="251670528" behindDoc="0" locked="0" layoutInCell="1" allowOverlap="1">
          <wp:simplePos x="0" y="0"/>
          <wp:positionH relativeFrom="column">
            <wp:posOffset>5244938</wp:posOffset>
          </wp:positionH>
          <wp:positionV relativeFrom="paragraph">
            <wp:posOffset>-607695</wp:posOffset>
          </wp:positionV>
          <wp:extent cx="168592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C4" w:rsidRDefault="00287EC4" w:rsidP="00727219">
      <w:r>
        <w:separator/>
      </w:r>
    </w:p>
  </w:footnote>
  <w:footnote w:type="continuationSeparator" w:id="0">
    <w:p w:rsidR="00287EC4" w:rsidRDefault="00287EC4" w:rsidP="007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A8" w:rsidRPr="00370129" w:rsidRDefault="00573AFB" w:rsidP="00FC2868">
    <w:pPr>
      <w:pStyle w:val="Heading2"/>
      <w:rPr>
        <w:b/>
        <w:color w:val="4D4F53" w:themeColor="accent5"/>
      </w:rPr>
    </w:pPr>
    <w:r>
      <w:rPr>
        <w:lang w:val="en-AU" w:eastAsia="en-AU"/>
      </w:rPr>
      <w:drawing>
        <wp:anchor distT="0" distB="0" distL="114300" distR="114300" simplePos="0" relativeHeight="251669504" behindDoc="0" locked="0" layoutInCell="1" allowOverlap="1" wp14:anchorId="636F11BA" wp14:editId="370802BC">
          <wp:simplePos x="0" y="0"/>
          <wp:positionH relativeFrom="column">
            <wp:posOffset>5432293</wp:posOffset>
          </wp:positionH>
          <wp:positionV relativeFrom="page">
            <wp:posOffset>-474807</wp:posOffset>
          </wp:positionV>
          <wp:extent cx="2185976" cy="198317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ple graphic-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5976" cy="1983179"/>
                  </a:xfrm>
                  <a:prstGeom prst="rect">
                    <a:avLst/>
                  </a:prstGeom>
                  <a:noFill/>
                </pic:spPr>
              </pic:pic>
            </a:graphicData>
          </a:graphic>
          <wp14:sizeRelH relativeFrom="page">
            <wp14:pctWidth>0</wp14:pctWidth>
          </wp14:sizeRelH>
          <wp14:sizeRelV relativeFrom="page">
            <wp14:pctHeight>0</wp14:pctHeight>
          </wp14:sizeRelV>
        </wp:anchor>
      </w:drawing>
    </w:r>
    <w:r w:rsidR="00C300A8" w:rsidRPr="00370129">
      <w:rPr>
        <w:b/>
        <w:color w:val="4D4F53" w:themeColor="accent5"/>
      </w:rPr>
      <w:t>MELBOURNE WATER POSITION DESCRIPTION</w:t>
    </w:r>
  </w:p>
  <w:p w:rsidR="00C300A8" w:rsidRPr="0001592E" w:rsidRDefault="00B85A2A" w:rsidP="00B85A2A">
    <w:pPr>
      <w:pStyle w:val="Heading3"/>
      <w:rPr>
        <w:color w:val="auto"/>
      </w:rPr>
    </w:pPr>
    <w:r>
      <w:rPr>
        <w:color w:val="auto"/>
      </w:rPr>
      <w:t>Management System Support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D8D9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CA2D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90243"/>
    <w:multiLevelType w:val="hybridMultilevel"/>
    <w:tmpl w:val="305241D0"/>
    <w:lvl w:ilvl="0" w:tplc="377E680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CF1E5D"/>
    <w:multiLevelType w:val="hybridMultilevel"/>
    <w:tmpl w:val="33F6E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B21F29"/>
    <w:multiLevelType w:val="hybridMultilevel"/>
    <w:tmpl w:val="C2AA7D58"/>
    <w:lvl w:ilvl="0" w:tplc="0C090001">
      <w:start w:val="1"/>
      <w:numFmt w:val="bullet"/>
      <w:lvlText w:val=""/>
      <w:lvlJc w:val="left"/>
      <w:pPr>
        <w:ind w:left="720" w:hanging="360"/>
      </w:pPr>
      <w:rPr>
        <w:rFonts w:ascii="Symbol" w:hAnsi="Symbol" w:hint="default"/>
      </w:rPr>
    </w:lvl>
    <w:lvl w:ilvl="1" w:tplc="F836B84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A6470"/>
    <w:multiLevelType w:val="hybridMultilevel"/>
    <w:tmpl w:val="C8527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E22603"/>
    <w:multiLevelType w:val="hybridMultilevel"/>
    <w:tmpl w:val="BC00C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F83E98"/>
    <w:multiLevelType w:val="hybridMultilevel"/>
    <w:tmpl w:val="2ACC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97BAC"/>
    <w:multiLevelType w:val="multilevel"/>
    <w:tmpl w:val="8B6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60050"/>
    <w:multiLevelType w:val="hybridMultilevel"/>
    <w:tmpl w:val="5AF2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896"/>
    <w:multiLevelType w:val="hybridMultilevel"/>
    <w:tmpl w:val="2C1ED192"/>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1" w15:restartNumberingAfterBreak="0">
    <w:nsid w:val="2ECF7C2D"/>
    <w:multiLevelType w:val="hybridMultilevel"/>
    <w:tmpl w:val="5C16206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2" w15:restartNumberingAfterBreak="0">
    <w:nsid w:val="37BB4F76"/>
    <w:multiLevelType w:val="hybridMultilevel"/>
    <w:tmpl w:val="6396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C7362"/>
    <w:multiLevelType w:val="hybridMultilevel"/>
    <w:tmpl w:val="8492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474A98"/>
    <w:multiLevelType w:val="hybridMultilevel"/>
    <w:tmpl w:val="7EA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44896"/>
    <w:multiLevelType w:val="hybridMultilevel"/>
    <w:tmpl w:val="BA10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F49E5"/>
    <w:multiLevelType w:val="hybridMultilevel"/>
    <w:tmpl w:val="584603C4"/>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17" w15:restartNumberingAfterBreak="0">
    <w:nsid w:val="5C376BF9"/>
    <w:multiLevelType w:val="hybridMultilevel"/>
    <w:tmpl w:val="56CA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B141EB"/>
    <w:multiLevelType w:val="multilevel"/>
    <w:tmpl w:val="4116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370BC5"/>
    <w:multiLevelType w:val="hybridMultilevel"/>
    <w:tmpl w:val="9FD2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8811C9"/>
    <w:multiLevelType w:val="multilevel"/>
    <w:tmpl w:val="0E4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422BE9"/>
    <w:multiLevelType w:val="hybridMultilevel"/>
    <w:tmpl w:val="8456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6770A"/>
    <w:multiLevelType w:val="hybridMultilevel"/>
    <w:tmpl w:val="2D5EC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7B7EC6"/>
    <w:multiLevelType w:val="hybridMultilevel"/>
    <w:tmpl w:val="1E225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907986"/>
    <w:multiLevelType w:val="hybridMultilevel"/>
    <w:tmpl w:val="92FE8FE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5" w15:restartNumberingAfterBreak="0">
    <w:nsid w:val="7BF3742E"/>
    <w:multiLevelType w:val="hybridMultilevel"/>
    <w:tmpl w:val="8D7A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21"/>
  </w:num>
  <w:num w:numId="4">
    <w:abstractNumId w:val="5"/>
  </w:num>
  <w:num w:numId="5">
    <w:abstractNumId w:val="11"/>
  </w:num>
  <w:num w:numId="6">
    <w:abstractNumId w:val="1"/>
  </w:num>
  <w:num w:numId="7">
    <w:abstractNumId w:val="22"/>
  </w:num>
  <w:num w:numId="8">
    <w:abstractNumId w:val="0"/>
  </w:num>
  <w:num w:numId="9">
    <w:abstractNumId w:val="19"/>
  </w:num>
  <w:num w:numId="10">
    <w:abstractNumId w:val="14"/>
  </w:num>
  <w:num w:numId="11">
    <w:abstractNumId w:val="15"/>
  </w:num>
  <w:num w:numId="12">
    <w:abstractNumId w:val="10"/>
  </w:num>
  <w:num w:numId="13">
    <w:abstractNumId w:val="4"/>
  </w:num>
  <w:num w:numId="14">
    <w:abstractNumId w:val="7"/>
  </w:num>
  <w:num w:numId="15">
    <w:abstractNumId w:val="25"/>
  </w:num>
  <w:num w:numId="16">
    <w:abstractNumId w:val="16"/>
  </w:num>
  <w:num w:numId="17">
    <w:abstractNumId w:val="3"/>
  </w:num>
  <w:num w:numId="18">
    <w:abstractNumId w:val="15"/>
  </w:num>
  <w:num w:numId="19">
    <w:abstractNumId w:val="6"/>
  </w:num>
  <w:num w:numId="20">
    <w:abstractNumId w:val="9"/>
  </w:num>
  <w:num w:numId="21">
    <w:abstractNumId w:val="12"/>
  </w:num>
  <w:num w:numId="22">
    <w:abstractNumId w:val="2"/>
  </w:num>
  <w:num w:numId="23">
    <w:abstractNumId w:val="8"/>
  </w:num>
  <w:num w:numId="24">
    <w:abstractNumId w:val="20"/>
  </w:num>
  <w:num w:numId="25">
    <w:abstractNumId w:val="18"/>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7"/>
    <w:rsid w:val="0001592E"/>
    <w:rsid w:val="00027881"/>
    <w:rsid w:val="00074834"/>
    <w:rsid w:val="00081E9D"/>
    <w:rsid w:val="000B1550"/>
    <w:rsid w:val="000B3631"/>
    <w:rsid w:val="000C5B93"/>
    <w:rsid w:val="000E5AE3"/>
    <w:rsid w:val="000F01A1"/>
    <w:rsid w:val="000F593A"/>
    <w:rsid w:val="00114B15"/>
    <w:rsid w:val="00124310"/>
    <w:rsid w:val="0012496F"/>
    <w:rsid w:val="00156E1B"/>
    <w:rsid w:val="001674AE"/>
    <w:rsid w:val="0017028E"/>
    <w:rsid w:val="00171B3D"/>
    <w:rsid w:val="0017208D"/>
    <w:rsid w:val="00182C0D"/>
    <w:rsid w:val="00192692"/>
    <w:rsid w:val="001B0528"/>
    <w:rsid w:val="001B6E13"/>
    <w:rsid w:val="001C4978"/>
    <w:rsid w:val="001F5AFE"/>
    <w:rsid w:val="00206FCB"/>
    <w:rsid w:val="002128CB"/>
    <w:rsid w:val="00213C02"/>
    <w:rsid w:val="00216987"/>
    <w:rsid w:val="00225D9D"/>
    <w:rsid w:val="002323A2"/>
    <w:rsid w:val="002361D0"/>
    <w:rsid w:val="002649AC"/>
    <w:rsid w:val="00287EC4"/>
    <w:rsid w:val="002C4C00"/>
    <w:rsid w:val="002E2D9D"/>
    <w:rsid w:val="002F7701"/>
    <w:rsid w:val="00342B77"/>
    <w:rsid w:val="00370129"/>
    <w:rsid w:val="003751D1"/>
    <w:rsid w:val="0038551F"/>
    <w:rsid w:val="003A3A99"/>
    <w:rsid w:val="003A4A8D"/>
    <w:rsid w:val="003A568A"/>
    <w:rsid w:val="003C6CC7"/>
    <w:rsid w:val="003F1715"/>
    <w:rsid w:val="00402A5B"/>
    <w:rsid w:val="00407991"/>
    <w:rsid w:val="00426B74"/>
    <w:rsid w:val="00432643"/>
    <w:rsid w:val="004A5B5B"/>
    <w:rsid w:val="004B4912"/>
    <w:rsid w:val="004C0121"/>
    <w:rsid w:val="004D1B7B"/>
    <w:rsid w:val="004E680C"/>
    <w:rsid w:val="00504896"/>
    <w:rsid w:val="0051137E"/>
    <w:rsid w:val="00516C7A"/>
    <w:rsid w:val="00521B36"/>
    <w:rsid w:val="00531573"/>
    <w:rsid w:val="005323A2"/>
    <w:rsid w:val="005414E3"/>
    <w:rsid w:val="00573AFB"/>
    <w:rsid w:val="0059152A"/>
    <w:rsid w:val="0059345D"/>
    <w:rsid w:val="005A6B90"/>
    <w:rsid w:val="005B1D0A"/>
    <w:rsid w:val="005B2428"/>
    <w:rsid w:val="005C0021"/>
    <w:rsid w:val="005D34E1"/>
    <w:rsid w:val="005E031C"/>
    <w:rsid w:val="005E3D56"/>
    <w:rsid w:val="0060687F"/>
    <w:rsid w:val="00607456"/>
    <w:rsid w:val="00614A79"/>
    <w:rsid w:val="006241FB"/>
    <w:rsid w:val="00650B1E"/>
    <w:rsid w:val="00653FD9"/>
    <w:rsid w:val="0068023A"/>
    <w:rsid w:val="006B665A"/>
    <w:rsid w:val="006C12C4"/>
    <w:rsid w:val="006C3587"/>
    <w:rsid w:val="006E21DE"/>
    <w:rsid w:val="006F3593"/>
    <w:rsid w:val="00710A3F"/>
    <w:rsid w:val="00723D7E"/>
    <w:rsid w:val="00727219"/>
    <w:rsid w:val="00730FE8"/>
    <w:rsid w:val="00756DE7"/>
    <w:rsid w:val="007809A5"/>
    <w:rsid w:val="00781F8B"/>
    <w:rsid w:val="00795F82"/>
    <w:rsid w:val="007B41EC"/>
    <w:rsid w:val="007D5731"/>
    <w:rsid w:val="007E0484"/>
    <w:rsid w:val="007F6490"/>
    <w:rsid w:val="00810971"/>
    <w:rsid w:val="00814F8C"/>
    <w:rsid w:val="0082433B"/>
    <w:rsid w:val="0084572F"/>
    <w:rsid w:val="00857492"/>
    <w:rsid w:val="008706BA"/>
    <w:rsid w:val="00870FE5"/>
    <w:rsid w:val="0087720B"/>
    <w:rsid w:val="008838A8"/>
    <w:rsid w:val="008A1872"/>
    <w:rsid w:val="008B6206"/>
    <w:rsid w:val="008D1920"/>
    <w:rsid w:val="00901C7C"/>
    <w:rsid w:val="00932893"/>
    <w:rsid w:val="0093699E"/>
    <w:rsid w:val="00941A8B"/>
    <w:rsid w:val="00946F5F"/>
    <w:rsid w:val="009510DE"/>
    <w:rsid w:val="009777B4"/>
    <w:rsid w:val="009A070C"/>
    <w:rsid w:val="009E6071"/>
    <w:rsid w:val="00A00DA9"/>
    <w:rsid w:val="00A01D21"/>
    <w:rsid w:val="00A17013"/>
    <w:rsid w:val="00A43A71"/>
    <w:rsid w:val="00A454B5"/>
    <w:rsid w:val="00A54333"/>
    <w:rsid w:val="00A60070"/>
    <w:rsid w:val="00A648CF"/>
    <w:rsid w:val="00A67705"/>
    <w:rsid w:val="00AE7DB7"/>
    <w:rsid w:val="00B04840"/>
    <w:rsid w:val="00B22A72"/>
    <w:rsid w:val="00B428F8"/>
    <w:rsid w:val="00B4540E"/>
    <w:rsid w:val="00B6706D"/>
    <w:rsid w:val="00B80C70"/>
    <w:rsid w:val="00B85A2A"/>
    <w:rsid w:val="00B97DC8"/>
    <w:rsid w:val="00BE5EFC"/>
    <w:rsid w:val="00BF4480"/>
    <w:rsid w:val="00C256FC"/>
    <w:rsid w:val="00C270B8"/>
    <w:rsid w:val="00C300A8"/>
    <w:rsid w:val="00C51CA1"/>
    <w:rsid w:val="00C64682"/>
    <w:rsid w:val="00C726AD"/>
    <w:rsid w:val="00C96E2D"/>
    <w:rsid w:val="00CA3B57"/>
    <w:rsid w:val="00CE088A"/>
    <w:rsid w:val="00D24517"/>
    <w:rsid w:val="00D327ED"/>
    <w:rsid w:val="00D507B7"/>
    <w:rsid w:val="00D52BEB"/>
    <w:rsid w:val="00D56505"/>
    <w:rsid w:val="00D60348"/>
    <w:rsid w:val="00D6553E"/>
    <w:rsid w:val="00D80CF8"/>
    <w:rsid w:val="00DD29EF"/>
    <w:rsid w:val="00DD45EC"/>
    <w:rsid w:val="00E5589B"/>
    <w:rsid w:val="00E72801"/>
    <w:rsid w:val="00E80934"/>
    <w:rsid w:val="00E8567C"/>
    <w:rsid w:val="00E94727"/>
    <w:rsid w:val="00E957E4"/>
    <w:rsid w:val="00EE4AE4"/>
    <w:rsid w:val="00F3361C"/>
    <w:rsid w:val="00F34481"/>
    <w:rsid w:val="00FB5C32"/>
    <w:rsid w:val="00FC2868"/>
    <w:rsid w:val="00FC447C"/>
    <w:rsid w:val="00FD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5E78A63-A4EC-4CD4-9E42-DDAF34A4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92"/>
        <w:ind w:left="1191" w:hanging="754"/>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19"/>
    <w:pPr>
      <w:tabs>
        <w:tab w:val="left" w:pos="9639"/>
      </w:tabs>
      <w:spacing w:before="0" w:after="120"/>
      <w:ind w:left="0" w:firstLine="0"/>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216987"/>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C2868"/>
    <w:pPr>
      <w:outlineLvl w:val="1"/>
    </w:pPr>
    <w:rPr>
      <w:noProof/>
      <w:color w:val="FFFFFF" w:themeColor="background1"/>
      <w:sz w:val="32"/>
      <w:szCs w:val="32"/>
    </w:rPr>
  </w:style>
  <w:style w:type="paragraph" w:styleId="Heading3">
    <w:name w:val="heading 3"/>
    <w:basedOn w:val="Heading2"/>
    <w:next w:val="Normal"/>
    <w:link w:val="Heading3Char"/>
    <w:uiPriority w:val="9"/>
    <w:unhideWhenUsed/>
    <w:qFormat/>
    <w:rsid w:val="003A4A8D"/>
    <w:pPr>
      <w:spacing w:after="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87"/>
    <w:pPr>
      <w:tabs>
        <w:tab w:val="center" w:pos="4680"/>
        <w:tab w:val="right" w:pos="9360"/>
      </w:tabs>
    </w:pPr>
  </w:style>
  <w:style w:type="character" w:customStyle="1" w:styleId="HeaderChar">
    <w:name w:val="Header Char"/>
    <w:basedOn w:val="DefaultParagraphFont"/>
    <w:link w:val="Header"/>
    <w:uiPriority w:val="99"/>
    <w:rsid w:val="00216987"/>
  </w:style>
  <w:style w:type="paragraph" w:styleId="Footer">
    <w:name w:val="footer"/>
    <w:basedOn w:val="Normal"/>
    <w:link w:val="FooterChar"/>
    <w:uiPriority w:val="99"/>
    <w:unhideWhenUsed/>
    <w:rsid w:val="00216987"/>
    <w:pPr>
      <w:tabs>
        <w:tab w:val="center" w:pos="4680"/>
        <w:tab w:val="right" w:pos="9360"/>
      </w:tabs>
    </w:pPr>
  </w:style>
  <w:style w:type="character" w:customStyle="1" w:styleId="FooterChar">
    <w:name w:val="Footer Char"/>
    <w:basedOn w:val="DefaultParagraphFont"/>
    <w:link w:val="Footer"/>
    <w:uiPriority w:val="99"/>
    <w:rsid w:val="00216987"/>
  </w:style>
  <w:style w:type="character" w:customStyle="1" w:styleId="Heading1Char">
    <w:name w:val="Heading 1 Char"/>
    <w:basedOn w:val="DefaultParagraphFont"/>
    <w:link w:val="Heading1"/>
    <w:rsid w:val="00216987"/>
    <w:rPr>
      <w:rFonts w:ascii="Arial" w:eastAsia="Times New Roman" w:hAnsi="Arial" w:cs="Arial"/>
      <w:b/>
      <w:bCs/>
      <w:szCs w:val="24"/>
    </w:rPr>
  </w:style>
  <w:style w:type="character" w:customStyle="1" w:styleId="Heading2Char">
    <w:name w:val="Heading 2 Char"/>
    <w:basedOn w:val="DefaultParagraphFont"/>
    <w:link w:val="Heading2"/>
    <w:uiPriority w:val="9"/>
    <w:rsid w:val="00FC2868"/>
    <w:rPr>
      <w:rFonts w:ascii="Verdana" w:eastAsia="Times New Roman" w:hAnsi="Verdana" w:cs="Times New Roman"/>
      <w:noProof/>
      <w:color w:val="FFFFFF" w:themeColor="background1"/>
      <w:sz w:val="32"/>
      <w:szCs w:val="32"/>
    </w:rPr>
  </w:style>
  <w:style w:type="character" w:customStyle="1" w:styleId="Heading3Char">
    <w:name w:val="Heading 3 Char"/>
    <w:basedOn w:val="DefaultParagraphFont"/>
    <w:link w:val="Heading3"/>
    <w:rsid w:val="003A4A8D"/>
    <w:rPr>
      <w:rFonts w:ascii="Verdana" w:eastAsia="Times New Roman" w:hAnsi="Verdana" w:cs="Times New Roman"/>
      <w:color w:val="0092D7" w:themeColor="accent1"/>
      <w:sz w:val="24"/>
      <w:szCs w:val="24"/>
    </w:rPr>
  </w:style>
  <w:style w:type="paragraph" w:customStyle="1" w:styleId="TableHeadings">
    <w:name w:val="Table Headings"/>
    <w:basedOn w:val="Normal"/>
    <w:qFormat/>
    <w:rsid w:val="003A4A8D"/>
    <w:pPr>
      <w:spacing w:before="20" w:after="20"/>
    </w:pPr>
    <w:rPr>
      <w:color w:val="FFFFFF" w:themeColor="background1"/>
    </w:rPr>
  </w:style>
  <w:style w:type="paragraph" w:customStyle="1" w:styleId="Inbetweentabletext">
    <w:name w:val="Inbetween table text"/>
    <w:basedOn w:val="Normal"/>
    <w:qFormat/>
    <w:rsid w:val="00727219"/>
    <w:pPr>
      <w:spacing w:after="0"/>
    </w:pPr>
    <w:rPr>
      <w:sz w:val="16"/>
      <w:szCs w:val="16"/>
    </w:rPr>
  </w:style>
  <w:style w:type="paragraph" w:styleId="BalloonText">
    <w:name w:val="Balloon Text"/>
    <w:basedOn w:val="Normal"/>
    <w:link w:val="BalloonTextChar"/>
    <w:uiPriority w:val="99"/>
    <w:semiHidden/>
    <w:unhideWhenUsed/>
    <w:rsid w:val="00FC2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8"/>
    <w:rPr>
      <w:rFonts w:ascii="Tahoma" w:eastAsia="Times New Roman" w:hAnsi="Tahoma" w:cs="Tahoma"/>
      <w:sz w:val="16"/>
      <w:szCs w:val="16"/>
    </w:rPr>
  </w:style>
  <w:style w:type="paragraph" w:styleId="ListParagraph">
    <w:name w:val="List Paragraph"/>
    <w:basedOn w:val="Normal"/>
    <w:uiPriority w:val="34"/>
    <w:qFormat/>
    <w:rsid w:val="005414E3"/>
    <w:pPr>
      <w:numPr>
        <w:numId w:val="22"/>
      </w:numPr>
      <w:spacing w:before="120"/>
      <w:contextualSpacing/>
      <w:jc w:val="both"/>
    </w:pPr>
    <w:rPr>
      <w:szCs w:val="20"/>
    </w:rPr>
  </w:style>
  <w:style w:type="table" w:styleId="TableGrid">
    <w:name w:val="Table Grid"/>
    <w:basedOn w:val="TableNormal"/>
    <w:uiPriority w:val="59"/>
    <w:rsid w:val="003701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yHeading">
    <w:name w:val="Category Heading"/>
    <w:basedOn w:val="Normal"/>
    <w:qFormat/>
    <w:rsid w:val="001B6E13"/>
    <w:pPr>
      <w:tabs>
        <w:tab w:val="clear" w:pos="9639"/>
      </w:tabs>
      <w:spacing w:after="176"/>
    </w:pPr>
    <w:rPr>
      <w:color w:val="00967D"/>
      <w:spacing w:val="1"/>
      <w:sz w:val="32"/>
      <w:lang w:val="en-AU" w:eastAsia="en-AU"/>
    </w:rPr>
  </w:style>
  <w:style w:type="paragraph" w:styleId="ListBullet">
    <w:name w:val="List Bullet"/>
    <w:basedOn w:val="Normal"/>
    <w:rsid w:val="001B6E13"/>
    <w:pPr>
      <w:numPr>
        <w:numId w:val="6"/>
      </w:numPr>
      <w:tabs>
        <w:tab w:val="clear" w:pos="360"/>
        <w:tab w:val="clear" w:pos="9639"/>
      </w:tabs>
      <w:spacing w:after="100" w:line="300" w:lineRule="atLeast"/>
      <w:ind w:left="180" w:hanging="180"/>
    </w:pPr>
    <w:rPr>
      <w:spacing w:val="1"/>
      <w:lang w:val="en-AU" w:eastAsia="en-AU"/>
    </w:rPr>
  </w:style>
  <w:style w:type="paragraph" w:styleId="ListBullet2">
    <w:name w:val="List Bullet 2"/>
    <w:basedOn w:val="Normal"/>
    <w:rsid w:val="001B6E13"/>
    <w:pPr>
      <w:numPr>
        <w:numId w:val="8"/>
      </w:numPr>
      <w:tabs>
        <w:tab w:val="clear" w:pos="9639"/>
      </w:tabs>
      <w:spacing w:after="200" w:line="300" w:lineRule="atLeast"/>
      <w:contextualSpacing/>
    </w:pPr>
    <w:rPr>
      <w:spacing w:val="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41">
      <w:bodyDiv w:val="1"/>
      <w:marLeft w:val="0"/>
      <w:marRight w:val="0"/>
      <w:marTop w:val="0"/>
      <w:marBottom w:val="0"/>
      <w:divBdr>
        <w:top w:val="none" w:sz="0" w:space="0" w:color="auto"/>
        <w:left w:val="none" w:sz="0" w:space="0" w:color="auto"/>
        <w:bottom w:val="none" w:sz="0" w:space="0" w:color="auto"/>
        <w:right w:val="none" w:sz="0" w:space="0" w:color="auto"/>
      </w:divBdr>
    </w:div>
    <w:div w:id="747926668">
      <w:bodyDiv w:val="1"/>
      <w:marLeft w:val="0"/>
      <w:marRight w:val="0"/>
      <w:marTop w:val="0"/>
      <w:marBottom w:val="0"/>
      <w:divBdr>
        <w:top w:val="none" w:sz="0" w:space="0" w:color="auto"/>
        <w:left w:val="none" w:sz="0" w:space="0" w:color="auto"/>
        <w:bottom w:val="none" w:sz="0" w:space="0" w:color="auto"/>
        <w:right w:val="none" w:sz="0" w:space="0" w:color="auto"/>
      </w:divBdr>
    </w:div>
    <w:div w:id="1152601503">
      <w:bodyDiv w:val="1"/>
      <w:marLeft w:val="0"/>
      <w:marRight w:val="0"/>
      <w:marTop w:val="0"/>
      <w:marBottom w:val="0"/>
      <w:divBdr>
        <w:top w:val="none" w:sz="0" w:space="0" w:color="auto"/>
        <w:left w:val="none" w:sz="0" w:space="0" w:color="auto"/>
        <w:bottom w:val="none" w:sz="0" w:space="0" w:color="auto"/>
        <w:right w:val="none" w:sz="0" w:space="0" w:color="auto"/>
      </w:divBdr>
    </w:div>
    <w:div w:id="14683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lbourne Water J">
      <a:dk1>
        <a:sysClr val="windowText" lastClr="000000"/>
      </a:dk1>
      <a:lt1>
        <a:sysClr val="window" lastClr="FFFFFF"/>
      </a:lt1>
      <a:dk2>
        <a:srgbClr val="00428B"/>
      </a:dk2>
      <a:lt2>
        <a:srgbClr val="D7D3C7"/>
      </a:lt2>
      <a:accent1>
        <a:srgbClr val="0092D7"/>
      </a:accent1>
      <a:accent2>
        <a:srgbClr val="46C2D7"/>
      </a:accent2>
      <a:accent3>
        <a:srgbClr val="00967D"/>
      </a:accent3>
      <a:accent4>
        <a:srgbClr val="C2D300"/>
      </a:accent4>
      <a:accent5>
        <a:srgbClr val="4D4F53"/>
      </a:accent5>
      <a:accent6>
        <a:srgbClr val="AAA38E"/>
      </a:accent6>
      <a:hlink>
        <a:srgbClr val="4D4F53"/>
      </a:hlink>
      <a:folHlink>
        <a:srgbClr val="75BB1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C503-BA6E-4519-8173-D4BAD230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Kate Wells</cp:lastModifiedBy>
  <cp:revision>2</cp:revision>
  <cp:lastPrinted>2019-09-09T06:34:00Z</cp:lastPrinted>
  <dcterms:created xsi:type="dcterms:W3CDTF">2020-07-28T04:04:00Z</dcterms:created>
  <dcterms:modified xsi:type="dcterms:W3CDTF">2020-07-28T04:04:00Z</dcterms:modified>
</cp:coreProperties>
</file>