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9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989"/>
        <w:gridCol w:w="7542"/>
      </w:tblGrid>
      <w:tr w:rsidR="00D572CA" w14:paraId="4E22F1C5" w14:textId="77777777" w:rsidTr="00F66B8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17A5BDE" w14:textId="20CFF9F0" w:rsidR="00D572CA" w:rsidRDefault="00D572CA" w:rsidP="006E0009">
            <w:pPr>
              <w:ind w:left="720" w:hanging="720"/>
              <w:rPr>
                <w:b/>
                <w:color w:val="BD1A8D"/>
              </w:rPr>
            </w:pPr>
            <w:bookmarkStart w:id="0" w:name="_GoBack"/>
            <w:bookmarkEnd w:id="0"/>
            <w:r>
              <w:rPr>
                <w:b/>
                <w:color w:val="722D69"/>
                <w:sz w:val="28"/>
              </w:rPr>
              <w:t>Mission Australia</w:t>
            </w:r>
          </w:p>
        </w:tc>
      </w:tr>
      <w:tr w:rsidR="00B23A03" w14:paraId="43888064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2DA1ED28" w14:textId="77777777" w:rsidR="00B23A03" w:rsidRDefault="00B23A03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About us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3813EDA0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Mission Australia is a national Christian charity that has been helping vulnerable Australians move towards independence for over 160 years.</w:t>
            </w:r>
          </w:p>
          <w:p w14:paraId="6F8FE1A6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We’ve learnt the ways for people to become more self-sufficient are different for everyone. This informs how we support people by combatting homelessness, assisting disadvantaged families and children, addressing mental health issues, fighting substance dependencies, and much more.</w:t>
            </w:r>
            <w:r>
              <w:rPr>
                <w:sz w:val="22"/>
                <w:szCs w:val="22"/>
              </w:rPr>
              <w:t xml:space="preserve"> </w:t>
            </w:r>
            <w:r w:rsidRPr="00A40F48">
              <w:rPr>
                <w:sz w:val="22"/>
                <w:szCs w:val="22"/>
              </w:rPr>
              <w:t xml:space="preserve">Our team applies different approaches, alongside government, our corporate partners and everyday Australians who provide generous support. </w:t>
            </w:r>
          </w:p>
          <w:p w14:paraId="7DD084ED" w14:textId="77777777" w:rsidR="00B23A03" w:rsidRDefault="00B24132" w:rsidP="00B24132">
            <w:pPr>
              <w:jc w:val="both"/>
              <w:rPr>
                <w:rFonts w:cs="Calibri"/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Together, we stand with Australians in need until they can stand for themselves.</w:t>
            </w:r>
          </w:p>
        </w:tc>
      </w:tr>
      <w:tr w:rsidR="00A826F7" w14:paraId="626CAC9D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6B265C0" w14:textId="77777777" w:rsidR="00A826F7" w:rsidRPr="00B76B2D" w:rsidRDefault="00A826F7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Purpose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4F66664" w14:textId="77777777" w:rsidR="00A826F7" w:rsidRPr="00753C66" w:rsidRDefault="00A826F7" w:rsidP="009537C6">
            <w:pPr>
              <w:jc w:val="both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14:paraId="5BC2FCE4" w14:textId="77777777" w:rsidR="00A826F7" w:rsidRPr="000C37E1" w:rsidRDefault="00A826F7" w:rsidP="009537C6">
            <w:pPr>
              <w:ind w:left="720" w:hanging="720"/>
              <w:jc w:val="both"/>
              <w:rPr>
                <w:i/>
                <w:sz w:val="19"/>
                <w:szCs w:val="19"/>
              </w:rPr>
            </w:pPr>
            <w:r w:rsidRPr="000C37E1">
              <w:rPr>
                <w:i/>
                <w:sz w:val="19"/>
                <w:szCs w:val="19"/>
              </w:rPr>
              <w:t>“</w:t>
            </w:r>
            <w:r w:rsidR="00071B9F" w:rsidRPr="000C37E1">
              <w:rPr>
                <w:i/>
                <w:sz w:val="19"/>
                <w:szCs w:val="19"/>
              </w:rPr>
              <w:t>Dear children, let us not love with words or speech but with actions and in truth.</w:t>
            </w:r>
            <w:r w:rsidRPr="000C37E1">
              <w:rPr>
                <w:i/>
                <w:sz w:val="19"/>
                <w:szCs w:val="19"/>
              </w:rPr>
              <w:t>” (1 John 3:1</w:t>
            </w:r>
            <w:r w:rsidR="00071B9F" w:rsidRPr="000C37E1">
              <w:rPr>
                <w:i/>
                <w:sz w:val="19"/>
                <w:szCs w:val="19"/>
              </w:rPr>
              <w:t>8</w:t>
            </w:r>
            <w:r w:rsidRPr="000C37E1">
              <w:rPr>
                <w:i/>
                <w:sz w:val="19"/>
                <w:szCs w:val="19"/>
              </w:rPr>
              <w:t>)</w:t>
            </w:r>
          </w:p>
        </w:tc>
      </w:tr>
      <w:tr w:rsidR="00A826F7" w14:paraId="227382B9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7E26F18D" w14:textId="77777777" w:rsidR="00A826F7" w:rsidRPr="00B76B2D" w:rsidRDefault="00A826F7" w:rsidP="00C732BC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Values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370DAB5B" w14:textId="77777777" w:rsidR="00A826F7" w:rsidRPr="00B76B2D" w:rsidRDefault="00A826F7" w:rsidP="00EF6592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Compassion     Integrity      Respect   </w:t>
            </w:r>
            <w:r w:rsidR="00EF6592">
              <w:rPr>
                <w:sz w:val="22"/>
              </w:rPr>
              <w:t xml:space="preserve">   </w:t>
            </w:r>
            <w:r w:rsidRPr="00753C66">
              <w:rPr>
                <w:sz w:val="22"/>
              </w:rPr>
              <w:t>Perseverance    Celebration</w:t>
            </w:r>
            <w:r w:rsidR="000E1494">
              <w:rPr>
                <w:sz w:val="22"/>
              </w:rPr>
              <w:t xml:space="preserve"> </w:t>
            </w:r>
          </w:p>
        </w:tc>
      </w:tr>
      <w:tr w:rsidR="00C732BC" w:rsidRPr="00B76B2D" w14:paraId="46A3B2F6" w14:textId="77777777" w:rsidTr="00AE0032">
        <w:tc>
          <w:tcPr>
            <w:tcW w:w="1043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46AC3AE" w14:textId="77777777" w:rsidR="00C732BC" w:rsidRPr="00B76B2D" w:rsidRDefault="00C732BC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Goal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EE1C732" w14:textId="3DE516DD" w:rsidR="00C732BC" w:rsidRPr="00B76B2D" w:rsidRDefault="005E38C5" w:rsidP="007E2C7A">
            <w:pPr>
              <w:ind w:left="720" w:hanging="720"/>
              <w:rPr>
                <w:sz w:val="22"/>
              </w:rPr>
            </w:pPr>
            <w:r w:rsidRPr="00E0601B">
              <w:rPr>
                <w:sz w:val="22"/>
                <w:szCs w:val="22"/>
              </w:rPr>
              <w:t>End homelessness and ensure people and communities in need can thrive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EE4888" w14:paraId="288335BA" w14:textId="77777777" w:rsidTr="00A5237F">
        <w:tc>
          <w:tcPr>
            <w:tcW w:w="5000" w:type="pct"/>
            <w:gridSpan w:val="2"/>
            <w:tcBorders>
              <w:top w:val="single" w:sz="4" w:space="0" w:color="EC008C"/>
              <w:left w:val="nil"/>
              <w:bottom w:val="nil"/>
              <w:right w:val="nil"/>
            </w:tcBorders>
          </w:tcPr>
          <w:p w14:paraId="6B795372" w14:textId="6524EFF9" w:rsidR="00EE4888" w:rsidRPr="00A5237F" w:rsidRDefault="00EE4888" w:rsidP="00EE4888">
            <w:pPr>
              <w:spacing w:before="240" w:after="160"/>
              <w:ind w:left="720" w:hanging="720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Position Details: </w:t>
            </w:r>
          </w:p>
        </w:tc>
      </w:tr>
      <w:tr w:rsidR="00EE4888" w14:paraId="4F792783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595A80F5" w14:textId="6F2830F5" w:rsidR="00EE4888" w:rsidRDefault="00EE4888" w:rsidP="00EE4888">
            <w:pPr>
              <w:rPr>
                <w:sz w:val="22"/>
              </w:rPr>
            </w:pPr>
            <w:r>
              <w:rPr>
                <w:sz w:val="22"/>
              </w:rPr>
              <w:t>Position Title: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0120C94" w14:textId="73EB2448" w:rsidR="00EE4888" w:rsidRPr="00BC36E4" w:rsidRDefault="00EE4888" w:rsidP="00EE4888">
            <w:pPr>
              <w:ind w:left="720" w:hanging="720"/>
              <w:rPr>
                <w:b/>
                <w:sz w:val="22"/>
                <w:highlight w:val="yellow"/>
              </w:rPr>
            </w:pPr>
            <w:r w:rsidRPr="00284B68">
              <w:rPr>
                <w:sz w:val="22"/>
              </w:rPr>
              <w:t>General Manager Business Development</w:t>
            </w:r>
          </w:p>
        </w:tc>
      </w:tr>
      <w:tr w:rsidR="00EE4888" w14:paraId="1209E20D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FB09DDA" w14:textId="723954D3" w:rsidR="00EE4888" w:rsidRDefault="00EE4888" w:rsidP="00EE4888">
            <w:pPr>
              <w:rPr>
                <w:sz w:val="22"/>
              </w:rPr>
            </w:pPr>
            <w:r w:rsidRPr="009929B5">
              <w:rPr>
                <w:sz w:val="22"/>
              </w:rPr>
              <w:t>Award/Agreement: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5A47ADB" w14:textId="43420684" w:rsidR="00EE4888" w:rsidRDefault="00E80BFE" w:rsidP="00EE488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Non-Agreement</w:t>
            </w:r>
          </w:p>
        </w:tc>
      </w:tr>
      <w:tr w:rsidR="00EE4888" w14:paraId="4473B1CD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1FE7226" w14:textId="759E0BA9" w:rsidR="00EE4888" w:rsidRDefault="00EE4888" w:rsidP="00EE4888">
            <w:pPr>
              <w:rPr>
                <w:sz w:val="22"/>
              </w:rPr>
            </w:pPr>
            <w:r w:rsidRPr="009929B5">
              <w:rPr>
                <w:sz w:val="22"/>
              </w:rPr>
              <w:t>Classification/Level:</w:t>
            </w:r>
            <w:r>
              <w:rPr>
                <w:sz w:val="22"/>
              </w:rPr>
              <w:t xml:space="preserve">                        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96DCD8F" w14:textId="4B32518C" w:rsidR="00EE4888" w:rsidRDefault="00EE4888" w:rsidP="00EE488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EE4888" w14:paraId="45810C50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75523E0" w14:textId="1CA27168" w:rsidR="00EE4888" w:rsidRDefault="00EE4888" w:rsidP="00EE4888">
            <w:pPr>
              <w:rPr>
                <w:sz w:val="22"/>
              </w:rPr>
            </w:pPr>
            <w:r>
              <w:rPr>
                <w:sz w:val="22"/>
              </w:rPr>
              <w:t>Executive Function: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84E0E22" w14:textId="6B4DEB4F" w:rsidR="00EE4888" w:rsidRDefault="002F73CD" w:rsidP="00EE488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Practice, Evidence and Impact</w:t>
            </w:r>
            <w:r w:rsidRPr="00284B68">
              <w:rPr>
                <w:sz w:val="22"/>
              </w:rPr>
              <w:t xml:space="preserve">     </w:t>
            </w:r>
          </w:p>
        </w:tc>
      </w:tr>
      <w:tr w:rsidR="00EE4888" w14:paraId="41E0E7B6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2C22A5D" w14:textId="530F2558" w:rsidR="00EE4888" w:rsidRDefault="00EE4888" w:rsidP="00EE4888">
            <w:pPr>
              <w:rPr>
                <w:sz w:val="22"/>
              </w:rPr>
            </w:pPr>
            <w:r>
              <w:rPr>
                <w:sz w:val="22"/>
              </w:rPr>
              <w:t>Business Unit</w:t>
            </w:r>
            <w:r w:rsidR="002F73CD">
              <w:rPr>
                <w:sz w:val="22"/>
              </w:rPr>
              <w:t>/Program</w:t>
            </w:r>
            <w:r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DDFE855" w14:textId="39D76804" w:rsidR="00EE4888" w:rsidRDefault="002F73CD" w:rsidP="00EE488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Business Development</w:t>
            </w:r>
            <w:r w:rsidDel="002F73CD">
              <w:rPr>
                <w:sz w:val="22"/>
              </w:rPr>
              <w:t xml:space="preserve"> </w:t>
            </w:r>
          </w:p>
        </w:tc>
      </w:tr>
      <w:tr w:rsidR="00EE4888" w14:paraId="68D0A3A8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358B8B1" w14:textId="06D7F134" w:rsidR="00EE4888" w:rsidRPr="00B76B2D" w:rsidRDefault="00EE4888" w:rsidP="00EE4888">
            <w:pPr>
              <w:rPr>
                <w:sz w:val="22"/>
              </w:rPr>
            </w:pPr>
            <w:r>
              <w:rPr>
                <w:sz w:val="22"/>
              </w:rPr>
              <w:t>Reports to: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DF706E7" w14:textId="78CD1437" w:rsidR="00EE4888" w:rsidRPr="00B76B2D" w:rsidRDefault="00EE4888" w:rsidP="00EE4888">
            <w:pPr>
              <w:rPr>
                <w:sz w:val="22"/>
              </w:rPr>
            </w:pPr>
            <w:r>
              <w:rPr>
                <w:sz w:val="22"/>
              </w:rPr>
              <w:t>Executive</w:t>
            </w:r>
            <w:r w:rsidR="000B454A">
              <w:rPr>
                <w:sz w:val="22"/>
              </w:rPr>
              <w:t xml:space="preserve"> - </w:t>
            </w:r>
            <w:r>
              <w:rPr>
                <w:sz w:val="22"/>
              </w:rPr>
              <w:t xml:space="preserve">Practice Evidence </w:t>
            </w:r>
            <w:r w:rsidR="000B454A">
              <w:rPr>
                <w:sz w:val="22"/>
              </w:rPr>
              <w:t>&amp;</w:t>
            </w:r>
            <w:r>
              <w:rPr>
                <w:sz w:val="22"/>
              </w:rPr>
              <w:t xml:space="preserve"> Impact</w:t>
            </w:r>
          </w:p>
        </w:tc>
      </w:tr>
      <w:tr w:rsidR="00EE4888" w14:paraId="3E4D42B6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272358C5" w14:textId="1558823E" w:rsidR="00EE4888" w:rsidRPr="00B76B2D" w:rsidRDefault="00EE4888" w:rsidP="00EE4888">
            <w:pPr>
              <w:ind w:left="-71" w:firstLine="71"/>
              <w:rPr>
                <w:sz w:val="22"/>
              </w:rPr>
            </w:pPr>
            <w:r>
              <w:rPr>
                <w:sz w:val="22"/>
              </w:rPr>
              <w:t>Position Purpose: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12115742" w14:textId="15945563" w:rsidR="00EE4888" w:rsidRPr="00B76B2D" w:rsidRDefault="00EE4888" w:rsidP="00EE4888">
            <w:pPr>
              <w:rPr>
                <w:sz w:val="22"/>
              </w:rPr>
            </w:pPr>
            <w:r w:rsidRPr="00284B68">
              <w:rPr>
                <w:sz w:val="22"/>
                <w:szCs w:val="22"/>
              </w:rPr>
              <w:t xml:space="preserve">Oversees the development and implementation of </w:t>
            </w:r>
            <w:r>
              <w:rPr>
                <w:sz w:val="22"/>
                <w:szCs w:val="22"/>
              </w:rPr>
              <w:t xml:space="preserve">the </w:t>
            </w:r>
            <w:r w:rsidRPr="00284B68">
              <w:rPr>
                <w:sz w:val="22"/>
                <w:szCs w:val="22"/>
              </w:rPr>
              <w:t>National Business Development strategy in collaboration with service delivery leaders</w:t>
            </w:r>
            <w:r>
              <w:rPr>
                <w:sz w:val="22"/>
                <w:szCs w:val="22"/>
              </w:rPr>
              <w:t>,</w:t>
            </w:r>
            <w:r w:rsidRPr="00284B68">
              <w:rPr>
                <w:sz w:val="22"/>
                <w:szCs w:val="22"/>
              </w:rPr>
              <w:t xml:space="preserve"> to meet organisational budget and strategy requirements.</w:t>
            </w:r>
          </w:p>
        </w:tc>
      </w:tr>
      <w:tr w:rsidR="00EE4888" w14:paraId="43C8F5EC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1D3D1ADD" w14:textId="77777777" w:rsidR="00EE4888" w:rsidRDefault="00EE4888" w:rsidP="00EE4888">
            <w:pPr>
              <w:ind w:left="-71" w:firstLine="71"/>
              <w:rPr>
                <w:sz w:val="22"/>
              </w:rPr>
            </w:pP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4C3C63AE" w14:textId="77777777" w:rsidR="00EE4888" w:rsidRPr="00284B68" w:rsidRDefault="00EE4888" w:rsidP="00EE4888">
            <w:pPr>
              <w:rPr>
                <w:sz w:val="22"/>
                <w:szCs w:val="22"/>
              </w:rPr>
            </w:pPr>
          </w:p>
        </w:tc>
      </w:tr>
    </w:tbl>
    <w:p w14:paraId="350521C0" w14:textId="77777777" w:rsidR="00EA745B" w:rsidRDefault="00120E22" w:rsidP="000B007D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Position</w:t>
      </w:r>
      <w:r w:rsidR="005F71CC" w:rsidRPr="00A54162">
        <w:rPr>
          <w:b/>
          <w:color w:val="722D69"/>
          <w:sz w:val="28"/>
        </w:rPr>
        <w:t xml:space="preserve"> Requirement</w:t>
      </w:r>
      <w:r w:rsidR="00A54162">
        <w:rPr>
          <w:b/>
          <w:color w:val="722D69"/>
          <w:sz w:val="28"/>
        </w:rPr>
        <w:t>s</w:t>
      </w:r>
      <w:r w:rsidR="005F71CC" w:rsidRPr="00A54162">
        <w:rPr>
          <w:b/>
          <w:color w:val="722D69"/>
          <w:sz w:val="28"/>
        </w:rPr>
        <w:t xml:space="preserve"> (What are the key activities for the role?)</w:t>
      </w:r>
    </w:p>
    <w:tbl>
      <w:tblPr>
        <w:tblW w:w="544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3"/>
        <w:gridCol w:w="321"/>
      </w:tblGrid>
      <w:tr w:rsidR="00193477" w:rsidRPr="00193477" w14:paraId="3A3D23D7" w14:textId="77777777" w:rsidTr="002F29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7"/>
              <w:gridCol w:w="4819"/>
            </w:tblGrid>
            <w:tr w:rsidR="009A4142" w14:paraId="137DBA7A" w14:textId="77777777" w:rsidTr="00A5237F">
              <w:tc>
                <w:tcPr>
                  <w:tcW w:w="4597" w:type="dxa"/>
                  <w:shd w:val="clear" w:color="auto" w:fill="auto"/>
                </w:tcPr>
                <w:p w14:paraId="20EC903A" w14:textId="1E3F1B85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>KEY RESULT AREA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E65D3DE" w14:textId="760F8F0F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>LEADERSHIP</w:t>
                  </w:r>
                  <w:r w:rsidRPr="002D1A3E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 xml:space="preserve"> AND TEAM MANAGEMENT </w:t>
                  </w:r>
                </w:p>
              </w:tc>
            </w:tr>
            <w:tr w:rsidR="009A4142" w14:paraId="70056EEB" w14:textId="77777777" w:rsidTr="00A5237F">
              <w:tc>
                <w:tcPr>
                  <w:tcW w:w="4597" w:type="dxa"/>
                  <w:shd w:val="clear" w:color="auto" w:fill="auto"/>
                </w:tcPr>
                <w:p w14:paraId="77444693" w14:textId="4DF0392B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154747C" w14:textId="13CE173E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b/>
                      <w:noProof/>
                      <w:color w:val="BD1A8D"/>
                      <w:sz w:val="22"/>
                      <w:szCs w:val="22"/>
                    </w:rPr>
                    <w:t>Position</w:t>
                  </w:r>
                  <w:r w:rsidRPr="002D1A3E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 xml:space="preserve"> holder is successful when</w:t>
                  </w:r>
                </w:p>
              </w:tc>
            </w:tr>
            <w:tr w:rsidR="009A4142" w14:paraId="34010F30" w14:textId="77777777" w:rsidTr="00A5237F">
              <w:tc>
                <w:tcPr>
                  <w:tcW w:w="4597" w:type="dxa"/>
                  <w:shd w:val="clear" w:color="auto" w:fill="auto"/>
                </w:tcPr>
                <w:p w14:paraId="645E5939" w14:textId="77777777" w:rsidR="009A4142" w:rsidRPr="00C277A4" w:rsidRDefault="009A4142" w:rsidP="009A4142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Actively foster</w:t>
                  </w:r>
                  <w:r w:rsidRPr="002D1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 culture across MA that facilitates knowledge</w:t>
                  </w:r>
                  <w:r w:rsidRPr="00CE7C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shar</w:t>
                  </w: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ing, collaboration, continuous learning and improvement and use of evidence to increase the organisation’s impact.</w:t>
                  </w:r>
                </w:p>
                <w:p w14:paraId="1291C649" w14:textId="23391116" w:rsidR="009A4142" w:rsidRPr="00C277A4" w:rsidRDefault="009A4142" w:rsidP="009A4142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rPr>
                      <w:rFonts w:asciiTheme="minorHAnsi" w:eastAsia="Times New Roman" w:hAnsiTheme="minorHAnsi" w:cstheme="minorHAnsi"/>
                    </w:rPr>
                  </w:pPr>
                  <w:r w:rsidRPr="00C277A4">
                    <w:rPr>
                      <w:rFonts w:asciiTheme="minorHAnsi" w:eastAsia="Times New Roman" w:hAnsiTheme="minorHAnsi" w:cstheme="minorHAnsi"/>
                    </w:rPr>
                    <w:t xml:space="preserve">Define, review and deliver the strategy and annual business planning for the Business Development (BD) Team; report on team </w:t>
                  </w:r>
                  <w:r w:rsidRPr="00C277A4">
                    <w:rPr>
                      <w:rFonts w:asciiTheme="minorHAnsi" w:eastAsia="Times New Roman" w:hAnsiTheme="minorHAnsi" w:cstheme="minorHAnsi"/>
                    </w:rPr>
                    <w:lastRenderedPageBreak/>
                    <w:t xml:space="preserve">achievements and progress; and contribute ideas and input to organisational-wide Strategy and planning processes. </w:t>
                  </w:r>
                </w:p>
                <w:p w14:paraId="7D70AB8B" w14:textId="77777777" w:rsidR="009A4142" w:rsidRPr="00C277A4" w:rsidRDefault="009A4142" w:rsidP="009A4142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rPr>
                      <w:rFonts w:asciiTheme="minorHAnsi" w:eastAsia="Times New Roman" w:hAnsiTheme="minorHAnsi" w:cstheme="minorHAnsi"/>
                    </w:rPr>
                  </w:pPr>
                  <w:r w:rsidRPr="00C277A4">
                    <w:rPr>
                      <w:rFonts w:asciiTheme="minorHAnsi" w:eastAsia="Times New Roman" w:hAnsiTheme="minorHAnsi" w:cstheme="minorHAnsi"/>
                    </w:rPr>
                    <w:t>Ensure integration and collaboration across the team, the Practice Evidence &amp; Insights group and Mission Australia.</w:t>
                  </w:r>
                </w:p>
                <w:p w14:paraId="6671E935" w14:textId="3DB3480D" w:rsidR="009A4142" w:rsidRPr="00C277A4" w:rsidRDefault="009A4142" w:rsidP="009A4142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rPr>
                      <w:rFonts w:asciiTheme="minorHAnsi" w:eastAsia="Times New Roman" w:hAnsiTheme="minorHAnsi" w:cstheme="minorHAnsi"/>
                    </w:rPr>
                  </w:pPr>
                  <w:r w:rsidRPr="00C277A4">
                    <w:rPr>
                      <w:rFonts w:asciiTheme="minorHAnsi" w:eastAsia="Times New Roman" w:hAnsiTheme="minorHAnsi" w:cstheme="minorHAnsi"/>
                    </w:rPr>
                    <w:t>Prioritise requirements and requests from across the organisation to allocate scarce resources effectively.</w:t>
                  </w:r>
                </w:p>
                <w:p w14:paraId="21E00007" w14:textId="2FFF10B0" w:rsidR="005D1E74" w:rsidRPr="00C277A4" w:rsidRDefault="005D1E74" w:rsidP="005D1E74">
                  <w:pPr>
                    <w:pStyle w:val="ListParagraph"/>
                    <w:numPr>
                      <w:ilvl w:val="0"/>
                      <w:numId w:val="30"/>
                    </w:numPr>
                    <w:ind w:left="242" w:hanging="2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Manage the team’s operations within set annual budgets.</w:t>
                  </w:r>
                </w:p>
                <w:p w14:paraId="5FAC63E4" w14:textId="69A24A92" w:rsidR="00DF14A9" w:rsidRPr="00C277A4" w:rsidRDefault="00DF14A9" w:rsidP="00DF14A9">
                  <w:pPr>
                    <w:pStyle w:val="ListParagraph"/>
                    <w:numPr>
                      <w:ilvl w:val="0"/>
                      <w:numId w:val="30"/>
                    </w:numPr>
                    <w:ind w:left="242" w:hanging="2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Set and review clear expectations of accountability and performance, within a team culture of feedback, coaching and development. </w:t>
                  </w:r>
                </w:p>
                <w:p w14:paraId="112E5592" w14:textId="0DAD2209" w:rsidR="009A4142" w:rsidRPr="00C277A4" w:rsidRDefault="009A4142" w:rsidP="009A4142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Support and guide the BD team in maximising their capabilities and achievements.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DDE639A" w14:textId="67AB387D" w:rsidR="009A4142" w:rsidRPr="00C277A4" w:rsidRDefault="009A4142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rPr>
                      <w:rFonts w:asciiTheme="minorHAnsi" w:eastAsia="Times New Roman" w:hAnsiTheme="minorHAnsi" w:cstheme="minorHAnsi"/>
                    </w:rPr>
                  </w:pPr>
                  <w:r w:rsidRPr="00C277A4">
                    <w:rPr>
                      <w:rFonts w:asciiTheme="minorHAnsi" w:eastAsia="Times New Roman" w:hAnsiTheme="minorHAnsi" w:cstheme="minorHAnsi"/>
                    </w:rPr>
                    <w:lastRenderedPageBreak/>
                    <w:t>MA’s culture increasingly shows leaders and staff understand the value of business development in delivering to the 20-25 Strategy, and use th</w:t>
                  </w:r>
                  <w:r w:rsidR="001505D8" w:rsidRPr="00C277A4">
                    <w:rPr>
                      <w:rFonts w:asciiTheme="minorHAnsi" w:eastAsia="Times New Roman" w:hAnsiTheme="minorHAnsi" w:cstheme="minorHAnsi"/>
                    </w:rPr>
                    <w:t>is</w:t>
                  </w:r>
                  <w:r w:rsidRPr="00C277A4">
                    <w:rPr>
                      <w:rFonts w:asciiTheme="minorHAnsi" w:eastAsia="Times New Roman" w:hAnsiTheme="minorHAnsi" w:cstheme="minorHAnsi"/>
                    </w:rPr>
                    <w:t xml:space="preserve"> to shape their work.</w:t>
                  </w:r>
                </w:p>
                <w:p w14:paraId="7B35A3C7" w14:textId="2EA307DA" w:rsidR="00F51457" w:rsidRPr="00C277A4" w:rsidRDefault="00F51457" w:rsidP="00C864F6">
                  <w:pPr>
                    <w:pStyle w:val="ListParagraph"/>
                    <w:numPr>
                      <w:ilvl w:val="0"/>
                      <w:numId w:val="30"/>
                    </w:numPr>
                    <w:ind w:left="244" w:hanging="24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team’s Business Plan is developed and maintained, its work pipeline is prioritised and</w:t>
                  </w:r>
                  <w:r w:rsidR="002B02D1"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managed and activities are delivered to standard and on time.</w:t>
                  </w:r>
                </w:p>
                <w:p w14:paraId="042B9512" w14:textId="2610C80F" w:rsidR="001676DE" w:rsidRPr="00CE7C5D" w:rsidRDefault="001676DE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rPr>
                      <w:rFonts w:asciiTheme="minorHAnsi" w:eastAsia="Times New Roman" w:hAnsiTheme="minorHAnsi" w:cstheme="minorHAnsi"/>
                    </w:rPr>
                  </w:pPr>
                  <w:r w:rsidRPr="00C864F6">
                    <w:rPr>
                      <w:rFonts w:asciiTheme="minorHAnsi" w:eastAsia="Times New Roman" w:hAnsiTheme="minorHAnsi" w:cstheme="minorHAnsi"/>
                    </w:rPr>
                    <w:t>The ideas of the position holder and team are used</w:t>
                  </w:r>
                  <w:r w:rsidRPr="002D1A3E">
                    <w:rPr>
                      <w:rFonts w:asciiTheme="minorHAnsi" w:eastAsia="Times New Roman" w:hAnsiTheme="minorHAnsi" w:cstheme="minorHAnsi"/>
                    </w:rPr>
                    <w:t xml:space="preserve"> to drive and implement MA’s 20-25 Strategy</w:t>
                  </w:r>
                  <w:r w:rsidRPr="00CE7C5D">
                    <w:rPr>
                      <w:rFonts w:asciiTheme="minorHAnsi" w:eastAsia="Times New Roman" w:hAnsiTheme="minorHAnsi" w:cstheme="minorHAnsi"/>
                    </w:rPr>
                    <w:t>.</w:t>
                  </w:r>
                </w:p>
                <w:p w14:paraId="6CD7BD64" w14:textId="45862A5E" w:rsidR="00F51457" w:rsidRPr="00C277A4" w:rsidRDefault="00F51457" w:rsidP="00C864F6">
                  <w:pPr>
                    <w:pStyle w:val="ListParagraph"/>
                    <w:numPr>
                      <w:ilvl w:val="0"/>
                      <w:numId w:val="30"/>
                    </w:numPr>
                    <w:ind w:left="244" w:hanging="24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Team members understand the expectations of their roles and are held accountable for delivering on this.</w:t>
                  </w:r>
                </w:p>
                <w:p w14:paraId="179FD161" w14:textId="6807AAFF" w:rsidR="009A4142" w:rsidRPr="00C277A4" w:rsidRDefault="009A4142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rPr>
                      <w:rFonts w:asciiTheme="minorHAnsi" w:eastAsia="Times New Roman" w:hAnsiTheme="minorHAnsi" w:cstheme="minorHAnsi"/>
                    </w:rPr>
                  </w:pPr>
                  <w:r w:rsidRPr="00C864F6">
                    <w:rPr>
                      <w:rFonts w:asciiTheme="minorHAnsi" w:eastAsia="Times New Roman" w:hAnsiTheme="minorHAnsi" w:cstheme="minorHAnsi"/>
                    </w:rPr>
                    <w:t>S</w:t>
                  </w:r>
                  <w:r w:rsidRPr="002D1A3E">
                    <w:rPr>
                      <w:rFonts w:asciiTheme="minorHAnsi" w:eastAsia="Times New Roman" w:hAnsiTheme="minorHAnsi" w:cstheme="minorHAnsi"/>
                    </w:rPr>
                    <w:t xml:space="preserve">taff in the BD team can see how their work contributes to </w:t>
                  </w:r>
                  <w:r w:rsidRPr="00CE7C5D">
                    <w:rPr>
                      <w:rFonts w:asciiTheme="minorHAnsi" w:eastAsia="Times New Roman" w:hAnsiTheme="minorHAnsi" w:cstheme="minorHAnsi"/>
                    </w:rPr>
                    <w:t xml:space="preserve">achievement of the ambitions outlined in </w:t>
                  </w:r>
                  <w:r w:rsidRPr="00C277A4">
                    <w:rPr>
                      <w:rFonts w:asciiTheme="minorHAnsi" w:eastAsia="Times New Roman" w:hAnsiTheme="minorHAnsi" w:cstheme="minorHAnsi"/>
                    </w:rPr>
                    <w:t>MA’s 20</w:t>
                  </w:r>
                  <w:r w:rsidR="001676DE" w:rsidRPr="00C277A4">
                    <w:rPr>
                      <w:rFonts w:asciiTheme="minorHAnsi" w:eastAsia="Times New Roman" w:hAnsiTheme="minorHAnsi" w:cstheme="minorHAnsi"/>
                    </w:rPr>
                    <w:t>-</w:t>
                  </w:r>
                  <w:r w:rsidRPr="00C277A4">
                    <w:rPr>
                      <w:rFonts w:asciiTheme="minorHAnsi" w:eastAsia="Times New Roman" w:hAnsiTheme="minorHAnsi" w:cstheme="minorHAnsi"/>
                    </w:rPr>
                    <w:t xml:space="preserve">25 Strategy. </w:t>
                  </w:r>
                </w:p>
                <w:p w14:paraId="4F100046" w14:textId="77777777" w:rsidR="001505D8" w:rsidRPr="00C277A4" w:rsidRDefault="00873332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rPr>
                      <w:rFonts w:asciiTheme="minorHAnsi" w:eastAsia="Times New Roman" w:hAnsiTheme="minorHAnsi" w:cstheme="minorHAnsi"/>
                    </w:rPr>
                  </w:pPr>
                  <w:r w:rsidRPr="00C277A4">
                    <w:rPr>
                      <w:rFonts w:asciiTheme="minorHAnsi" w:eastAsia="Times New Roman" w:hAnsiTheme="minorHAnsi" w:cstheme="minorHAnsi"/>
                    </w:rPr>
                    <w:t>Requests are responded to with clear timelines, and deadlines and quality expectations are met</w:t>
                  </w:r>
                  <w:r w:rsidR="009A4142" w:rsidRPr="00C277A4">
                    <w:rPr>
                      <w:rFonts w:asciiTheme="minorHAnsi" w:eastAsia="Times New Roman" w:hAnsiTheme="minorHAnsi" w:cstheme="minorHAnsi"/>
                    </w:rPr>
                    <w:t>.</w:t>
                  </w:r>
                </w:p>
                <w:p w14:paraId="3995699A" w14:textId="544C7FC6" w:rsidR="004811E8" w:rsidRPr="00C277A4" w:rsidRDefault="004811E8" w:rsidP="004811E8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rPr>
                      <w:rFonts w:asciiTheme="minorHAnsi" w:eastAsia="Times New Roman" w:hAnsiTheme="minorHAnsi" w:cstheme="minorHAnsi"/>
                    </w:rPr>
                  </w:pPr>
                  <w:r w:rsidRPr="00C277A4">
                    <w:rPr>
                      <w:rFonts w:asciiTheme="minorHAnsi" w:eastAsia="Times New Roman" w:hAnsiTheme="minorHAnsi" w:cstheme="minorHAnsi"/>
                    </w:rPr>
                    <w:t>The team’s operations are managed within budget.</w:t>
                  </w:r>
                </w:p>
              </w:tc>
            </w:tr>
            <w:tr w:rsidR="009A4142" w14:paraId="758B4ADB" w14:textId="77777777" w:rsidTr="00A5237F">
              <w:tc>
                <w:tcPr>
                  <w:tcW w:w="4597" w:type="dxa"/>
                  <w:shd w:val="clear" w:color="auto" w:fill="auto"/>
                </w:tcPr>
                <w:p w14:paraId="690D2D7E" w14:textId="4B899779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lastRenderedPageBreak/>
                    <w:t>KEY RESULT AREA 2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9971EF4" w14:textId="150CEEB7" w:rsidR="009A4142" w:rsidRPr="00C277A4" w:rsidRDefault="005D1E74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>COLLABORATION AND STAKEHOLDER RELATIONSHIPS</w:t>
                  </w:r>
                </w:p>
              </w:tc>
            </w:tr>
            <w:tr w:rsidR="009A4142" w14:paraId="0234BB11" w14:textId="77777777" w:rsidTr="00A5237F">
              <w:tc>
                <w:tcPr>
                  <w:tcW w:w="4597" w:type="dxa"/>
                  <w:shd w:val="clear" w:color="auto" w:fill="auto"/>
                </w:tcPr>
                <w:p w14:paraId="3FA217F0" w14:textId="1BE079E5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87D18FF" w14:textId="0DB10A74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b/>
                      <w:noProof/>
                      <w:color w:val="BD1A8D"/>
                      <w:sz w:val="22"/>
                      <w:szCs w:val="22"/>
                    </w:rPr>
                    <w:t>Position</w:t>
                  </w:r>
                  <w:r w:rsidRPr="002D1A3E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 xml:space="preserve"> holder is successful when</w:t>
                  </w:r>
                </w:p>
              </w:tc>
            </w:tr>
            <w:tr w:rsidR="001676DE" w14:paraId="6BF310D4" w14:textId="77777777" w:rsidTr="00A5237F">
              <w:tc>
                <w:tcPr>
                  <w:tcW w:w="4597" w:type="dxa"/>
                  <w:shd w:val="clear" w:color="auto" w:fill="auto"/>
                </w:tcPr>
                <w:p w14:paraId="39D3BAC3" w14:textId="77777777" w:rsidR="001676DE" w:rsidRPr="00CE7C5D" w:rsidRDefault="001676DE" w:rsidP="001676DE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2" w:hanging="2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high standards of customer service to internal stakeholders, and nurture </w:t>
                  </w:r>
                  <w:r w:rsidRPr="002D1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effective relationships across the organisation to drive key initiatives forward.</w:t>
                  </w:r>
                </w:p>
                <w:p w14:paraId="0AB0970C" w14:textId="77777777" w:rsidR="001676DE" w:rsidRPr="00C277A4" w:rsidRDefault="001676DE" w:rsidP="001676DE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2" w:hanging="2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Develop and maintain relationships with external stakeholders, including formal and informal partnerships with: other community services organisations; relevant communities of practice; peak bodies; government and other funders; research and data bodies; and corporate and other supporters of MA. </w:t>
                  </w:r>
                </w:p>
                <w:p w14:paraId="339F506C" w14:textId="77777777" w:rsidR="001676DE" w:rsidRPr="00C277A4" w:rsidRDefault="001676DE" w:rsidP="001676DE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2" w:hanging="2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Network with internal and external stakeholders and create opportunities to exchange ideas, share knowledge and foster collaboration.</w:t>
                  </w:r>
                </w:p>
                <w:p w14:paraId="251F876D" w14:textId="6AF6D3D9" w:rsidR="001676DE" w:rsidRPr="00C277A4" w:rsidRDefault="001676DE" w:rsidP="001676DE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2" w:hanging="242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Contribute thought leadership to sector wide initiatives to improve government commissioning of community and housing services to support people in need.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70AAF8B" w14:textId="41C06D6B" w:rsidR="001676DE" w:rsidRPr="00C277A4" w:rsidRDefault="001676DE" w:rsidP="001676DE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Internal customers are satisfied with the advice, initiatives and products of the Manager and the BD team.</w:t>
                  </w:r>
                </w:p>
                <w:p w14:paraId="5FFD2935" w14:textId="77777777" w:rsidR="001676DE" w:rsidRPr="00C277A4" w:rsidRDefault="001676DE" w:rsidP="001676DE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 expertise and knowledge is shared with others.</w:t>
                  </w:r>
                </w:p>
                <w:p w14:paraId="0E22BB8F" w14:textId="77777777" w:rsidR="001676DE" w:rsidRPr="00C277A4" w:rsidRDefault="001676DE" w:rsidP="001676DE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New external relationships and partnerships are formed and existing ones strengthened.</w:t>
                  </w:r>
                </w:p>
                <w:p w14:paraId="459B254F" w14:textId="6582269A" w:rsidR="001676DE" w:rsidRPr="00C277A4" w:rsidRDefault="001676DE" w:rsidP="001676DE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4" w:hanging="244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position holder is established as an effective thought leader internally and externally.</w:t>
                  </w:r>
                </w:p>
              </w:tc>
            </w:tr>
            <w:tr w:rsidR="009A4142" w14:paraId="35683EF3" w14:textId="77777777" w:rsidTr="00A5237F">
              <w:tc>
                <w:tcPr>
                  <w:tcW w:w="4597" w:type="dxa"/>
                  <w:shd w:val="clear" w:color="auto" w:fill="auto"/>
                </w:tcPr>
                <w:p w14:paraId="40BC8F76" w14:textId="2E7A2643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>KEY RESULT AREA 3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CD86A07" w14:textId="1D881CAF" w:rsidR="009A4142" w:rsidRPr="00C277A4" w:rsidRDefault="009A4142" w:rsidP="00437BF0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>BUSINESS DEVELOPMENT</w:t>
                  </w:r>
                  <w:r w:rsidR="00437BF0" w:rsidRPr="00C277A4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 xml:space="preserve"> STRATEGY</w:t>
                  </w:r>
                  <w:r w:rsidR="00A255B9" w:rsidRPr="00C277A4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 xml:space="preserve"> AND PROCESSES</w:t>
                  </w:r>
                </w:p>
              </w:tc>
            </w:tr>
            <w:tr w:rsidR="009A4142" w14:paraId="3720B13C" w14:textId="77777777" w:rsidTr="00A5237F">
              <w:tc>
                <w:tcPr>
                  <w:tcW w:w="4597" w:type="dxa"/>
                  <w:shd w:val="clear" w:color="auto" w:fill="auto"/>
                </w:tcPr>
                <w:p w14:paraId="59679117" w14:textId="77777777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5361717" w14:textId="77777777" w:rsidR="009A4142" w:rsidRPr="00C277A4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C277A4">
                    <w:rPr>
                      <w:rFonts w:asciiTheme="minorHAnsi" w:hAnsiTheme="minorHAnsi" w:cstheme="minorHAnsi"/>
                      <w:b/>
                      <w:noProof/>
                      <w:color w:val="BD1A8D"/>
                      <w:sz w:val="22"/>
                      <w:szCs w:val="22"/>
                    </w:rPr>
                    <w:t>Position</w:t>
                  </w:r>
                  <w:r w:rsidRPr="00C277A4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 xml:space="preserve"> holder is successful when</w:t>
                  </w:r>
                </w:p>
              </w:tc>
            </w:tr>
            <w:tr w:rsidR="009A4142" w14:paraId="13B1F36F" w14:textId="77777777" w:rsidTr="00A5237F">
              <w:trPr>
                <w:trHeight w:val="781"/>
              </w:trPr>
              <w:tc>
                <w:tcPr>
                  <w:tcW w:w="4597" w:type="dxa"/>
                  <w:shd w:val="clear" w:color="auto" w:fill="auto"/>
                </w:tcPr>
                <w:p w14:paraId="76326D38" w14:textId="60C9CDC0" w:rsidR="009A314F" w:rsidRPr="002D1A3E" w:rsidRDefault="009A314F" w:rsidP="009A314F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318" w:hanging="318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Develop and implement a strategic</w:t>
                  </w:r>
                  <w:r w:rsidR="00176EFD" w:rsidRPr="002D1A3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D1A3E">
                    <w:rPr>
                      <w:rFonts w:asciiTheme="minorHAnsi" w:hAnsiTheme="minorHAnsi" w:cstheme="minorHAnsi"/>
                    </w:rPr>
                    <w:t xml:space="preserve">framework for business development and opportunity </w:t>
                  </w:r>
                  <w:proofErr w:type="gramStart"/>
                  <w:r w:rsidR="00176EFD" w:rsidRPr="002D1A3E">
                    <w:rPr>
                      <w:rFonts w:asciiTheme="minorHAnsi" w:hAnsiTheme="minorHAnsi" w:cstheme="minorHAnsi"/>
                    </w:rPr>
                    <w:t>assessment</w:t>
                  </w:r>
                  <w:r w:rsidRPr="002D1A3E">
                    <w:rPr>
                      <w:rFonts w:asciiTheme="minorHAnsi" w:hAnsiTheme="minorHAnsi" w:cstheme="minorHAnsi"/>
                    </w:rPr>
                    <w:t>, that</w:t>
                  </w:r>
                  <w:proofErr w:type="gramEnd"/>
                  <w:r w:rsidRPr="002D1A3E">
                    <w:rPr>
                      <w:rFonts w:asciiTheme="minorHAnsi" w:hAnsiTheme="minorHAnsi" w:cstheme="minorHAnsi"/>
                    </w:rPr>
                    <w:t xml:space="preserve"> drives the shaping of </w:t>
                  </w:r>
                  <w:r w:rsidR="002D1A3E">
                    <w:rPr>
                      <w:rFonts w:asciiTheme="minorHAnsi" w:hAnsiTheme="minorHAnsi" w:cstheme="minorHAnsi"/>
                    </w:rPr>
                    <w:t>MA’s service delivery portfolio</w:t>
                  </w:r>
                  <w:r w:rsidRPr="002D1A3E">
                    <w:rPr>
                      <w:rFonts w:asciiTheme="minorHAnsi" w:hAnsiTheme="minorHAnsi" w:cstheme="minorHAnsi"/>
                    </w:rPr>
                    <w:t xml:space="preserve"> in line with MA’s </w:t>
                  </w:r>
                  <w:r w:rsidRPr="002D1A3E">
                    <w:rPr>
                      <w:rFonts w:asciiTheme="minorHAnsi" w:hAnsiTheme="minorHAnsi" w:cstheme="minorHAnsi"/>
                      <w:i/>
                    </w:rPr>
                    <w:t>20-25 Strategy</w:t>
                  </w:r>
                  <w:r w:rsidRPr="002D1A3E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7B2F2A06" w14:textId="12EDA302" w:rsidR="009A314F" w:rsidRPr="002D1A3E" w:rsidRDefault="00437BF0" w:rsidP="009A314F">
                  <w:pPr>
                    <w:pStyle w:val="ListParagraph"/>
                    <w:numPr>
                      <w:ilvl w:val="0"/>
                      <w:numId w:val="30"/>
                    </w:numPr>
                    <w:spacing w:before="60" w:after="60"/>
                    <w:ind w:left="244" w:hanging="284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864F6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Proactively create and support implementation of improvements for more efficient and effectiv</w:t>
                  </w:r>
                  <w:r w:rsidRPr="002D1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 processes and systems </w:t>
                  </w:r>
                  <w:r w:rsidR="009A314F" w:rsidRPr="002D1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across MA </w:t>
                  </w:r>
                  <w:r w:rsidRPr="002D1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relating to business development, so MA performs above relevant benchmarks/sector comparators.</w:t>
                  </w:r>
                </w:p>
                <w:p w14:paraId="1E0063BD" w14:textId="4BF7C436" w:rsidR="009A4142" w:rsidRPr="002D1A3E" w:rsidRDefault="00437BF0" w:rsidP="00437BF0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84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 xml:space="preserve">Develop systems to identify, record, monitor and report on MA’s BD </w:t>
                  </w:r>
                  <w:r w:rsidR="009A4142" w:rsidRPr="002D1A3E">
                    <w:rPr>
                      <w:rFonts w:asciiTheme="minorHAnsi" w:hAnsiTheme="minorHAnsi" w:cstheme="minorHAnsi"/>
                      <w:color w:val="000000" w:themeColor="text1"/>
                    </w:rPr>
                    <w:t>results and performance</w:t>
                  </w:r>
                  <w:r w:rsidRPr="002D1A3E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, </w:t>
                  </w:r>
                  <w:r w:rsidRPr="002D1A3E">
                    <w:rPr>
                      <w:rFonts w:asciiTheme="minorHAnsi" w:hAnsiTheme="minorHAnsi" w:cstheme="minorHAnsi"/>
                    </w:rPr>
                    <w:t>information about tenders and relationships.</w:t>
                  </w:r>
                </w:p>
                <w:p w14:paraId="21FA8BE9" w14:textId="04875C00" w:rsidR="00437BF0" w:rsidRPr="002D1A3E" w:rsidRDefault="00437BF0" w:rsidP="00437BF0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4" w:hanging="284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 xml:space="preserve">Identify and develop strategies in response to trends in commissioning and contracting for the </w:t>
                  </w:r>
                  <w:r w:rsidR="002D1A3E">
                    <w:rPr>
                      <w:rFonts w:asciiTheme="minorHAnsi" w:hAnsiTheme="minorHAnsi" w:cstheme="minorHAnsi"/>
                    </w:rPr>
                    <w:t>human</w:t>
                  </w:r>
                  <w:r w:rsidR="002D1A3E" w:rsidRPr="002D1A3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D1A3E">
                    <w:rPr>
                      <w:rFonts w:asciiTheme="minorHAnsi" w:hAnsiTheme="minorHAnsi" w:cstheme="minorHAnsi"/>
                    </w:rPr>
                    <w:t>services sector.</w:t>
                  </w:r>
                </w:p>
                <w:p w14:paraId="39410C71" w14:textId="3CF1BD3F" w:rsidR="009A314F" w:rsidRPr="002D1A3E" w:rsidRDefault="009A314F" w:rsidP="009A314F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2" w:hanging="284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Deliver special projects and initiatives relating to growth of MA’s impact.</w:t>
                  </w:r>
                </w:p>
                <w:p w14:paraId="23835321" w14:textId="44644620" w:rsidR="009A314F" w:rsidRPr="002D1A3E" w:rsidRDefault="009A314F" w:rsidP="009A314F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2" w:hanging="284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 xml:space="preserve">Support </w:t>
                  </w:r>
                  <w:r w:rsidR="0091640C" w:rsidRPr="002D1A3E">
                    <w:rPr>
                      <w:rFonts w:asciiTheme="minorHAnsi" w:hAnsiTheme="minorHAnsi" w:cstheme="minorHAnsi"/>
                    </w:rPr>
                    <w:t>E</w:t>
                  </w:r>
                  <w:r w:rsidRPr="002D1A3E">
                    <w:rPr>
                      <w:rFonts w:asciiTheme="minorHAnsi" w:hAnsiTheme="minorHAnsi" w:cstheme="minorHAnsi"/>
                    </w:rPr>
                    <w:t>xecutive leaders with ideas that yield development, growth and sustainability of MA services.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1CF2652" w14:textId="55E3182F" w:rsidR="00437BF0" w:rsidRPr="002D1A3E" w:rsidRDefault="00437BF0" w:rsidP="00437BF0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318" w:hanging="318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2D1A3E">
                    <w:rPr>
                      <w:rFonts w:asciiTheme="minorHAnsi" w:hAnsiTheme="minorHAnsi" w:cstheme="minorHAnsi"/>
                    </w:rPr>
                    <w:lastRenderedPageBreak/>
                    <w:t>ExCom</w:t>
                  </w:r>
                  <w:proofErr w:type="spellEnd"/>
                  <w:r w:rsidRPr="002D1A3E">
                    <w:rPr>
                      <w:rFonts w:asciiTheme="minorHAnsi" w:hAnsiTheme="minorHAnsi" w:cstheme="minorHAnsi"/>
                    </w:rPr>
                    <w:t xml:space="preserve"> and the Board are satisfied with </w:t>
                  </w:r>
                  <w:r w:rsidR="009A314F" w:rsidRPr="002D1A3E">
                    <w:rPr>
                      <w:rFonts w:asciiTheme="minorHAnsi" w:hAnsiTheme="minorHAnsi" w:cstheme="minorHAnsi"/>
                    </w:rPr>
                    <w:t xml:space="preserve">BD performance and comprehensive and accurate </w:t>
                  </w:r>
                  <w:r w:rsidRPr="002D1A3E">
                    <w:rPr>
                      <w:rFonts w:asciiTheme="minorHAnsi" w:hAnsiTheme="minorHAnsi" w:cstheme="minorHAnsi"/>
                    </w:rPr>
                    <w:t>reporting.</w:t>
                  </w:r>
                </w:p>
                <w:p w14:paraId="346C0185" w14:textId="2487FB93" w:rsidR="00437BF0" w:rsidRPr="002D1A3E" w:rsidRDefault="00437BF0" w:rsidP="00437BF0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318" w:hanging="318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lastRenderedPageBreak/>
                    <w:t xml:space="preserve">MA is positioned </w:t>
                  </w:r>
                  <w:r w:rsidR="00347F59">
                    <w:rPr>
                      <w:rFonts w:asciiTheme="minorHAnsi" w:hAnsiTheme="minorHAnsi" w:cstheme="minorHAnsi"/>
                    </w:rPr>
                    <w:t xml:space="preserve">in line with, and where possible, </w:t>
                  </w:r>
                  <w:r w:rsidRPr="002D1A3E">
                    <w:rPr>
                      <w:rFonts w:asciiTheme="minorHAnsi" w:hAnsiTheme="minorHAnsi" w:cstheme="minorHAnsi"/>
                    </w:rPr>
                    <w:t>ahead of the market in relation to commissioning and contracting trends.</w:t>
                  </w:r>
                </w:p>
                <w:p w14:paraId="1103D61A" w14:textId="0423B139" w:rsidR="009A4142" w:rsidRPr="002D1A3E" w:rsidRDefault="009A314F" w:rsidP="009A314F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320" w:hanging="320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 xml:space="preserve">Decisions about business opportunities are consistent with, and contribute to the achievement of, MA’s </w:t>
                  </w:r>
                  <w:r w:rsidRPr="002D1A3E">
                    <w:rPr>
                      <w:rFonts w:asciiTheme="minorHAnsi" w:hAnsiTheme="minorHAnsi" w:cstheme="minorHAnsi"/>
                      <w:i/>
                    </w:rPr>
                    <w:t>20-25 S</w:t>
                  </w:r>
                  <w:r w:rsidR="009A4142" w:rsidRPr="002D1A3E">
                    <w:rPr>
                      <w:rFonts w:asciiTheme="minorHAnsi" w:hAnsiTheme="minorHAnsi" w:cstheme="minorHAnsi"/>
                      <w:i/>
                    </w:rPr>
                    <w:t>trategy</w:t>
                  </w:r>
                  <w:r w:rsidRPr="002D1A3E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78604BD0" w14:textId="14851B47" w:rsidR="0091640C" w:rsidRPr="002D1A3E" w:rsidRDefault="0091640C" w:rsidP="009A314F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320" w:hanging="320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Special projects are delivered on time and budget as appropriate/required.</w:t>
                  </w:r>
                </w:p>
                <w:p w14:paraId="4EFE7A98" w14:textId="516DFF14" w:rsidR="009A4142" w:rsidRPr="002D1A3E" w:rsidRDefault="009A4142" w:rsidP="009A314F">
                  <w:pPr>
                    <w:pStyle w:val="Policybullet"/>
                    <w:numPr>
                      <w:ilvl w:val="0"/>
                      <w:numId w:val="0"/>
                    </w:numPr>
                    <w:spacing w:before="60" w:after="6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A4142" w14:paraId="586543E8" w14:textId="77777777" w:rsidTr="00A5237F">
              <w:tc>
                <w:tcPr>
                  <w:tcW w:w="4597" w:type="dxa"/>
                  <w:shd w:val="clear" w:color="auto" w:fill="auto"/>
                </w:tcPr>
                <w:p w14:paraId="2CD4B77A" w14:textId="28426E47" w:rsidR="009A4142" w:rsidRPr="002D1A3E" w:rsidRDefault="009A314F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2D1A3E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lastRenderedPageBreak/>
                    <w:t>KEY RESULT AREA 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78F881A" w14:textId="430F3139" w:rsidR="009A4142" w:rsidRPr="002D1A3E" w:rsidRDefault="00437BF0" w:rsidP="009A314F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2D1A3E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>TENDER</w:t>
                  </w:r>
                  <w:r w:rsidR="009A314F" w:rsidRPr="002D1A3E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 xml:space="preserve"> / RETENDER SUBMISSIONS</w:t>
                  </w:r>
                  <w:r w:rsidRPr="002D1A3E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A4142" w14:paraId="072C5100" w14:textId="77777777" w:rsidTr="00A5237F">
              <w:tc>
                <w:tcPr>
                  <w:tcW w:w="4597" w:type="dxa"/>
                  <w:shd w:val="clear" w:color="auto" w:fill="auto"/>
                </w:tcPr>
                <w:p w14:paraId="05B42DA2" w14:textId="56AEBF6B" w:rsidR="009A4142" w:rsidRPr="002D1A3E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2D1A3E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C475247" w14:textId="08F24B55" w:rsidR="009A4142" w:rsidRPr="002D1A3E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2D1A3E">
                    <w:rPr>
                      <w:rFonts w:asciiTheme="minorHAnsi" w:hAnsiTheme="minorHAnsi" w:cstheme="minorHAnsi"/>
                      <w:b/>
                      <w:noProof/>
                      <w:color w:val="BD1A8D"/>
                      <w:sz w:val="22"/>
                      <w:szCs w:val="22"/>
                    </w:rPr>
                    <w:t>Position</w:t>
                  </w:r>
                  <w:r w:rsidRPr="002D1A3E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 xml:space="preserve"> holder is successful when</w:t>
                  </w:r>
                </w:p>
              </w:tc>
            </w:tr>
            <w:tr w:rsidR="009A4142" w14:paraId="16238C1B" w14:textId="77777777" w:rsidTr="00A5237F">
              <w:tc>
                <w:tcPr>
                  <w:tcW w:w="4597" w:type="dxa"/>
                  <w:shd w:val="clear" w:color="auto" w:fill="auto"/>
                </w:tcPr>
                <w:p w14:paraId="0A2450DD" w14:textId="57E116A2" w:rsidR="009A4142" w:rsidRPr="002D1A3E" w:rsidRDefault="009A314F" w:rsidP="00A255B9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2" w:hanging="284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 xml:space="preserve">Develop compelling tender/retender submissions for funders in partnership with </w:t>
                  </w:r>
                  <w:r w:rsidR="002D1A3E">
                    <w:rPr>
                      <w:rFonts w:asciiTheme="minorHAnsi" w:hAnsiTheme="minorHAnsi" w:cstheme="minorHAnsi"/>
                    </w:rPr>
                    <w:t>service delivery</w:t>
                  </w:r>
                  <w:r w:rsidRPr="002D1A3E">
                    <w:rPr>
                      <w:rFonts w:asciiTheme="minorHAnsi" w:hAnsiTheme="minorHAnsi" w:cstheme="minorHAnsi"/>
                    </w:rPr>
                    <w:t xml:space="preserve"> sponsors and enabler units.</w:t>
                  </w:r>
                </w:p>
                <w:p w14:paraId="6910DEB9" w14:textId="6881D42C" w:rsidR="009A314F" w:rsidRPr="002D1A3E" w:rsidRDefault="009A314F" w:rsidP="00A255B9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2" w:hanging="284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 xml:space="preserve">Ensure tender/retender submissions are consistent with MA’s </w:t>
                  </w:r>
                  <w:r w:rsidRPr="002D1A3E">
                    <w:rPr>
                      <w:rFonts w:asciiTheme="minorHAnsi" w:hAnsiTheme="minorHAnsi" w:cstheme="minorHAnsi"/>
                      <w:i/>
                    </w:rPr>
                    <w:t>20-25 Strategy</w:t>
                  </w:r>
                  <w:r w:rsidRPr="002D1A3E">
                    <w:rPr>
                      <w:rFonts w:asciiTheme="minorHAnsi" w:hAnsiTheme="minorHAnsi" w:cstheme="minorHAnsi"/>
                    </w:rPr>
                    <w:t>, focus on quality impact for service users and are evidence-based</w:t>
                  </w:r>
                  <w:r w:rsidR="00A255B9" w:rsidRPr="002D1A3E">
                    <w:rPr>
                      <w:rFonts w:asciiTheme="minorHAnsi" w:hAnsiTheme="minorHAnsi" w:cstheme="minorHAnsi"/>
                    </w:rPr>
                    <w:t xml:space="preserve"> commercially viable</w:t>
                  </w:r>
                  <w:r w:rsidRPr="002D1A3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7ECC854" w14:textId="77777777" w:rsidR="00A255B9" w:rsidRPr="002D1A3E" w:rsidRDefault="00A255B9" w:rsidP="009A314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BD team delivers high quality, consistent and timely submission to funders.</w:t>
                  </w:r>
                </w:p>
                <w:p w14:paraId="473D4F99" w14:textId="40BE2886" w:rsidR="00A255B9" w:rsidRPr="002D1A3E" w:rsidRDefault="009A314F" w:rsidP="00A255B9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The win rate for tenders/retenders meets or exceeds the sector benchmark</w:t>
                  </w:r>
                  <w:r w:rsidR="00A255B9" w:rsidRPr="002D1A3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9A4142" w14:paraId="7DE0EFA2" w14:textId="77777777" w:rsidTr="00A5237F">
              <w:tc>
                <w:tcPr>
                  <w:tcW w:w="4597" w:type="dxa"/>
                  <w:shd w:val="clear" w:color="auto" w:fill="auto"/>
                </w:tcPr>
                <w:p w14:paraId="6CC2B462" w14:textId="04E53637" w:rsidR="009A4142" w:rsidRPr="002D1A3E" w:rsidRDefault="009A314F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2D1A3E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 xml:space="preserve">KEY RESULT AREA </w:t>
                  </w:r>
                  <w:r w:rsidR="00A255B9" w:rsidRPr="002D1A3E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48F05DF" w14:textId="6CF8321E" w:rsidR="009A4142" w:rsidRPr="002D1A3E" w:rsidRDefault="00437BF0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2D1A3E"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  <w:t>PROACTIVE BUSINESS DEVLOPMENT</w:t>
                  </w:r>
                </w:p>
              </w:tc>
            </w:tr>
            <w:tr w:rsidR="009A4142" w14:paraId="4D4B3172" w14:textId="77777777" w:rsidTr="00A5237F">
              <w:tc>
                <w:tcPr>
                  <w:tcW w:w="4597" w:type="dxa"/>
                  <w:shd w:val="clear" w:color="auto" w:fill="auto"/>
                </w:tcPr>
                <w:p w14:paraId="39561FD3" w14:textId="77777777" w:rsidR="009A4142" w:rsidRPr="002D1A3E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2D1A3E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0FB2CD" w14:textId="77777777" w:rsidR="009A4142" w:rsidRPr="002D1A3E" w:rsidRDefault="009A4142" w:rsidP="009A4142">
                  <w:pPr>
                    <w:spacing w:before="40" w:after="60"/>
                    <w:rPr>
                      <w:rFonts w:asciiTheme="minorHAnsi" w:hAnsiTheme="minorHAnsi" w:cstheme="minorHAnsi"/>
                      <w:b/>
                      <w:color w:val="522F8C"/>
                      <w:sz w:val="22"/>
                      <w:szCs w:val="22"/>
                    </w:rPr>
                  </w:pPr>
                  <w:r w:rsidRPr="002D1A3E">
                    <w:rPr>
                      <w:rFonts w:asciiTheme="minorHAnsi" w:hAnsiTheme="minorHAnsi" w:cstheme="minorHAnsi"/>
                      <w:b/>
                      <w:noProof/>
                      <w:color w:val="BD1A8D"/>
                      <w:sz w:val="22"/>
                      <w:szCs w:val="22"/>
                    </w:rPr>
                    <w:t>Position</w:t>
                  </w:r>
                  <w:r w:rsidRPr="002D1A3E">
                    <w:rPr>
                      <w:rFonts w:asciiTheme="minorHAnsi" w:hAnsiTheme="minorHAnsi" w:cstheme="minorHAnsi"/>
                      <w:b/>
                      <w:color w:val="BD1A8D"/>
                      <w:sz w:val="22"/>
                      <w:szCs w:val="22"/>
                    </w:rPr>
                    <w:t xml:space="preserve"> holder is successful when</w:t>
                  </w:r>
                </w:p>
              </w:tc>
            </w:tr>
            <w:tr w:rsidR="009A4142" w14:paraId="37FC15BD" w14:textId="77777777" w:rsidTr="002F29BC">
              <w:trPr>
                <w:trHeight w:val="682"/>
              </w:trPr>
              <w:tc>
                <w:tcPr>
                  <w:tcW w:w="4597" w:type="dxa"/>
                  <w:shd w:val="clear" w:color="auto" w:fill="auto"/>
                </w:tcPr>
                <w:p w14:paraId="069B83C3" w14:textId="07595938" w:rsidR="009A314F" w:rsidRPr="002D1A3E" w:rsidRDefault="009A314F" w:rsidP="00A255B9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2" w:hanging="242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Establish and manage the Strategic Growth Committee, to enable</w:t>
                  </w:r>
                  <w:r w:rsidR="00A255B9" w:rsidRPr="002D1A3E">
                    <w:rPr>
                      <w:rFonts w:asciiTheme="minorHAnsi" w:hAnsiTheme="minorHAnsi" w:cstheme="minorHAnsi"/>
                    </w:rPr>
                    <w:t xml:space="preserve"> identification and prioritisation of</w:t>
                  </w:r>
                  <w:r w:rsidRPr="002D1A3E">
                    <w:rPr>
                      <w:rFonts w:asciiTheme="minorHAnsi" w:hAnsiTheme="minorHAnsi" w:cstheme="minorHAnsi"/>
                    </w:rPr>
                    <w:t>:</w:t>
                  </w:r>
                </w:p>
                <w:p w14:paraId="4EA7738D" w14:textId="77777777" w:rsidR="00A255B9" w:rsidRPr="002D1A3E" w:rsidRDefault="00A255B9" w:rsidP="00A255B9">
                  <w:pPr>
                    <w:pStyle w:val="Policybullet"/>
                    <w:numPr>
                      <w:ilvl w:val="1"/>
                      <w:numId w:val="30"/>
                    </w:numPr>
                    <w:spacing w:before="60" w:after="60"/>
                    <w:ind w:left="384" w:firstLine="0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 xml:space="preserve">market-led proposals; </w:t>
                  </w:r>
                  <w:r w:rsidR="009A314F" w:rsidRPr="002D1A3E">
                    <w:rPr>
                      <w:rFonts w:asciiTheme="minorHAnsi" w:hAnsiTheme="minorHAnsi" w:cstheme="minorHAnsi"/>
                    </w:rPr>
                    <w:t xml:space="preserve">and </w:t>
                  </w:r>
                </w:p>
                <w:p w14:paraId="23099A21" w14:textId="77777777" w:rsidR="009A4142" w:rsidRPr="002D1A3E" w:rsidRDefault="009A314F" w:rsidP="00A255B9">
                  <w:pPr>
                    <w:pStyle w:val="Policybullet"/>
                    <w:numPr>
                      <w:ilvl w:val="1"/>
                      <w:numId w:val="30"/>
                    </w:numPr>
                    <w:spacing w:before="60" w:after="60"/>
                    <w:ind w:left="384" w:firstLine="0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2D1A3E">
                    <w:rPr>
                      <w:rFonts w:asciiTheme="minorHAnsi" w:hAnsiTheme="minorHAnsi" w:cstheme="minorHAnsi"/>
                    </w:rPr>
                    <w:t>retender</w:t>
                  </w:r>
                  <w:proofErr w:type="gramEnd"/>
                  <w:r w:rsidRPr="002D1A3E">
                    <w:rPr>
                      <w:rFonts w:asciiTheme="minorHAnsi" w:hAnsiTheme="minorHAnsi" w:cstheme="minorHAnsi"/>
                    </w:rPr>
                    <w:t xml:space="preserve"> strategies.</w:t>
                  </w:r>
                  <w:r w:rsidR="009A4142" w:rsidRPr="002D1A3E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4BD1B7DE" w14:textId="0AFBC64E" w:rsidR="00A255B9" w:rsidRPr="002D1A3E" w:rsidRDefault="00A255B9" w:rsidP="00A255B9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2" w:hanging="242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 xml:space="preserve">Develop market-led proposals, in collaboration with </w:t>
                  </w:r>
                  <w:r w:rsidR="002D1A3E">
                    <w:rPr>
                      <w:rFonts w:asciiTheme="minorHAnsi" w:hAnsiTheme="minorHAnsi" w:cstheme="minorHAnsi"/>
                    </w:rPr>
                    <w:t>service delivery</w:t>
                  </w:r>
                  <w:r w:rsidRPr="002D1A3E">
                    <w:rPr>
                      <w:rFonts w:asciiTheme="minorHAnsi" w:hAnsiTheme="minorHAnsi" w:cstheme="minorHAnsi"/>
                    </w:rPr>
                    <w:t xml:space="preserve"> sponsors</w:t>
                  </w:r>
                  <w:r w:rsidR="0091640C" w:rsidRPr="002D1A3E"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2D1A3E">
                    <w:rPr>
                      <w:rFonts w:asciiTheme="minorHAnsi" w:hAnsiTheme="minorHAnsi" w:cstheme="minorHAnsi"/>
                    </w:rPr>
                    <w:t xml:space="preserve">enabling units, and associated material (including business cases, recommendations, </w:t>
                  </w:r>
                  <w:proofErr w:type="spellStart"/>
                  <w:r w:rsidRPr="002D1A3E">
                    <w:rPr>
                      <w:rFonts w:asciiTheme="minorHAnsi" w:hAnsiTheme="minorHAnsi" w:cstheme="minorHAnsi"/>
                    </w:rPr>
                    <w:t>etc</w:t>
                  </w:r>
                  <w:proofErr w:type="spellEnd"/>
                  <w:r w:rsidRPr="002D1A3E">
                    <w:rPr>
                      <w:rFonts w:asciiTheme="minorHAnsi" w:hAnsiTheme="minorHAnsi" w:cstheme="minorHAnsi"/>
                    </w:rPr>
                    <w:t>).</w:t>
                  </w:r>
                </w:p>
                <w:p w14:paraId="0146D74B" w14:textId="77777777" w:rsidR="00A255B9" w:rsidRPr="002D1A3E" w:rsidRDefault="00A255B9" w:rsidP="00A255B9">
                  <w:pPr>
                    <w:pStyle w:val="Policybullet"/>
                    <w:numPr>
                      <w:ilvl w:val="0"/>
                      <w:numId w:val="30"/>
                    </w:numPr>
                    <w:spacing w:before="60" w:after="60"/>
                    <w:ind w:left="242" w:hanging="242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Develop and coordinate the implementation of retender preparedness strategies for identified priority retender opportunities.</w:t>
                  </w:r>
                </w:p>
                <w:p w14:paraId="70EABF81" w14:textId="4053406C" w:rsidR="00A255B9" w:rsidRPr="002D1A3E" w:rsidRDefault="00A255B9" w:rsidP="00A255B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2D1A3E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Proactively explore topics of emerging or potential growth for MA service delivery.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CCE8161" w14:textId="2843D455" w:rsidR="009A4142" w:rsidRPr="002D1A3E" w:rsidRDefault="009A4142" w:rsidP="009A4142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BD builds strong, collaborative, constructive relationships that are reciprocated</w:t>
                  </w:r>
                  <w:r w:rsidR="002B02D1" w:rsidRPr="002D1A3E">
                    <w:rPr>
                      <w:rFonts w:asciiTheme="minorHAnsi" w:hAnsiTheme="minorHAnsi" w:cstheme="minorHAnsi"/>
                    </w:rPr>
                    <w:t>.</w:t>
                  </w:r>
                  <w:r w:rsidRPr="002D1A3E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6B334E68" w14:textId="6135CC87" w:rsidR="009A4142" w:rsidRPr="002D1A3E" w:rsidRDefault="009A4142" w:rsidP="009A4142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BD partners with other divisions to ensure a variety of expertise is included in submissions for funders</w:t>
                  </w:r>
                  <w:r w:rsidR="002B02D1" w:rsidRPr="002D1A3E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78C1A5A1" w14:textId="0E282DF6" w:rsidR="009A4142" w:rsidRPr="002D1A3E" w:rsidRDefault="009A4142" w:rsidP="009A4142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  <w:rPr>
                      <w:rFonts w:asciiTheme="minorHAnsi" w:hAnsiTheme="minorHAnsi" w:cstheme="minorHAnsi"/>
                    </w:rPr>
                  </w:pPr>
                  <w:r w:rsidRPr="002D1A3E">
                    <w:rPr>
                      <w:rFonts w:asciiTheme="minorHAnsi" w:hAnsiTheme="minorHAnsi" w:cstheme="minorHAnsi"/>
                    </w:rPr>
                    <w:t>BD communicates between and among services and enablers to ensure submissions are accurate and inclusive of changing policies, procedures and strategic positioning</w:t>
                  </w:r>
                  <w:r w:rsidR="002B02D1" w:rsidRPr="002D1A3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14:paraId="7C67EEB2" w14:textId="77777777" w:rsidR="000B007D" w:rsidRPr="00193477" w:rsidRDefault="000B007D" w:rsidP="0070562F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</w:tc>
      </w:tr>
      <w:tr w:rsidR="00AC0FEE" w:rsidRPr="00193477" w14:paraId="31D37761" w14:textId="77777777" w:rsidTr="00AC0FEE">
        <w:trPr>
          <w:gridAfter w:val="1"/>
          <w:wAfter w:w="163" w:type="pct"/>
          <w:trHeight w:val="541"/>
        </w:trPr>
        <w:tc>
          <w:tcPr>
            <w:tcW w:w="4837" w:type="pct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3CB6D012" w14:textId="69B801B6" w:rsidR="00AC0FEE" w:rsidRPr="00AB306E" w:rsidRDefault="00DC51B0" w:rsidP="002F29BC">
            <w:pPr>
              <w:spacing w:before="51" w:after="0" w:line="241" w:lineRule="auto"/>
              <w:ind w:right="6"/>
              <w:jc w:val="both"/>
              <w:rPr>
                <w:rFonts w:eastAsia="Calibri" w:cs="Calibri"/>
                <w:sz w:val="20"/>
                <w:szCs w:val="20"/>
              </w:rPr>
            </w:pPr>
            <w:r w:rsidRPr="00DC51B0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lastRenderedPageBreak/>
              <w:t xml:space="preserve">Note - Employees may also be required to perform other tasks/duties </w:t>
            </w:r>
            <w:r w:rsidR="00A431BA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or work as reasonably</w:t>
            </w:r>
            <w:r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requested</w:t>
            </w:r>
            <w:r w:rsidRPr="00DC51B0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to meet Position, Program, Funder or Mission Australia requirements.</w:t>
            </w:r>
          </w:p>
          <w:p w14:paraId="5694CEA3" w14:textId="4C5908D2" w:rsidR="00AC0FEE" w:rsidRDefault="00AC0FEE" w:rsidP="002F29BC">
            <w:pPr>
              <w:tabs>
                <w:tab w:val="left" w:pos="989"/>
              </w:tabs>
              <w:spacing w:after="0"/>
              <w:ind w:left="720" w:hanging="1004"/>
              <w:rPr>
                <w:b/>
                <w:color w:val="722D69"/>
                <w:sz w:val="28"/>
              </w:rPr>
            </w:pPr>
          </w:p>
          <w:p w14:paraId="25C833C2" w14:textId="77777777" w:rsidR="00AC0FEE" w:rsidRDefault="00AC0FEE" w:rsidP="002D6F81">
            <w:pPr>
              <w:ind w:left="720" w:hanging="1004"/>
              <w:rPr>
                <w:b/>
                <w:color w:val="722D69"/>
                <w:sz w:val="28"/>
              </w:rPr>
            </w:pPr>
            <w:r w:rsidRPr="0087756E">
              <w:rPr>
                <w:b/>
                <w:color w:val="722D69"/>
                <w:sz w:val="28"/>
              </w:rPr>
              <w:t>U</w:t>
            </w:r>
            <w:r>
              <w:rPr>
                <w:b/>
                <w:color w:val="722D69"/>
                <w:sz w:val="28"/>
              </w:rPr>
              <w:t xml:space="preserve"> Work Health and Safety</w:t>
            </w:r>
          </w:p>
          <w:p w14:paraId="5F0F9402" w14:textId="77777777" w:rsidR="00AC0FEE" w:rsidRPr="00246AF5" w:rsidRDefault="00AC0FEE" w:rsidP="00347FE2">
            <w:pPr>
              <w:spacing w:after="60"/>
              <w:rPr>
                <w:sz w:val="22"/>
              </w:rPr>
            </w:pPr>
            <w:r w:rsidRPr="00246AF5">
              <w:rPr>
                <w:sz w:val="22"/>
              </w:rPr>
              <w:t>People leaders must:</w:t>
            </w:r>
          </w:p>
          <w:p w14:paraId="73ADF727" w14:textId="7FD20E38" w:rsidR="00AC0FEE" w:rsidRPr="000B007D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84051">
              <w:rPr>
                <w:sz w:val="22"/>
              </w:rPr>
              <w:t>Ensure effective management practices are implemented to mitigate risk and ensure the health and safety of workers, clients and visitor</w:t>
            </w:r>
            <w:r>
              <w:rPr>
                <w:sz w:val="22"/>
              </w:rPr>
              <w:t>s.</w:t>
            </w:r>
          </w:p>
          <w:p w14:paraId="73EF789E" w14:textId="2665B23A" w:rsidR="00AC0FEE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84051">
              <w:rPr>
                <w:sz w:val="22"/>
              </w:rPr>
              <w:t>Ensure consultation practices are in place to enable workers to be involved in risk management planning,</w:t>
            </w:r>
            <w:r>
              <w:rPr>
                <w:sz w:val="22"/>
              </w:rPr>
              <w:t xml:space="preserve"> incident reporting and </w:t>
            </w:r>
            <w:r w:rsidRPr="00F84051">
              <w:rPr>
                <w:sz w:val="22"/>
              </w:rPr>
              <w:t>safe work practice activities to improve work, health and safety</w:t>
            </w:r>
            <w:r>
              <w:rPr>
                <w:sz w:val="22"/>
              </w:rPr>
              <w:t>.</w:t>
            </w:r>
          </w:p>
          <w:p w14:paraId="44F34381" w14:textId="39DD67C3" w:rsidR="00AC0FEE" w:rsidRPr="00F84051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F84051">
              <w:rPr>
                <w:sz w:val="22"/>
              </w:rPr>
              <w:t>cquire and keep up to date knowledge of work health and safety matters</w:t>
            </w:r>
            <w:r>
              <w:rPr>
                <w:sz w:val="22"/>
              </w:rPr>
              <w:t>.</w:t>
            </w:r>
          </w:p>
          <w:p w14:paraId="43717A50" w14:textId="2937CFAA" w:rsidR="00AC0FEE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84051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>
              <w:rPr>
                <w:sz w:val="22"/>
              </w:rPr>
              <w:t>.</w:t>
            </w:r>
          </w:p>
          <w:p w14:paraId="162AD435" w14:textId="1651F45F" w:rsidR="00AC0FEE" w:rsidRPr="00AC0FEE" w:rsidRDefault="00AC0FEE" w:rsidP="003E4A53">
            <w:pPr>
              <w:ind w:left="720" w:hanging="1004"/>
              <w:rPr>
                <w:b/>
                <w:color w:val="722D69"/>
                <w:sz w:val="20"/>
                <w:szCs w:val="20"/>
              </w:rPr>
            </w:pPr>
            <w:r>
              <w:rPr>
                <w:b/>
                <w:color w:val="722D69"/>
                <w:sz w:val="28"/>
              </w:rPr>
              <w:t xml:space="preserve">   </w:t>
            </w:r>
          </w:p>
          <w:p w14:paraId="268C8A01" w14:textId="77777777" w:rsidR="00AC0FEE" w:rsidRDefault="00AC0FEE" w:rsidP="00347FE2">
            <w:pPr>
              <w:ind w:left="720" w:hanging="720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>Leadership</w:t>
            </w:r>
          </w:p>
          <w:p w14:paraId="7897196F" w14:textId="5D9661EF" w:rsidR="00AC0FEE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B73BA0">
              <w:rPr>
                <w:sz w:val="22"/>
              </w:rPr>
              <w:t>Set the Leadership standards through demonstration of values based leadership and actively promote values based behaviours within Mission Australia</w:t>
            </w:r>
            <w:r>
              <w:rPr>
                <w:sz w:val="22"/>
              </w:rPr>
              <w:t>.</w:t>
            </w:r>
          </w:p>
          <w:p w14:paraId="57B7A5B1" w14:textId="1AB6BE65" w:rsidR="00AC0FEE" w:rsidRPr="00AE717D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E717D">
              <w:rPr>
                <w:sz w:val="22"/>
              </w:rPr>
              <w:t>Build and maintain an effective and skilled team by establishing role clarity at direct report level ensuring that performance expectations, development and accountabilities are clearly set and reviewed regularly</w:t>
            </w:r>
            <w:r>
              <w:rPr>
                <w:sz w:val="22"/>
              </w:rPr>
              <w:t>.</w:t>
            </w:r>
          </w:p>
          <w:p w14:paraId="3B5C6692" w14:textId="7C4BA1F5" w:rsidR="00AC0FEE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B73BA0">
              <w:rPr>
                <w:sz w:val="22"/>
              </w:rPr>
              <w:t>Establish and maintain team structure that ensures that the right people are in place to manage, develop, grow or maintain the function to meet Mission Australia’s current and future needs</w:t>
            </w:r>
            <w:r>
              <w:rPr>
                <w:sz w:val="22"/>
              </w:rPr>
              <w:t>.</w:t>
            </w:r>
          </w:p>
          <w:p w14:paraId="51B84A52" w14:textId="77777777" w:rsidR="00AC0FEE" w:rsidRDefault="00AC0FEE" w:rsidP="00AC0FE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>
              <w:rPr>
                <w:sz w:val="22"/>
              </w:rPr>
              <w:t>Drive a culture of openness, feedback and productivity by c</w:t>
            </w:r>
            <w:r w:rsidRPr="00B73BA0">
              <w:rPr>
                <w:sz w:val="22"/>
              </w:rPr>
              <w:t>oach</w:t>
            </w:r>
            <w:r>
              <w:rPr>
                <w:sz w:val="22"/>
              </w:rPr>
              <w:t>ing</w:t>
            </w:r>
            <w:r w:rsidRPr="00B73BA0">
              <w:rPr>
                <w:sz w:val="22"/>
              </w:rPr>
              <w:t xml:space="preserve"> and develop</w:t>
            </w:r>
            <w:r>
              <w:rPr>
                <w:sz w:val="22"/>
              </w:rPr>
              <w:t>ing</w:t>
            </w:r>
            <w:r w:rsidRPr="00B73BA0">
              <w:rPr>
                <w:sz w:val="22"/>
              </w:rPr>
              <w:t xml:space="preserve"> team members to achieve their full performance potential and conduct constructive and timely management of non-performance or team issues</w:t>
            </w:r>
            <w:r>
              <w:rPr>
                <w:sz w:val="22"/>
              </w:rPr>
              <w:t>.</w:t>
            </w:r>
            <w:r w:rsidRPr="00AE717D">
              <w:rPr>
                <w:sz w:val="22"/>
              </w:rPr>
              <w:t xml:space="preserve"> </w:t>
            </w:r>
          </w:p>
          <w:p w14:paraId="61189E67" w14:textId="42E4770F" w:rsidR="00AC0FEE" w:rsidRPr="00AC0FEE" w:rsidRDefault="00AC0FEE" w:rsidP="00AC0FE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C0FEE">
              <w:rPr>
                <w:sz w:val="22"/>
              </w:rPr>
              <w:t>Fosters an environment that focuses on client outcomes and satisfaction.</w:t>
            </w:r>
          </w:p>
          <w:p w14:paraId="1179E9CF" w14:textId="77777777" w:rsidR="0012793F" w:rsidRDefault="0012793F" w:rsidP="003E4A53">
            <w:pPr>
              <w:ind w:left="720" w:hanging="791"/>
              <w:rPr>
                <w:b/>
                <w:color w:val="722D69"/>
                <w:sz w:val="28"/>
              </w:rPr>
            </w:pPr>
          </w:p>
          <w:p w14:paraId="2D6C610A" w14:textId="3E95BCD4" w:rsidR="00AC0FEE" w:rsidRPr="00193477" w:rsidRDefault="00AC0FEE" w:rsidP="003E4A53">
            <w:pPr>
              <w:ind w:left="720" w:hanging="791"/>
              <w:rPr>
                <w:b/>
                <w:color w:val="522F8C"/>
              </w:rPr>
            </w:pPr>
            <w:r>
              <w:rPr>
                <w:b/>
                <w:color w:val="722D69"/>
                <w:sz w:val="28"/>
              </w:rPr>
              <w:t>Pur</w:t>
            </w:r>
            <w:r w:rsidRPr="0087756E">
              <w:rPr>
                <w:b/>
                <w:color w:val="722D69"/>
                <w:sz w:val="28"/>
              </w:rPr>
              <w:t>pose and Values</w:t>
            </w:r>
          </w:p>
        </w:tc>
      </w:tr>
      <w:tr w:rsidR="00474630" w:rsidRPr="000B007D" w14:paraId="1F841F23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</w:tcPr>
          <w:p w14:paraId="1897874D" w14:textId="16DF21FE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Actively support Mission</w:t>
            </w:r>
            <w:r w:rsidR="00AC0FEE">
              <w:rPr>
                <w:sz w:val="22"/>
              </w:rPr>
              <w:t xml:space="preserve"> Australia’s purpose and values.</w:t>
            </w:r>
          </w:p>
          <w:p w14:paraId="082E5E42" w14:textId="10A0B775" w:rsidR="00474630" w:rsidRPr="000B007D" w:rsidRDefault="00474630" w:rsidP="00347FE2">
            <w:pPr>
              <w:pStyle w:val="ListParagraph"/>
              <w:numPr>
                <w:ilvl w:val="0"/>
                <w:numId w:val="21"/>
              </w:numPr>
              <w:spacing w:after="60"/>
              <w:ind w:right="-125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Positively and </w:t>
            </w:r>
            <w:r w:rsidR="00720165" w:rsidRPr="000B007D">
              <w:rPr>
                <w:sz w:val="22"/>
              </w:rPr>
              <w:t>constructively,</w:t>
            </w:r>
            <w:r w:rsidRPr="000B007D">
              <w:rPr>
                <w:sz w:val="22"/>
              </w:rPr>
              <w:t xml:space="preserve"> represent our organisation to externa</w:t>
            </w:r>
            <w:r w:rsidR="00AC0FEE">
              <w:rPr>
                <w:sz w:val="22"/>
              </w:rPr>
              <w:t>l contacts at all opportunities.</w:t>
            </w:r>
          </w:p>
          <w:p w14:paraId="75E2AFD0" w14:textId="209CE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Behave in a way that contributes to a workplace that is free of discrimination, harassment and bullying beha</w:t>
            </w:r>
            <w:r w:rsidR="00AC0FEE">
              <w:rPr>
                <w:sz w:val="22"/>
              </w:rPr>
              <w:t>viour at all times.</w:t>
            </w:r>
          </w:p>
          <w:p w14:paraId="147FB45A" w14:textId="04AC73D4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Operate in line with Mission Aus</w:t>
            </w:r>
            <w:r w:rsidR="00347FE2">
              <w:rPr>
                <w:sz w:val="22"/>
              </w:rPr>
              <w:t>tralia policies and practices (e.g.</w:t>
            </w:r>
            <w:r w:rsidRPr="000B007D">
              <w:rPr>
                <w:sz w:val="22"/>
              </w:rPr>
              <w:t xml:space="preserve">  </w:t>
            </w:r>
            <w:r w:rsidR="00347FE2" w:rsidRPr="000B007D">
              <w:rPr>
                <w:sz w:val="22"/>
              </w:rPr>
              <w:t>Financial</w:t>
            </w:r>
            <w:r w:rsidR="00AC0FEE">
              <w:rPr>
                <w:sz w:val="22"/>
              </w:rPr>
              <w:t>, HR, etc.).</w:t>
            </w:r>
          </w:p>
          <w:p w14:paraId="0236A8DB" w14:textId="66D065B2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To help ensure the health, safety and welfare of self and</w:t>
            </w:r>
            <w:r w:rsidR="00AC0FEE">
              <w:rPr>
                <w:sz w:val="22"/>
              </w:rPr>
              <w:t xml:space="preserve"> others working in the business.</w:t>
            </w:r>
          </w:p>
          <w:p w14:paraId="05F889F7" w14:textId="495C2A86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Follow reasonable directions given by the company in relation to </w:t>
            </w:r>
            <w:r>
              <w:rPr>
                <w:sz w:val="22"/>
              </w:rPr>
              <w:t>Work</w:t>
            </w:r>
            <w:r w:rsidR="00347FE2">
              <w:rPr>
                <w:sz w:val="22"/>
              </w:rPr>
              <w:t xml:space="preserve"> Health and Safety</w:t>
            </w:r>
            <w:r w:rsidR="00AC0FEE">
              <w:rPr>
                <w:sz w:val="22"/>
              </w:rPr>
              <w:t>.</w:t>
            </w:r>
          </w:p>
          <w:p w14:paraId="2AD1893F" w14:textId="4757C293" w:rsidR="00F143C4" w:rsidRDefault="00F143C4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474630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AC0FEE">
              <w:rPr>
                <w:sz w:val="22"/>
              </w:rPr>
              <w:t>.</w:t>
            </w:r>
          </w:p>
          <w:p w14:paraId="438B0F6B" w14:textId="65D5B60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Promote and work within Mission Australia's client service delivery principles, ethics, policies and practice standards</w:t>
            </w:r>
            <w:r w:rsidR="00AC0FEE">
              <w:rPr>
                <w:sz w:val="22"/>
              </w:rPr>
              <w:t>.</w:t>
            </w:r>
          </w:p>
          <w:p w14:paraId="328E5FBB" w14:textId="44FBB733" w:rsidR="00E21A8C" w:rsidRPr="00E21A8C" w:rsidRDefault="00E21A8C" w:rsidP="00E21A8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EC008C"/>
                <w:sz w:val="22"/>
                <w:szCs w:val="22"/>
              </w:rPr>
            </w:pPr>
            <w:r w:rsidRPr="00182209">
              <w:rPr>
                <w:rFonts w:asciiTheme="minorHAnsi" w:hAnsiTheme="minorHAnsi" w:cstheme="minorHAnsi"/>
                <w:sz w:val="22"/>
                <w:szCs w:val="22"/>
              </w:rPr>
              <w:t xml:space="preserve">Contribute to an organisational culture that promotes Mission Australia’s </w:t>
            </w:r>
            <w:hyperlink r:id="rId11" w:history="1">
              <w:r w:rsidRPr="00E21A8C">
                <w:rPr>
                  <w:rStyle w:val="Hyperlink"/>
                  <w:rFonts w:asciiTheme="minorHAnsi" w:hAnsiTheme="minorHAnsi" w:cstheme="minorHAnsi"/>
                  <w:color w:val="EC008C"/>
                  <w:sz w:val="22"/>
                  <w:szCs w:val="22"/>
                </w:rPr>
                <w:t>commitment to the safety and wellbeing of all children and young people</w:t>
              </w:r>
            </w:hyperlink>
            <w:r w:rsidRPr="00E21A8C">
              <w:rPr>
                <w:rFonts w:asciiTheme="minorHAnsi" w:hAnsiTheme="minorHAnsi" w:cstheme="minorHAnsi"/>
                <w:color w:val="EC008C"/>
                <w:sz w:val="22"/>
                <w:szCs w:val="22"/>
              </w:rPr>
              <w:t>.</w:t>
            </w:r>
          </w:p>
          <w:p w14:paraId="48DB48C9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40233">
              <w:rPr>
                <w:sz w:val="22"/>
              </w:rPr>
              <w:t>Actively support Mission Australia’s Reconciliation Action Plan.</w:t>
            </w:r>
          </w:p>
        </w:tc>
      </w:tr>
    </w:tbl>
    <w:p w14:paraId="2AAB4C92" w14:textId="77777777" w:rsidR="009537C6" w:rsidRDefault="009537C6" w:rsidP="000B007D">
      <w:pPr>
        <w:ind w:left="720" w:hanging="1004"/>
        <w:rPr>
          <w:b/>
          <w:color w:val="722D69"/>
          <w:sz w:val="28"/>
        </w:rPr>
      </w:pPr>
    </w:p>
    <w:p w14:paraId="08A54220" w14:textId="77777777" w:rsidR="005F71CC" w:rsidRPr="00A54162" w:rsidRDefault="005F71CC" w:rsidP="000B007D">
      <w:pPr>
        <w:ind w:left="720" w:hanging="1004"/>
        <w:rPr>
          <w:b/>
          <w:color w:val="722D69"/>
          <w:sz w:val="28"/>
        </w:rPr>
      </w:pPr>
      <w:r w:rsidRPr="00A54162">
        <w:rPr>
          <w:b/>
          <w:color w:val="722D69"/>
          <w:sz w:val="28"/>
        </w:rPr>
        <w:t xml:space="preserve">Recruitment </w:t>
      </w:r>
      <w:r w:rsidR="00EA745B" w:rsidRPr="00A54162">
        <w:rPr>
          <w:b/>
          <w:color w:val="722D69"/>
          <w:sz w:val="28"/>
        </w:rPr>
        <w:t>information</w:t>
      </w:r>
    </w:p>
    <w:tbl>
      <w:tblPr>
        <w:tblW w:w="5270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4"/>
      </w:tblGrid>
      <w:tr w:rsidR="00474630" w:rsidRPr="00193477" w14:paraId="15784CD3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68B3C" w14:textId="77777777" w:rsidR="00474630" w:rsidRPr="00193477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Qualification</w:t>
            </w:r>
            <w:r w:rsidR="009537C6">
              <w:rPr>
                <w:b/>
                <w:color w:val="522F8C"/>
              </w:rPr>
              <w:t>, k</w:t>
            </w:r>
            <w:r w:rsidR="00F143C4">
              <w:rPr>
                <w:b/>
                <w:color w:val="522F8C"/>
              </w:rPr>
              <w:t>nowledge, skills and experience</w:t>
            </w:r>
            <w:r w:rsidR="00474630">
              <w:rPr>
                <w:b/>
                <w:color w:val="522F8C"/>
              </w:rPr>
              <w:t xml:space="preserve"> </w:t>
            </w:r>
            <w:r w:rsidR="009537C6">
              <w:rPr>
                <w:b/>
                <w:color w:val="522F8C"/>
              </w:rPr>
              <w:t>required to do the role</w:t>
            </w:r>
          </w:p>
        </w:tc>
      </w:tr>
      <w:tr w:rsidR="00474630" w:rsidRPr="000B007D" w14:paraId="6DDBBA2D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E354B" w14:textId="77777777" w:rsid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 xml:space="preserve">Demonstrated ability to develop and deliver a </w:t>
            </w:r>
            <w:r>
              <w:rPr>
                <w:sz w:val="22"/>
                <w:szCs w:val="22"/>
              </w:rPr>
              <w:t xml:space="preserve">business development function, preferably </w:t>
            </w:r>
            <w:r w:rsidRPr="00A255B9">
              <w:rPr>
                <w:sz w:val="22"/>
                <w:szCs w:val="22"/>
              </w:rPr>
              <w:t>in a community/human services context</w:t>
            </w:r>
            <w:r>
              <w:rPr>
                <w:sz w:val="22"/>
                <w:szCs w:val="22"/>
              </w:rPr>
              <w:t>.</w:t>
            </w:r>
          </w:p>
          <w:p w14:paraId="00D54B23" w14:textId="7319E217" w:rsid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with government and/or philanthropic procurement, </w:t>
            </w:r>
            <w:r w:rsidRPr="00A255B9">
              <w:rPr>
                <w:sz w:val="22"/>
                <w:szCs w:val="22"/>
              </w:rPr>
              <w:t>preferably in a community/human services context.</w:t>
            </w:r>
          </w:p>
          <w:p w14:paraId="43038045" w14:textId="19FA52F5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sound commercial acumen.</w:t>
            </w:r>
          </w:p>
          <w:p w14:paraId="11B02608" w14:textId="77777777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>Demonstrated sound judgement, especially in complex and ambiguous contexts.</w:t>
            </w:r>
          </w:p>
          <w:p w14:paraId="2DAFA9BF" w14:textId="77777777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>Proficiency in collaboration and in internal and external stakeholder management, including forming partnerships with external bodies to deliver results.</w:t>
            </w:r>
          </w:p>
          <w:p w14:paraId="470FC324" w14:textId="77777777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 xml:space="preserve">Proven ability to synthesise and analyse complex information. </w:t>
            </w:r>
          </w:p>
          <w:p w14:paraId="42BE077E" w14:textId="77777777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>Sound problem solving skills from concept through to delivery.</w:t>
            </w:r>
          </w:p>
          <w:p w14:paraId="0F3252FB" w14:textId="77777777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>Effective communication, presentation and influencing skills.</w:t>
            </w:r>
          </w:p>
          <w:p w14:paraId="4D488737" w14:textId="77777777" w:rsidR="00F143C4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>Demonstrated strong leadership skills with effective change management capabilities</w:t>
            </w:r>
            <w:r w:rsidR="00CE7C5D">
              <w:rPr>
                <w:sz w:val="22"/>
                <w:szCs w:val="22"/>
              </w:rPr>
              <w:t>.</w:t>
            </w:r>
          </w:p>
          <w:p w14:paraId="4327EDD4" w14:textId="07A2998D" w:rsidR="00CE7C5D" w:rsidRPr="00CE7C5D" w:rsidRDefault="00CE7C5D" w:rsidP="00CE7C5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E7C5D">
              <w:rPr>
                <w:sz w:val="22"/>
                <w:szCs w:val="22"/>
              </w:rPr>
              <w:t>Team management experience.</w:t>
            </w:r>
          </w:p>
        </w:tc>
      </w:tr>
      <w:tr w:rsidR="00474630" w:rsidRPr="00193477" w14:paraId="0A7F0AE6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823A39" w14:textId="77777777" w:rsidR="00B47289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  <w:p w14:paraId="3F766B0F" w14:textId="682109CB" w:rsidR="00347FE2" w:rsidRPr="008F0D93" w:rsidRDefault="00347FE2" w:rsidP="00347FE2">
            <w:pPr>
              <w:spacing w:after="60"/>
              <w:ind w:left="34"/>
              <w:rPr>
                <w:b/>
                <w:color w:val="522F8C"/>
              </w:rPr>
            </w:pPr>
            <w:r w:rsidRPr="008F0D93">
              <w:rPr>
                <w:b/>
                <w:color w:val="522F8C"/>
              </w:rPr>
              <w:t>Competencies</w:t>
            </w:r>
          </w:p>
          <w:p w14:paraId="3CF5EC9A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oriented and takes accountability to achieve results in line with set timeframes.</w:t>
            </w:r>
          </w:p>
          <w:p w14:paraId="418294BB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and maintains sustainable internal and external relationships.</w:t>
            </w:r>
          </w:p>
          <w:p w14:paraId="49909A08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courage in leadership to confront issues and risks, and escalates as appropriate in accordance with procedure.</w:t>
            </w:r>
          </w:p>
          <w:p w14:paraId="4B72056A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communication and active listening skills, demonstrating the ability to present information, decision and reasons confidently, clearly and concisely selecting the appropriate medium.</w:t>
            </w:r>
          </w:p>
          <w:p w14:paraId="70468B8C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experience working and collaborating effectively with others, ensuring key stakeholders are involved, sharing information and ensuring people are kept informed of progress, changes and issues.</w:t>
            </w:r>
          </w:p>
          <w:p w14:paraId="5D64641B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deal with ambiguity and complexity. </w:t>
            </w:r>
          </w:p>
          <w:p w14:paraId="6F614F86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 w:rsidRPr="008F0D93">
              <w:rPr>
                <w:sz w:val="22"/>
                <w:szCs w:val="22"/>
              </w:rPr>
              <w:t>Demonstrated strong leadership skills with effective change management capabilities.</w:t>
            </w:r>
          </w:p>
          <w:p w14:paraId="1C006983" w14:textId="77777777" w:rsidR="00B47289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  <w:p w14:paraId="629508CA" w14:textId="77777777" w:rsidR="00474630" w:rsidRPr="00193477" w:rsidRDefault="00F143C4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K</w:t>
            </w:r>
            <w:r w:rsidR="009537C6">
              <w:rPr>
                <w:b/>
                <w:color w:val="522F8C"/>
              </w:rPr>
              <w:t>ey challenges of the role</w:t>
            </w:r>
          </w:p>
        </w:tc>
      </w:tr>
      <w:tr w:rsidR="00474630" w:rsidRPr="000B007D" w14:paraId="77E79244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BB08EE" w14:textId="0533D3A9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>Prioritisation and effective resource allocation</w:t>
            </w:r>
            <w:r w:rsidR="0009651D">
              <w:rPr>
                <w:sz w:val="22"/>
                <w:szCs w:val="22"/>
              </w:rPr>
              <w:t xml:space="preserve"> within a context of restricted budgets</w:t>
            </w:r>
            <w:r w:rsidRPr="00A255B9">
              <w:rPr>
                <w:sz w:val="22"/>
                <w:szCs w:val="22"/>
              </w:rPr>
              <w:t>.</w:t>
            </w:r>
          </w:p>
          <w:p w14:paraId="7552754A" w14:textId="77777777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>Leading others through change, complexity and ambiguity.</w:t>
            </w:r>
          </w:p>
          <w:p w14:paraId="776A8833" w14:textId="77777777" w:rsidR="00A255B9" w:rsidRP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>Analysing complex information to present clear strategic positions and recommendations.</w:t>
            </w:r>
          </w:p>
          <w:p w14:paraId="2FDF4779" w14:textId="781CB167" w:rsidR="00A255B9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Influencing others to reach an agreed position.</w:t>
            </w:r>
          </w:p>
          <w:p w14:paraId="46D1C10B" w14:textId="691BBAC8" w:rsidR="00F143C4" w:rsidRPr="00F143C4" w:rsidRDefault="00A255B9" w:rsidP="00A255B9">
            <w:pPr>
              <w:pStyle w:val="ListParagraph"/>
              <w:numPr>
                <w:ilvl w:val="0"/>
                <w:numId w:val="25"/>
              </w:numPr>
              <w:spacing w:after="60"/>
              <w:ind w:left="714" w:hanging="357"/>
              <w:contextualSpacing w:val="0"/>
              <w:rPr>
                <w:sz w:val="22"/>
                <w:szCs w:val="22"/>
              </w:rPr>
            </w:pPr>
            <w:r w:rsidRPr="00A255B9">
              <w:rPr>
                <w:sz w:val="22"/>
                <w:szCs w:val="22"/>
              </w:rPr>
              <w:t xml:space="preserve">Balancing quality, </w:t>
            </w:r>
            <w:r w:rsidR="0009651D">
              <w:rPr>
                <w:sz w:val="22"/>
                <w:szCs w:val="22"/>
              </w:rPr>
              <w:t xml:space="preserve">innovation, </w:t>
            </w:r>
            <w:r w:rsidRPr="00A255B9">
              <w:rPr>
                <w:sz w:val="22"/>
                <w:szCs w:val="22"/>
              </w:rPr>
              <w:t>viability and feasibility.</w:t>
            </w:r>
          </w:p>
        </w:tc>
      </w:tr>
    </w:tbl>
    <w:p w14:paraId="1B972F10" w14:textId="77777777" w:rsidR="00B47289" w:rsidRDefault="007454A0" w:rsidP="007454A0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 xml:space="preserve">Compliance checks required </w:t>
      </w:r>
    </w:p>
    <w:p w14:paraId="11F53E46" w14:textId="484AEBD2" w:rsidR="007454A0" w:rsidRPr="007454A0" w:rsidRDefault="007454A0" w:rsidP="007454A0">
      <w:pPr>
        <w:spacing w:before="40" w:after="60"/>
        <w:ind w:left="720" w:hanging="720"/>
        <w:rPr>
          <w:b/>
          <w:color w:val="522F8C"/>
        </w:rPr>
      </w:pPr>
      <w:r w:rsidRPr="007454A0">
        <w:rPr>
          <w:b/>
          <w:color w:val="522F8C"/>
        </w:rPr>
        <w:t>Working with Children</w:t>
      </w:r>
      <w:r>
        <w:rPr>
          <w:b/>
          <w:color w:val="522F8C"/>
        </w:rPr>
        <w:t xml:space="preserve">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-1797434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651D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0862C585" w14:textId="4CE4B2B1" w:rsidR="007454A0" w:rsidRPr="007454A0" w:rsidRDefault="00D31CFA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 xml:space="preserve">National </w:t>
      </w:r>
      <w:r w:rsidR="007454A0" w:rsidRPr="007454A0">
        <w:rPr>
          <w:b/>
          <w:color w:val="522F8C"/>
        </w:rPr>
        <w:t>Police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2015499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91D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50403ABC" w14:textId="1C33C379" w:rsidR="007454A0" w:rsidRPr="007454A0" w:rsidRDefault="00183C42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Vul</w:t>
      </w:r>
      <w:r w:rsidR="007454A0" w:rsidRPr="007454A0">
        <w:rPr>
          <w:b/>
          <w:color w:val="522F8C"/>
        </w:rPr>
        <w:t>nerable People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752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B1A19B6" w14:textId="06B6D3DD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Driver</w:t>
      </w:r>
      <w:r w:rsidR="002F29BC">
        <w:rPr>
          <w:b/>
          <w:color w:val="522F8C"/>
        </w:rPr>
        <w:t>’</w:t>
      </w:r>
      <w:r>
        <w:rPr>
          <w:b/>
          <w:color w:val="522F8C"/>
        </w:rPr>
        <w:t>s Licence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3306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51D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35925AC" w14:textId="71BA29E4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Other (prescribe)</w:t>
      </w:r>
      <w:r>
        <w:rPr>
          <w:b/>
          <w:color w:val="522F8C"/>
        </w:rPr>
        <w:tab/>
        <w:t xml:space="preserve"> 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08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  <w:r>
        <w:rPr>
          <w:b/>
          <w:color w:val="522F8C"/>
        </w:rPr>
        <w:t xml:space="preserve">   </w:t>
      </w:r>
      <w:r w:rsidRPr="00D31CFA">
        <w:rPr>
          <w:color w:val="522F8C"/>
        </w:rPr>
        <w:t xml:space="preserve">  </w:t>
      </w:r>
      <w:r>
        <w:rPr>
          <w:color w:val="522F8C"/>
        </w:rPr>
        <w:t xml:space="preserve">       </w:t>
      </w:r>
      <w:r w:rsidRPr="00D31CFA">
        <w:rPr>
          <w:color w:val="522F8C"/>
        </w:rPr>
        <w:t>____________________</w:t>
      </w:r>
    </w:p>
    <w:p w14:paraId="4E07070F" w14:textId="587D58D3" w:rsidR="00B47289" w:rsidRDefault="00B47289" w:rsidP="000B007D">
      <w:pPr>
        <w:ind w:left="720" w:hanging="1146"/>
        <w:rPr>
          <w:b/>
          <w:color w:val="722D69"/>
          <w:sz w:val="28"/>
        </w:rPr>
      </w:pPr>
    </w:p>
    <w:p w14:paraId="5BC576DC" w14:textId="77777777" w:rsidR="003E4A53" w:rsidRDefault="003E4A53" w:rsidP="000B007D">
      <w:pPr>
        <w:ind w:left="720" w:hanging="1146"/>
        <w:rPr>
          <w:b/>
          <w:color w:val="722D69"/>
          <w:sz w:val="28"/>
        </w:rPr>
      </w:pPr>
    </w:p>
    <w:p w14:paraId="5E9473A4" w14:textId="77777777" w:rsidR="0009651D" w:rsidRDefault="009537C6" w:rsidP="0009651D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sz w:val="22"/>
          <w:szCs w:val="22"/>
        </w:rPr>
      </w:pPr>
      <w:r>
        <w:rPr>
          <w:b/>
          <w:color w:val="722D69"/>
          <w:sz w:val="28"/>
        </w:rPr>
        <w:t>Ap</w:t>
      </w:r>
      <w:r w:rsidR="00834EC7" w:rsidRPr="00A54162">
        <w:rPr>
          <w:b/>
          <w:color w:val="722D69"/>
          <w:sz w:val="28"/>
        </w:rPr>
        <w:t>proval</w:t>
      </w:r>
      <w:r w:rsidR="003E4A53">
        <w:rPr>
          <w:b/>
          <w:color w:val="722D69"/>
          <w:sz w:val="28"/>
        </w:rPr>
        <w:tab/>
      </w:r>
      <w:r w:rsidR="0009651D">
        <w:rPr>
          <w:bCs/>
          <w:sz w:val="22"/>
          <w:szCs w:val="22"/>
        </w:rPr>
        <w:t>Marion Bennett,</w:t>
      </w:r>
    </w:p>
    <w:p w14:paraId="00255670" w14:textId="5E8B9017" w:rsidR="0009651D" w:rsidRPr="003E4A53" w:rsidRDefault="0009651D" w:rsidP="0009651D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color w:val="722D69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35FA9">
        <w:rPr>
          <w:bCs/>
          <w:sz w:val="22"/>
          <w:szCs w:val="22"/>
        </w:rPr>
        <w:t>Executive</w:t>
      </w:r>
      <w:r w:rsidR="00B21EB0">
        <w:rPr>
          <w:bCs/>
          <w:sz w:val="22"/>
          <w:szCs w:val="22"/>
        </w:rPr>
        <w:t xml:space="preserve"> -</w:t>
      </w:r>
      <w:r w:rsidRPr="00535FA9">
        <w:rPr>
          <w:bCs/>
          <w:sz w:val="22"/>
          <w:szCs w:val="22"/>
        </w:rPr>
        <w:t xml:space="preserve"> Practice Evidence &amp; Impact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84D99">
        <w:rPr>
          <w:bCs/>
          <w:sz w:val="22"/>
          <w:szCs w:val="22"/>
        </w:rPr>
        <w:t xml:space="preserve"> 10 March </w:t>
      </w:r>
      <w:r>
        <w:rPr>
          <w:bCs/>
          <w:sz w:val="22"/>
          <w:szCs w:val="22"/>
        </w:rPr>
        <w:t>202</w:t>
      </w:r>
      <w:r w:rsidR="00D42BB9">
        <w:rPr>
          <w:bCs/>
          <w:sz w:val="22"/>
          <w:szCs w:val="22"/>
        </w:rPr>
        <w:t>1</w:t>
      </w:r>
    </w:p>
    <w:tbl>
      <w:tblPr>
        <w:tblW w:w="5270" w:type="pct"/>
        <w:tblInd w:w="-318" w:type="dxa"/>
        <w:tblBorders>
          <w:top w:val="single" w:sz="4" w:space="0" w:color="EC268C"/>
        </w:tblBorders>
        <w:tblLook w:val="04A0" w:firstRow="1" w:lastRow="0" w:firstColumn="1" w:lastColumn="0" w:noHBand="0" w:noVBand="1"/>
      </w:tblPr>
      <w:tblGrid>
        <w:gridCol w:w="1848"/>
        <w:gridCol w:w="4401"/>
        <w:gridCol w:w="1703"/>
        <w:gridCol w:w="1562"/>
      </w:tblGrid>
      <w:tr w:rsidR="00716708" w14:paraId="4E9B5431" w14:textId="77777777" w:rsidTr="00451E7B">
        <w:tc>
          <w:tcPr>
            <w:tcW w:w="971" w:type="pct"/>
            <w:hideMark/>
          </w:tcPr>
          <w:p w14:paraId="5969C305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Manager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3" w:type="pct"/>
          </w:tcPr>
          <w:p w14:paraId="496B7E71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  <w:tc>
          <w:tcPr>
            <w:tcW w:w="895" w:type="pct"/>
          </w:tcPr>
          <w:p w14:paraId="3BDE96E8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Approval date</w:t>
            </w:r>
          </w:p>
        </w:tc>
        <w:tc>
          <w:tcPr>
            <w:tcW w:w="821" w:type="pct"/>
          </w:tcPr>
          <w:p w14:paraId="655024A9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</w:tr>
    </w:tbl>
    <w:p w14:paraId="37F9ABC0" w14:textId="77777777" w:rsidR="007117A1" w:rsidRDefault="007A2ACE" w:rsidP="005773BE">
      <w:r>
        <w:t xml:space="preserve">         </w:t>
      </w:r>
      <w:r w:rsidR="005773BE">
        <w:t xml:space="preserve">                                                                                                                                                </w:t>
      </w:r>
      <w:r>
        <w:t xml:space="preserve">   </w:t>
      </w:r>
    </w:p>
    <w:sectPr w:rsidR="007117A1" w:rsidSect="00E21A8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94" w:footer="95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098E5" w14:textId="77777777" w:rsidR="005A0C00" w:rsidRDefault="005A0C00" w:rsidP="00985745">
      <w:r>
        <w:separator/>
      </w:r>
    </w:p>
  </w:endnote>
  <w:endnote w:type="continuationSeparator" w:id="0">
    <w:p w14:paraId="3FA5C9CE" w14:textId="77777777" w:rsidR="005A0C00" w:rsidRDefault="005A0C00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268D" w14:textId="16198C35" w:rsidR="00347FE2" w:rsidRDefault="00347FE2" w:rsidP="00480DFF">
    <w:pPr>
      <w:pStyle w:val="x9MAfooter"/>
    </w:pPr>
    <w:r>
      <w:drawing>
        <wp:anchor distT="0" distB="0" distL="114300" distR="114300" simplePos="0" relativeHeight="251651072" behindDoc="0" locked="0" layoutInCell="1" allowOverlap="1" wp14:anchorId="30948799" wp14:editId="707AC1B2">
          <wp:simplePos x="0" y="0"/>
          <wp:positionH relativeFrom="column">
            <wp:posOffset>-263906</wp:posOffset>
          </wp:positionH>
          <wp:positionV relativeFrom="paragraph">
            <wp:posOffset>83286</wp:posOffset>
          </wp:positionV>
          <wp:extent cx="935355" cy="420370"/>
          <wp:effectExtent l="0" t="0" r="0" b="0"/>
          <wp:wrapNone/>
          <wp:docPr id="2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29FC0" w14:textId="22742F3F" w:rsidR="00E756B3" w:rsidRDefault="00662039" w:rsidP="00480DFF">
    <w:pPr>
      <w:pStyle w:val="x9MAfooter"/>
    </w:pPr>
    <w:r>
      <w:t>P</w:t>
    </w:r>
    <w:r w:rsidR="00E756B3">
      <w:t xml:space="preserve">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EC4AF4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47E2" w14:textId="77777777" w:rsidR="00E756B3" w:rsidRDefault="00E756B3" w:rsidP="004B7E91">
    <w:pPr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01F7" w14:textId="77777777" w:rsidR="005A0C00" w:rsidRDefault="005A0C00" w:rsidP="00985745">
      <w:r>
        <w:separator/>
      </w:r>
    </w:p>
  </w:footnote>
  <w:footnote w:type="continuationSeparator" w:id="0">
    <w:p w14:paraId="59882825" w14:textId="77777777" w:rsidR="005A0C00" w:rsidRDefault="005A0C00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7E82" w14:textId="21B7AABA" w:rsidR="00E756B3" w:rsidRPr="00347FE2" w:rsidRDefault="00347FE2" w:rsidP="00B26A13">
    <w:pPr>
      <w:pStyle w:val="Header"/>
      <w:tabs>
        <w:tab w:val="left" w:pos="8553"/>
      </w:tabs>
      <w:rPr>
        <w:sz w:val="16"/>
        <w:szCs w:val="16"/>
      </w:rPr>
    </w:pPr>
    <w:r w:rsidRPr="00347FE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506A441" wp14:editId="1E1D69BB">
          <wp:simplePos x="0" y="0"/>
          <wp:positionH relativeFrom="column">
            <wp:posOffset>-186791</wp:posOffset>
          </wp:positionH>
          <wp:positionV relativeFrom="paragraph">
            <wp:posOffset>-156896</wp:posOffset>
          </wp:positionV>
          <wp:extent cx="6096000" cy="352425"/>
          <wp:effectExtent l="0" t="0" r="0" b="0"/>
          <wp:wrapTight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C4EA" w14:textId="327B4FE7" w:rsidR="005B3FFE" w:rsidRDefault="003E4A53" w:rsidP="006C7793">
    <w:pPr>
      <w:pStyle w:val="Header"/>
      <w:spacing w:after="0"/>
      <w:ind w:left="-425" w:firstLine="42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B51088" wp14:editId="77649FD9">
              <wp:simplePos x="0" y="0"/>
              <wp:positionH relativeFrom="column">
                <wp:posOffset>723845</wp:posOffset>
              </wp:positionH>
              <wp:positionV relativeFrom="paragraph">
                <wp:posOffset>-77994</wp:posOffset>
              </wp:positionV>
              <wp:extent cx="4563110" cy="476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062D9" w14:textId="26CC2CF3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826F7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15491D">
                            <w:rPr>
                              <w:b/>
                              <w:color w:val="FFFFFF"/>
                            </w:rPr>
                            <w:t>General Manager</w:t>
                          </w:r>
                          <w:r w:rsidR="00D855D9">
                            <w:rPr>
                              <w:b/>
                              <w:color w:val="FFFFFF"/>
                            </w:rPr>
                            <w:t>,</w:t>
                          </w:r>
                          <w:r w:rsidR="0015491D">
                            <w:rPr>
                              <w:b/>
                              <w:color w:val="FFFFFF"/>
                            </w:rPr>
                            <w:t xml:space="preserve"> Business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B510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pt;margin-top:-6.15pt;width:359.3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" filled="f" stroked="f">
              <v:textbox>
                <w:txbxContent>
                  <w:p w14:paraId="76F062D9" w14:textId="26CC2CF3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826F7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15491D">
                      <w:rPr>
                        <w:b/>
                        <w:color w:val="FFFFFF"/>
                      </w:rPr>
                      <w:t>General Manager</w:t>
                    </w:r>
                    <w:r w:rsidR="00D855D9">
                      <w:rPr>
                        <w:b/>
                        <w:color w:val="FFFFFF"/>
                      </w:rPr>
                      <w:t>,</w:t>
                    </w:r>
                    <w:r w:rsidR="0015491D">
                      <w:rPr>
                        <w:b/>
                        <w:color w:val="FFFFFF"/>
                      </w:rPr>
                      <w:t xml:space="preserve"> Business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6EFF94E" wp14:editId="4C64CAD9">
          <wp:simplePos x="0" y="0"/>
          <wp:positionH relativeFrom="column">
            <wp:posOffset>-890546</wp:posOffset>
          </wp:positionH>
          <wp:positionV relativeFrom="paragraph">
            <wp:posOffset>-143261</wp:posOffset>
          </wp:positionV>
          <wp:extent cx="7505700" cy="600710"/>
          <wp:effectExtent l="0" t="0" r="0" b="8890"/>
          <wp:wrapTight wrapText="bothSides">
            <wp:wrapPolygon edited="0">
              <wp:start x="0" y="0"/>
              <wp:lineTo x="0" y="21235"/>
              <wp:lineTo x="21545" y="2123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81"/>
    <w:multiLevelType w:val="hybridMultilevel"/>
    <w:tmpl w:val="0FD0112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5F2BBD"/>
    <w:multiLevelType w:val="hybridMultilevel"/>
    <w:tmpl w:val="B6D6AFE6"/>
    <w:lvl w:ilvl="0" w:tplc="109228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47A"/>
    <w:multiLevelType w:val="hybridMultilevel"/>
    <w:tmpl w:val="37144590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15F"/>
    <w:multiLevelType w:val="hybridMultilevel"/>
    <w:tmpl w:val="3FF27CC6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77B8"/>
    <w:multiLevelType w:val="hybridMultilevel"/>
    <w:tmpl w:val="3E34DA32"/>
    <w:lvl w:ilvl="0" w:tplc="E022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59DCD7E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E17"/>
    <w:multiLevelType w:val="hybridMultilevel"/>
    <w:tmpl w:val="77465A50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C2EC7"/>
    <w:multiLevelType w:val="hybridMultilevel"/>
    <w:tmpl w:val="6A220A3A"/>
    <w:lvl w:ilvl="0" w:tplc="48AE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542A2"/>
    <w:multiLevelType w:val="hybridMultilevel"/>
    <w:tmpl w:val="254C3946"/>
    <w:lvl w:ilvl="0" w:tplc="616E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FEB"/>
    <w:multiLevelType w:val="hybridMultilevel"/>
    <w:tmpl w:val="68D678B0"/>
    <w:lvl w:ilvl="0" w:tplc="7ED419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248"/>
    <w:multiLevelType w:val="hybridMultilevel"/>
    <w:tmpl w:val="85C67FF6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2E21867"/>
    <w:multiLevelType w:val="hybridMultilevel"/>
    <w:tmpl w:val="9CD4F4F8"/>
    <w:lvl w:ilvl="0" w:tplc="36A007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94594"/>
    <w:multiLevelType w:val="hybridMultilevel"/>
    <w:tmpl w:val="E136971E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06E3"/>
    <w:multiLevelType w:val="hybridMultilevel"/>
    <w:tmpl w:val="C2C0DFC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F26190"/>
    <w:multiLevelType w:val="hybridMultilevel"/>
    <w:tmpl w:val="5E9AC424"/>
    <w:lvl w:ilvl="0" w:tplc="123CD3F8">
      <w:start w:val="1"/>
      <w:numFmt w:val="bullet"/>
      <w:lvlText w:val=""/>
      <w:lvlJc w:val="left"/>
      <w:pPr>
        <w:ind w:left="754" w:hanging="360"/>
      </w:pPr>
      <w:rPr>
        <w:rFonts w:ascii="Wingdings 2" w:hAnsi="Wingdings 2"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>
      <w:start w:val="1"/>
      <w:numFmt w:val="lowerLetter"/>
      <w:lvlText w:val="%5."/>
      <w:lvlJc w:val="left"/>
      <w:pPr>
        <w:ind w:left="3634" w:hanging="360"/>
      </w:pPr>
    </w:lvl>
    <w:lvl w:ilvl="5" w:tplc="0C09001B">
      <w:start w:val="1"/>
      <w:numFmt w:val="lowerRoman"/>
      <w:lvlText w:val="%6."/>
      <w:lvlJc w:val="right"/>
      <w:pPr>
        <w:ind w:left="4354" w:hanging="180"/>
      </w:pPr>
    </w:lvl>
    <w:lvl w:ilvl="6" w:tplc="0C09000F">
      <w:start w:val="1"/>
      <w:numFmt w:val="decimal"/>
      <w:lvlText w:val="%7."/>
      <w:lvlJc w:val="left"/>
      <w:pPr>
        <w:ind w:left="5074" w:hanging="360"/>
      </w:pPr>
    </w:lvl>
    <w:lvl w:ilvl="7" w:tplc="0C090019">
      <w:start w:val="1"/>
      <w:numFmt w:val="lowerLetter"/>
      <w:lvlText w:val="%8."/>
      <w:lvlJc w:val="left"/>
      <w:pPr>
        <w:ind w:left="5794" w:hanging="360"/>
      </w:pPr>
    </w:lvl>
    <w:lvl w:ilvl="8" w:tplc="0C09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E37140B"/>
    <w:multiLevelType w:val="hybridMultilevel"/>
    <w:tmpl w:val="9C480A32"/>
    <w:lvl w:ilvl="0" w:tplc="2654A8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8007D"/>
    <w:multiLevelType w:val="hybridMultilevel"/>
    <w:tmpl w:val="CCA220C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25"/>
  </w:num>
  <w:num w:numId="9">
    <w:abstractNumId w:val="22"/>
  </w:num>
  <w:num w:numId="10">
    <w:abstractNumId w:val="16"/>
  </w:num>
  <w:num w:numId="11">
    <w:abstractNumId w:val="20"/>
  </w:num>
  <w:num w:numId="12">
    <w:abstractNumId w:val="24"/>
  </w:num>
  <w:num w:numId="13">
    <w:abstractNumId w:val="29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17"/>
  </w:num>
  <w:num w:numId="21">
    <w:abstractNumId w:val="23"/>
  </w:num>
  <w:num w:numId="22">
    <w:abstractNumId w:val="4"/>
  </w:num>
  <w:num w:numId="23">
    <w:abstractNumId w:val="19"/>
  </w:num>
  <w:num w:numId="24">
    <w:abstractNumId w:val="28"/>
  </w:num>
  <w:num w:numId="25">
    <w:abstractNumId w:val="18"/>
  </w:num>
  <w:num w:numId="26">
    <w:abstractNumId w:val="6"/>
  </w:num>
  <w:num w:numId="27">
    <w:abstractNumId w:val="30"/>
  </w:num>
  <w:num w:numId="28">
    <w:abstractNumId w:val="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C2sDQysrQwMzNV0lEKTi0uzszPAykwrQUAFSPYUSwAAAA="/>
  </w:docVars>
  <w:rsids>
    <w:rsidRoot w:val="00B22DB7"/>
    <w:rsid w:val="00001253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1C84"/>
    <w:rsid w:val="00015A43"/>
    <w:rsid w:val="000170E7"/>
    <w:rsid w:val="00017556"/>
    <w:rsid w:val="000177EA"/>
    <w:rsid w:val="00020525"/>
    <w:rsid w:val="00021F7D"/>
    <w:rsid w:val="00021F91"/>
    <w:rsid w:val="00022137"/>
    <w:rsid w:val="000231BD"/>
    <w:rsid w:val="00023399"/>
    <w:rsid w:val="00023825"/>
    <w:rsid w:val="0002467B"/>
    <w:rsid w:val="000246A7"/>
    <w:rsid w:val="00025A08"/>
    <w:rsid w:val="00025AA9"/>
    <w:rsid w:val="00025B17"/>
    <w:rsid w:val="00025EE7"/>
    <w:rsid w:val="000261CF"/>
    <w:rsid w:val="00027E00"/>
    <w:rsid w:val="0003038A"/>
    <w:rsid w:val="00030983"/>
    <w:rsid w:val="00030F01"/>
    <w:rsid w:val="000339F0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80A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57F54"/>
    <w:rsid w:val="00060278"/>
    <w:rsid w:val="000613D8"/>
    <w:rsid w:val="0006258C"/>
    <w:rsid w:val="00063E03"/>
    <w:rsid w:val="00063F42"/>
    <w:rsid w:val="00063FE1"/>
    <w:rsid w:val="00064B25"/>
    <w:rsid w:val="00065CB0"/>
    <w:rsid w:val="00067801"/>
    <w:rsid w:val="00071B9F"/>
    <w:rsid w:val="00071E3E"/>
    <w:rsid w:val="0007266A"/>
    <w:rsid w:val="00073FA4"/>
    <w:rsid w:val="000742DE"/>
    <w:rsid w:val="000759A6"/>
    <w:rsid w:val="00076AC1"/>
    <w:rsid w:val="00081D60"/>
    <w:rsid w:val="00081DDA"/>
    <w:rsid w:val="00081EFC"/>
    <w:rsid w:val="00082AC4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606B"/>
    <w:rsid w:val="0009651D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07D"/>
    <w:rsid w:val="000B0A5C"/>
    <w:rsid w:val="000B17F8"/>
    <w:rsid w:val="000B22A7"/>
    <w:rsid w:val="000B27BC"/>
    <w:rsid w:val="000B2A58"/>
    <w:rsid w:val="000B454A"/>
    <w:rsid w:val="000B4F2F"/>
    <w:rsid w:val="000B6920"/>
    <w:rsid w:val="000C18E4"/>
    <w:rsid w:val="000C1AF7"/>
    <w:rsid w:val="000C37E1"/>
    <w:rsid w:val="000C425F"/>
    <w:rsid w:val="000C5141"/>
    <w:rsid w:val="000C51FB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1494"/>
    <w:rsid w:val="000E2EE7"/>
    <w:rsid w:val="000E486E"/>
    <w:rsid w:val="000E61E6"/>
    <w:rsid w:val="000E621B"/>
    <w:rsid w:val="000E670C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06CE1"/>
    <w:rsid w:val="0011021E"/>
    <w:rsid w:val="0011039E"/>
    <w:rsid w:val="00110DDE"/>
    <w:rsid w:val="00111049"/>
    <w:rsid w:val="00111406"/>
    <w:rsid w:val="0011197E"/>
    <w:rsid w:val="00111D18"/>
    <w:rsid w:val="00113781"/>
    <w:rsid w:val="00120E22"/>
    <w:rsid w:val="00122285"/>
    <w:rsid w:val="00122A59"/>
    <w:rsid w:val="001254EC"/>
    <w:rsid w:val="001272B5"/>
    <w:rsid w:val="0012793F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4D51"/>
    <w:rsid w:val="001466CF"/>
    <w:rsid w:val="0014713F"/>
    <w:rsid w:val="00147BE3"/>
    <w:rsid w:val="001503EF"/>
    <w:rsid w:val="001504C9"/>
    <w:rsid w:val="001505D8"/>
    <w:rsid w:val="0015205C"/>
    <w:rsid w:val="00153128"/>
    <w:rsid w:val="00153D9B"/>
    <w:rsid w:val="00153DA5"/>
    <w:rsid w:val="0015403F"/>
    <w:rsid w:val="0015491D"/>
    <w:rsid w:val="00155C6F"/>
    <w:rsid w:val="00156A28"/>
    <w:rsid w:val="00157AF8"/>
    <w:rsid w:val="00157E5D"/>
    <w:rsid w:val="00162A7B"/>
    <w:rsid w:val="00163071"/>
    <w:rsid w:val="00164CDB"/>
    <w:rsid w:val="001657F5"/>
    <w:rsid w:val="001674DD"/>
    <w:rsid w:val="001676DE"/>
    <w:rsid w:val="00167B58"/>
    <w:rsid w:val="00170178"/>
    <w:rsid w:val="00170E26"/>
    <w:rsid w:val="00170F2F"/>
    <w:rsid w:val="00171A6B"/>
    <w:rsid w:val="00172731"/>
    <w:rsid w:val="00172742"/>
    <w:rsid w:val="00174C84"/>
    <w:rsid w:val="00176EFD"/>
    <w:rsid w:val="001772F3"/>
    <w:rsid w:val="00177910"/>
    <w:rsid w:val="00177AA5"/>
    <w:rsid w:val="00180AF9"/>
    <w:rsid w:val="0018328E"/>
    <w:rsid w:val="00183C42"/>
    <w:rsid w:val="00183F31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3477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17F3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2952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AF5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60EA5"/>
    <w:rsid w:val="00261521"/>
    <w:rsid w:val="00263126"/>
    <w:rsid w:val="002638C7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687D"/>
    <w:rsid w:val="00277857"/>
    <w:rsid w:val="00281C50"/>
    <w:rsid w:val="0028438F"/>
    <w:rsid w:val="00284414"/>
    <w:rsid w:val="00284938"/>
    <w:rsid w:val="00284D99"/>
    <w:rsid w:val="00285D7B"/>
    <w:rsid w:val="00286AB1"/>
    <w:rsid w:val="00287A8A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02D1"/>
    <w:rsid w:val="002B14AE"/>
    <w:rsid w:val="002B1AE9"/>
    <w:rsid w:val="002B3AA5"/>
    <w:rsid w:val="002B3E2F"/>
    <w:rsid w:val="002B5233"/>
    <w:rsid w:val="002B56D2"/>
    <w:rsid w:val="002B6BAD"/>
    <w:rsid w:val="002B6E4F"/>
    <w:rsid w:val="002B7A17"/>
    <w:rsid w:val="002B7C98"/>
    <w:rsid w:val="002C16F5"/>
    <w:rsid w:val="002C4509"/>
    <w:rsid w:val="002C59C0"/>
    <w:rsid w:val="002C5C35"/>
    <w:rsid w:val="002C677C"/>
    <w:rsid w:val="002C7087"/>
    <w:rsid w:val="002C7E40"/>
    <w:rsid w:val="002D1A3E"/>
    <w:rsid w:val="002D20C8"/>
    <w:rsid w:val="002D2A3F"/>
    <w:rsid w:val="002D2E13"/>
    <w:rsid w:val="002D375C"/>
    <w:rsid w:val="002D48E7"/>
    <w:rsid w:val="002D5687"/>
    <w:rsid w:val="002D6F6E"/>
    <w:rsid w:val="002D6F81"/>
    <w:rsid w:val="002D7465"/>
    <w:rsid w:val="002E16FE"/>
    <w:rsid w:val="002E1A17"/>
    <w:rsid w:val="002E1CD5"/>
    <w:rsid w:val="002E31A8"/>
    <w:rsid w:val="002E360A"/>
    <w:rsid w:val="002E39D1"/>
    <w:rsid w:val="002E3DBA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BC"/>
    <w:rsid w:val="002F29CF"/>
    <w:rsid w:val="002F319F"/>
    <w:rsid w:val="002F3FB5"/>
    <w:rsid w:val="002F4E3C"/>
    <w:rsid w:val="002F6145"/>
    <w:rsid w:val="002F73CD"/>
    <w:rsid w:val="00300750"/>
    <w:rsid w:val="00300EAE"/>
    <w:rsid w:val="00300FE4"/>
    <w:rsid w:val="0030220F"/>
    <w:rsid w:val="00302411"/>
    <w:rsid w:val="00302D02"/>
    <w:rsid w:val="00303192"/>
    <w:rsid w:val="00303A5E"/>
    <w:rsid w:val="00303F23"/>
    <w:rsid w:val="003075E8"/>
    <w:rsid w:val="00311719"/>
    <w:rsid w:val="00316D6D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5CC6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4AE7"/>
    <w:rsid w:val="0034561C"/>
    <w:rsid w:val="00347561"/>
    <w:rsid w:val="00347CB1"/>
    <w:rsid w:val="00347F59"/>
    <w:rsid w:val="00347FE2"/>
    <w:rsid w:val="00350666"/>
    <w:rsid w:val="00350779"/>
    <w:rsid w:val="00351B1A"/>
    <w:rsid w:val="00351DD2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67289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F7"/>
    <w:rsid w:val="003975D0"/>
    <w:rsid w:val="003A010A"/>
    <w:rsid w:val="003A058E"/>
    <w:rsid w:val="003A1736"/>
    <w:rsid w:val="003A23DE"/>
    <w:rsid w:val="003A2573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899"/>
    <w:rsid w:val="003D0FCB"/>
    <w:rsid w:val="003D1DA8"/>
    <w:rsid w:val="003D23F6"/>
    <w:rsid w:val="003D256D"/>
    <w:rsid w:val="003D33C6"/>
    <w:rsid w:val="003D3A8E"/>
    <w:rsid w:val="003D3DD3"/>
    <w:rsid w:val="003D41E4"/>
    <w:rsid w:val="003D59D8"/>
    <w:rsid w:val="003D630C"/>
    <w:rsid w:val="003E2539"/>
    <w:rsid w:val="003E4A53"/>
    <w:rsid w:val="003E4CE7"/>
    <w:rsid w:val="003E6754"/>
    <w:rsid w:val="003E6FA0"/>
    <w:rsid w:val="003E7060"/>
    <w:rsid w:val="003F011C"/>
    <w:rsid w:val="003F06A2"/>
    <w:rsid w:val="003F0C4F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0847"/>
    <w:rsid w:val="00411721"/>
    <w:rsid w:val="00411AD2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0369"/>
    <w:rsid w:val="00422424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37BF0"/>
    <w:rsid w:val="00440446"/>
    <w:rsid w:val="00440A13"/>
    <w:rsid w:val="004425F4"/>
    <w:rsid w:val="00443418"/>
    <w:rsid w:val="0044436D"/>
    <w:rsid w:val="00445F08"/>
    <w:rsid w:val="004478C4"/>
    <w:rsid w:val="00447B8A"/>
    <w:rsid w:val="00450079"/>
    <w:rsid w:val="00450AB4"/>
    <w:rsid w:val="00451006"/>
    <w:rsid w:val="00451971"/>
    <w:rsid w:val="00451E7B"/>
    <w:rsid w:val="00452D62"/>
    <w:rsid w:val="00455110"/>
    <w:rsid w:val="00456179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1D8"/>
    <w:rsid w:val="00472732"/>
    <w:rsid w:val="00472F91"/>
    <w:rsid w:val="00473909"/>
    <w:rsid w:val="00474630"/>
    <w:rsid w:val="00474E8E"/>
    <w:rsid w:val="004771D8"/>
    <w:rsid w:val="00477CCB"/>
    <w:rsid w:val="00480DFF"/>
    <w:rsid w:val="004811E8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053A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A57C3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3DE"/>
    <w:rsid w:val="004B6C57"/>
    <w:rsid w:val="004B7E91"/>
    <w:rsid w:val="004C0ED9"/>
    <w:rsid w:val="004C22A2"/>
    <w:rsid w:val="004C4670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093C"/>
    <w:rsid w:val="00513A8E"/>
    <w:rsid w:val="00514F10"/>
    <w:rsid w:val="00514F8D"/>
    <w:rsid w:val="0051506C"/>
    <w:rsid w:val="005157CD"/>
    <w:rsid w:val="00516BB1"/>
    <w:rsid w:val="00517860"/>
    <w:rsid w:val="005178A4"/>
    <w:rsid w:val="00524710"/>
    <w:rsid w:val="00525825"/>
    <w:rsid w:val="00525C13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5B7C"/>
    <w:rsid w:val="0054605B"/>
    <w:rsid w:val="00546EC9"/>
    <w:rsid w:val="0055004F"/>
    <w:rsid w:val="00550129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0ED2"/>
    <w:rsid w:val="00571A07"/>
    <w:rsid w:val="00571C7D"/>
    <w:rsid w:val="0057341B"/>
    <w:rsid w:val="00574B9C"/>
    <w:rsid w:val="00574DE8"/>
    <w:rsid w:val="005766B2"/>
    <w:rsid w:val="00576705"/>
    <w:rsid w:val="00576C6A"/>
    <w:rsid w:val="00576E73"/>
    <w:rsid w:val="005773BE"/>
    <w:rsid w:val="00581068"/>
    <w:rsid w:val="005817C9"/>
    <w:rsid w:val="005833DF"/>
    <w:rsid w:val="00583714"/>
    <w:rsid w:val="00583D6D"/>
    <w:rsid w:val="00584285"/>
    <w:rsid w:val="005845CC"/>
    <w:rsid w:val="00587FE1"/>
    <w:rsid w:val="00590C84"/>
    <w:rsid w:val="00590E50"/>
    <w:rsid w:val="00591720"/>
    <w:rsid w:val="00591CD3"/>
    <w:rsid w:val="00592100"/>
    <w:rsid w:val="00592AB6"/>
    <w:rsid w:val="00592CF7"/>
    <w:rsid w:val="00592F3D"/>
    <w:rsid w:val="00593E68"/>
    <w:rsid w:val="005966FA"/>
    <w:rsid w:val="005A0170"/>
    <w:rsid w:val="005A019F"/>
    <w:rsid w:val="005A022F"/>
    <w:rsid w:val="005A0C00"/>
    <w:rsid w:val="005A0C10"/>
    <w:rsid w:val="005A2409"/>
    <w:rsid w:val="005A2D53"/>
    <w:rsid w:val="005A31BA"/>
    <w:rsid w:val="005A3B5C"/>
    <w:rsid w:val="005A43EA"/>
    <w:rsid w:val="005A48C4"/>
    <w:rsid w:val="005A7D9D"/>
    <w:rsid w:val="005B152E"/>
    <w:rsid w:val="005B35BC"/>
    <w:rsid w:val="005B3FFE"/>
    <w:rsid w:val="005B63AD"/>
    <w:rsid w:val="005B74C7"/>
    <w:rsid w:val="005C199A"/>
    <w:rsid w:val="005C1B05"/>
    <w:rsid w:val="005C2185"/>
    <w:rsid w:val="005C39BE"/>
    <w:rsid w:val="005C7506"/>
    <w:rsid w:val="005D0868"/>
    <w:rsid w:val="005D14B9"/>
    <w:rsid w:val="005D1E74"/>
    <w:rsid w:val="005D2846"/>
    <w:rsid w:val="005D2AD0"/>
    <w:rsid w:val="005D362C"/>
    <w:rsid w:val="005D4467"/>
    <w:rsid w:val="005D56D1"/>
    <w:rsid w:val="005D64D9"/>
    <w:rsid w:val="005D704E"/>
    <w:rsid w:val="005D7660"/>
    <w:rsid w:val="005D76D1"/>
    <w:rsid w:val="005D7E1A"/>
    <w:rsid w:val="005E0924"/>
    <w:rsid w:val="005E356A"/>
    <w:rsid w:val="005E38C5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1ED5"/>
    <w:rsid w:val="00604025"/>
    <w:rsid w:val="006048A3"/>
    <w:rsid w:val="00604B57"/>
    <w:rsid w:val="00604DC9"/>
    <w:rsid w:val="00605904"/>
    <w:rsid w:val="00606364"/>
    <w:rsid w:val="0060693E"/>
    <w:rsid w:val="00606F8A"/>
    <w:rsid w:val="00607524"/>
    <w:rsid w:val="006079C1"/>
    <w:rsid w:val="00607FB4"/>
    <w:rsid w:val="00610442"/>
    <w:rsid w:val="0061129F"/>
    <w:rsid w:val="0061417E"/>
    <w:rsid w:val="0061497C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102"/>
    <w:rsid w:val="00653E41"/>
    <w:rsid w:val="0065425C"/>
    <w:rsid w:val="00654D94"/>
    <w:rsid w:val="0065528C"/>
    <w:rsid w:val="006576F2"/>
    <w:rsid w:val="00660B5D"/>
    <w:rsid w:val="00660F08"/>
    <w:rsid w:val="006617D9"/>
    <w:rsid w:val="00662039"/>
    <w:rsid w:val="00662082"/>
    <w:rsid w:val="0066249C"/>
    <w:rsid w:val="00662517"/>
    <w:rsid w:val="00664708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7F6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A74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C7793"/>
    <w:rsid w:val="006D1FED"/>
    <w:rsid w:val="006D2F06"/>
    <w:rsid w:val="006D42EB"/>
    <w:rsid w:val="006D49FD"/>
    <w:rsid w:val="006D581F"/>
    <w:rsid w:val="006D62F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6F7D45"/>
    <w:rsid w:val="00700843"/>
    <w:rsid w:val="00700D4A"/>
    <w:rsid w:val="007041FB"/>
    <w:rsid w:val="0070562F"/>
    <w:rsid w:val="00705674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08"/>
    <w:rsid w:val="00716769"/>
    <w:rsid w:val="00716DE9"/>
    <w:rsid w:val="00720165"/>
    <w:rsid w:val="0072033B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294F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4CB1"/>
    <w:rsid w:val="007454A0"/>
    <w:rsid w:val="00745F6E"/>
    <w:rsid w:val="0074631E"/>
    <w:rsid w:val="007471DA"/>
    <w:rsid w:val="00747D92"/>
    <w:rsid w:val="00750E2D"/>
    <w:rsid w:val="00751147"/>
    <w:rsid w:val="00753C66"/>
    <w:rsid w:val="00753F74"/>
    <w:rsid w:val="00755BEF"/>
    <w:rsid w:val="00756C4F"/>
    <w:rsid w:val="00756D30"/>
    <w:rsid w:val="00756F2D"/>
    <w:rsid w:val="00757DFE"/>
    <w:rsid w:val="007602AC"/>
    <w:rsid w:val="00761485"/>
    <w:rsid w:val="007643FA"/>
    <w:rsid w:val="00765318"/>
    <w:rsid w:val="00765A44"/>
    <w:rsid w:val="00766442"/>
    <w:rsid w:val="0077035F"/>
    <w:rsid w:val="00770A19"/>
    <w:rsid w:val="0077348E"/>
    <w:rsid w:val="0077507C"/>
    <w:rsid w:val="0077508A"/>
    <w:rsid w:val="00777A4B"/>
    <w:rsid w:val="00777BC2"/>
    <w:rsid w:val="007802C0"/>
    <w:rsid w:val="00781C4E"/>
    <w:rsid w:val="00781EC2"/>
    <w:rsid w:val="00782613"/>
    <w:rsid w:val="00782750"/>
    <w:rsid w:val="00782791"/>
    <w:rsid w:val="00783D74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2ACE"/>
    <w:rsid w:val="007A459D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0D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2C7A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4BAC"/>
    <w:rsid w:val="00825C72"/>
    <w:rsid w:val="00826531"/>
    <w:rsid w:val="008322DA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79E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49C"/>
    <w:rsid w:val="00873332"/>
    <w:rsid w:val="00873A8D"/>
    <w:rsid w:val="0087444A"/>
    <w:rsid w:val="00874A12"/>
    <w:rsid w:val="00875651"/>
    <w:rsid w:val="0087580E"/>
    <w:rsid w:val="0087756E"/>
    <w:rsid w:val="00880259"/>
    <w:rsid w:val="00880C76"/>
    <w:rsid w:val="00882096"/>
    <w:rsid w:val="00884060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5171"/>
    <w:rsid w:val="008966B6"/>
    <w:rsid w:val="008A0472"/>
    <w:rsid w:val="008A2A34"/>
    <w:rsid w:val="008A3B94"/>
    <w:rsid w:val="008A50B5"/>
    <w:rsid w:val="008A639F"/>
    <w:rsid w:val="008B035B"/>
    <w:rsid w:val="008B0863"/>
    <w:rsid w:val="008B1985"/>
    <w:rsid w:val="008B1B79"/>
    <w:rsid w:val="008B28E1"/>
    <w:rsid w:val="008B37E9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488C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0436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5681"/>
    <w:rsid w:val="0091640C"/>
    <w:rsid w:val="009169BC"/>
    <w:rsid w:val="009177D9"/>
    <w:rsid w:val="0091788C"/>
    <w:rsid w:val="00917E40"/>
    <w:rsid w:val="009200F3"/>
    <w:rsid w:val="009206AE"/>
    <w:rsid w:val="0092141E"/>
    <w:rsid w:val="00921DA7"/>
    <w:rsid w:val="00922ED6"/>
    <w:rsid w:val="009243C2"/>
    <w:rsid w:val="00924C9A"/>
    <w:rsid w:val="009252C7"/>
    <w:rsid w:val="0092565D"/>
    <w:rsid w:val="009278A0"/>
    <w:rsid w:val="009306E6"/>
    <w:rsid w:val="00932F6E"/>
    <w:rsid w:val="009345DF"/>
    <w:rsid w:val="00934C84"/>
    <w:rsid w:val="00937FDE"/>
    <w:rsid w:val="009407D4"/>
    <w:rsid w:val="00941BD6"/>
    <w:rsid w:val="00942603"/>
    <w:rsid w:val="00943314"/>
    <w:rsid w:val="009447B1"/>
    <w:rsid w:val="00946BE9"/>
    <w:rsid w:val="00946C1F"/>
    <w:rsid w:val="0095156B"/>
    <w:rsid w:val="0095287D"/>
    <w:rsid w:val="009537C6"/>
    <w:rsid w:val="009576D7"/>
    <w:rsid w:val="0096174F"/>
    <w:rsid w:val="00961A68"/>
    <w:rsid w:val="00961E28"/>
    <w:rsid w:val="009621E5"/>
    <w:rsid w:val="00963671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046"/>
    <w:rsid w:val="009909FE"/>
    <w:rsid w:val="00990DD8"/>
    <w:rsid w:val="0099115E"/>
    <w:rsid w:val="0099186C"/>
    <w:rsid w:val="00991BAD"/>
    <w:rsid w:val="009929B5"/>
    <w:rsid w:val="0099520E"/>
    <w:rsid w:val="009A17BE"/>
    <w:rsid w:val="009A1EE1"/>
    <w:rsid w:val="009A2B84"/>
    <w:rsid w:val="009A2ED5"/>
    <w:rsid w:val="009A314F"/>
    <w:rsid w:val="009A4142"/>
    <w:rsid w:val="009A437A"/>
    <w:rsid w:val="009A4DF7"/>
    <w:rsid w:val="009A6320"/>
    <w:rsid w:val="009A6639"/>
    <w:rsid w:val="009B10F1"/>
    <w:rsid w:val="009B2425"/>
    <w:rsid w:val="009B33A1"/>
    <w:rsid w:val="009B6C49"/>
    <w:rsid w:val="009B7814"/>
    <w:rsid w:val="009B7856"/>
    <w:rsid w:val="009C19DF"/>
    <w:rsid w:val="009C1B72"/>
    <w:rsid w:val="009C1CA8"/>
    <w:rsid w:val="009C1FB7"/>
    <w:rsid w:val="009C5727"/>
    <w:rsid w:val="009C6598"/>
    <w:rsid w:val="009C6599"/>
    <w:rsid w:val="009C6AD4"/>
    <w:rsid w:val="009C73EB"/>
    <w:rsid w:val="009C7528"/>
    <w:rsid w:val="009C7545"/>
    <w:rsid w:val="009D2794"/>
    <w:rsid w:val="009D57E9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003C"/>
    <w:rsid w:val="00A11564"/>
    <w:rsid w:val="00A11660"/>
    <w:rsid w:val="00A11E3F"/>
    <w:rsid w:val="00A14F2B"/>
    <w:rsid w:val="00A15A8A"/>
    <w:rsid w:val="00A16C2F"/>
    <w:rsid w:val="00A2050B"/>
    <w:rsid w:val="00A2160E"/>
    <w:rsid w:val="00A23FFF"/>
    <w:rsid w:val="00A255B9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1BA"/>
    <w:rsid w:val="00A43219"/>
    <w:rsid w:val="00A43FBA"/>
    <w:rsid w:val="00A44B1E"/>
    <w:rsid w:val="00A476A9"/>
    <w:rsid w:val="00A477CF"/>
    <w:rsid w:val="00A4797B"/>
    <w:rsid w:val="00A47B05"/>
    <w:rsid w:val="00A514BB"/>
    <w:rsid w:val="00A5237F"/>
    <w:rsid w:val="00A525AC"/>
    <w:rsid w:val="00A53645"/>
    <w:rsid w:val="00A538AE"/>
    <w:rsid w:val="00A54162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26F7"/>
    <w:rsid w:val="00A8570C"/>
    <w:rsid w:val="00A861E6"/>
    <w:rsid w:val="00A863D1"/>
    <w:rsid w:val="00A86ACF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5EC8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306E"/>
    <w:rsid w:val="00AB4050"/>
    <w:rsid w:val="00AB5A57"/>
    <w:rsid w:val="00AB5F85"/>
    <w:rsid w:val="00AC0927"/>
    <w:rsid w:val="00AC0B3A"/>
    <w:rsid w:val="00AC0FEE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7086"/>
    <w:rsid w:val="00AD77F4"/>
    <w:rsid w:val="00AE0032"/>
    <w:rsid w:val="00AE0B10"/>
    <w:rsid w:val="00AE0B3C"/>
    <w:rsid w:val="00AE0F4B"/>
    <w:rsid w:val="00AE2686"/>
    <w:rsid w:val="00AE35E7"/>
    <w:rsid w:val="00AE3A73"/>
    <w:rsid w:val="00AE422F"/>
    <w:rsid w:val="00AE590B"/>
    <w:rsid w:val="00AE5DB9"/>
    <w:rsid w:val="00AF09FD"/>
    <w:rsid w:val="00AF0E16"/>
    <w:rsid w:val="00AF1017"/>
    <w:rsid w:val="00AF1DF3"/>
    <w:rsid w:val="00AF2C76"/>
    <w:rsid w:val="00AF2E48"/>
    <w:rsid w:val="00AF35D6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C6B"/>
    <w:rsid w:val="00B17FBF"/>
    <w:rsid w:val="00B21C52"/>
    <w:rsid w:val="00B21CB0"/>
    <w:rsid w:val="00B21EB0"/>
    <w:rsid w:val="00B226B8"/>
    <w:rsid w:val="00B22DB7"/>
    <w:rsid w:val="00B2346F"/>
    <w:rsid w:val="00B23470"/>
    <w:rsid w:val="00B23A03"/>
    <w:rsid w:val="00B24132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6B99"/>
    <w:rsid w:val="00B4709D"/>
    <w:rsid w:val="00B470D1"/>
    <w:rsid w:val="00B47289"/>
    <w:rsid w:val="00B50258"/>
    <w:rsid w:val="00B50C6B"/>
    <w:rsid w:val="00B517B5"/>
    <w:rsid w:val="00B52E11"/>
    <w:rsid w:val="00B53E53"/>
    <w:rsid w:val="00B54477"/>
    <w:rsid w:val="00B54AC2"/>
    <w:rsid w:val="00B550C2"/>
    <w:rsid w:val="00B5592E"/>
    <w:rsid w:val="00B55997"/>
    <w:rsid w:val="00B56091"/>
    <w:rsid w:val="00B56366"/>
    <w:rsid w:val="00B579C9"/>
    <w:rsid w:val="00B6008F"/>
    <w:rsid w:val="00B62254"/>
    <w:rsid w:val="00B62B91"/>
    <w:rsid w:val="00B62BF2"/>
    <w:rsid w:val="00B63D22"/>
    <w:rsid w:val="00B65983"/>
    <w:rsid w:val="00B662AC"/>
    <w:rsid w:val="00B71288"/>
    <w:rsid w:val="00B73BA0"/>
    <w:rsid w:val="00B77854"/>
    <w:rsid w:val="00B77FD1"/>
    <w:rsid w:val="00B851E8"/>
    <w:rsid w:val="00B9206E"/>
    <w:rsid w:val="00B9380F"/>
    <w:rsid w:val="00B946FE"/>
    <w:rsid w:val="00B9514C"/>
    <w:rsid w:val="00B978F3"/>
    <w:rsid w:val="00BA076B"/>
    <w:rsid w:val="00BA6101"/>
    <w:rsid w:val="00BA6867"/>
    <w:rsid w:val="00BB007F"/>
    <w:rsid w:val="00BB0311"/>
    <w:rsid w:val="00BB10C9"/>
    <w:rsid w:val="00BB169A"/>
    <w:rsid w:val="00BB3FCE"/>
    <w:rsid w:val="00BB4B4E"/>
    <w:rsid w:val="00BB4F50"/>
    <w:rsid w:val="00BB547B"/>
    <w:rsid w:val="00BB547E"/>
    <w:rsid w:val="00BC1594"/>
    <w:rsid w:val="00BC258D"/>
    <w:rsid w:val="00BC36E4"/>
    <w:rsid w:val="00BC3FCE"/>
    <w:rsid w:val="00BC5B99"/>
    <w:rsid w:val="00BC643E"/>
    <w:rsid w:val="00BC6E6A"/>
    <w:rsid w:val="00BD0F3E"/>
    <w:rsid w:val="00BD1473"/>
    <w:rsid w:val="00BD167D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03B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BB5"/>
    <w:rsid w:val="00C277A4"/>
    <w:rsid w:val="00C27F6D"/>
    <w:rsid w:val="00C306E5"/>
    <w:rsid w:val="00C342BE"/>
    <w:rsid w:val="00C34A67"/>
    <w:rsid w:val="00C3652A"/>
    <w:rsid w:val="00C402CE"/>
    <w:rsid w:val="00C422AF"/>
    <w:rsid w:val="00C42B33"/>
    <w:rsid w:val="00C44117"/>
    <w:rsid w:val="00C44375"/>
    <w:rsid w:val="00C44FF2"/>
    <w:rsid w:val="00C45810"/>
    <w:rsid w:val="00C45B5B"/>
    <w:rsid w:val="00C463BB"/>
    <w:rsid w:val="00C46DF0"/>
    <w:rsid w:val="00C4791F"/>
    <w:rsid w:val="00C47FA4"/>
    <w:rsid w:val="00C50099"/>
    <w:rsid w:val="00C53069"/>
    <w:rsid w:val="00C544DB"/>
    <w:rsid w:val="00C54FB7"/>
    <w:rsid w:val="00C5577C"/>
    <w:rsid w:val="00C557B1"/>
    <w:rsid w:val="00C56DC7"/>
    <w:rsid w:val="00C6002C"/>
    <w:rsid w:val="00C64883"/>
    <w:rsid w:val="00C657DF"/>
    <w:rsid w:val="00C65929"/>
    <w:rsid w:val="00C6662C"/>
    <w:rsid w:val="00C66D56"/>
    <w:rsid w:val="00C732BC"/>
    <w:rsid w:val="00C73ECA"/>
    <w:rsid w:val="00C74E13"/>
    <w:rsid w:val="00C7501B"/>
    <w:rsid w:val="00C763FA"/>
    <w:rsid w:val="00C766DB"/>
    <w:rsid w:val="00C805F7"/>
    <w:rsid w:val="00C80FB0"/>
    <w:rsid w:val="00C8101F"/>
    <w:rsid w:val="00C81320"/>
    <w:rsid w:val="00C815FF"/>
    <w:rsid w:val="00C8332B"/>
    <w:rsid w:val="00C84D00"/>
    <w:rsid w:val="00C85850"/>
    <w:rsid w:val="00C86397"/>
    <w:rsid w:val="00C864F6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3ECB"/>
    <w:rsid w:val="00CC453A"/>
    <w:rsid w:val="00CC56DB"/>
    <w:rsid w:val="00CC605B"/>
    <w:rsid w:val="00CC6A75"/>
    <w:rsid w:val="00CC72A4"/>
    <w:rsid w:val="00CD19D2"/>
    <w:rsid w:val="00CD3668"/>
    <w:rsid w:val="00CD3E27"/>
    <w:rsid w:val="00CD3FCA"/>
    <w:rsid w:val="00CD4541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E7C5D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14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0E15"/>
    <w:rsid w:val="00D2162E"/>
    <w:rsid w:val="00D22708"/>
    <w:rsid w:val="00D232FE"/>
    <w:rsid w:val="00D26C27"/>
    <w:rsid w:val="00D26DE9"/>
    <w:rsid w:val="00D31CFA"/>
    <w:rsid w:val="00D3265C"/>
    <w:rsid w:val="00D32785"/>
    <w:rsid w:val="00D3292B"/>
    <w:rsid w:val="00D37B94"/>
    <w:rsid w:val="00D401ED"/>
    <w:rsid w:val="00D408C2"/>
    <w:rsid w:val="00D41FCD"/>
    <w:rsid w:val="00D42BB9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2CA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16C9"/>
    <w:rsid w:val="00D8240E"/>
    <w:rsid w:val="00D82AB3"/>
    <w:rsid w:val="00D83BFE"/>
    <w:rsid w:val="00D84CA5"/>
    <w:rsid w:val="00D8518B"/>
    <w:rsid w:val="00D855D9"/>
    <w:rsid w:val="00D866DC"/>
    <w:rsid w:val="00D87B07"/>
    <w:rsid w:val="00D87DDA"/>
    <w:rsid w:val="00D90BA6"/>
    <w:rsid w:val="00D910EE"/>
    <w:rsid w:val="00D91BE3"/>
    <w:rsid w:val="00D94D6B"/>
    <w:rsid w:val="00D95121"/>
    <w:rsid w:val="00D97721"/>
    <w:rsid w:val="00D97B0F"/>
    <w:rsid w:val="00DA47EA"/>
    <w:rsid w:val="00DA6547"/>
    <w:rsid w:val="00DA70EB"/>
    <w:rsid w:val="00DB03E6"/>
    <w:rsid w:val="00DB0667"/>
    <w:rsid w:val="00DB0E03"/>
    <w:rsid w:val="00DB2AD0"/>
    <w:rsid w:val="00DB38F2"/>
    <w:rsid w:val="00DB4E37"/>
    <w:rsid w:val="00DB4E9C"/>
    <w:rsid w:val="00DB6809"/>
    <w:rsid w:val="00DB7AE1"/>
    <w:rsid w:val="00DC026B"/>
    <w:rsid w:val="00DC0ABF"/>
    <w:rsid w:val="00DC243C"/>
    <w:rsid w:val="00DC3611"/>
    <w:rsid w:val="00DC47C0"/>
    <w:rsid w:val="00DC4AA9"/>
    <w:rsid w:val="00DC4EB2"/>
    <w:rsid w:val="00DC51B0"/>
    <w:rsid w:val="00DC6E2C"/>
    <w:rsid w:val="00DC75BD"/>
    <w:rsid w:val="00DD063E"/>
    <w:rsid w:val="00DD0EE6"/>
    <w:rsid w:val="00DD189C"/>
    <w:rsid w:val="00DD308B"/>
    <w:rsid w:val="00DD3BB8"/>
    <w:rsid w:val="00DD54C4"/>
    <w:rsid w:val="00DD5E92"/>
    <w:rsid w:val="00DD6050"/>
    <w:rsid w:val="00DD617D"/>
    <w:rsid w:val="00DE007C"/>
    <w:rsid w:val="00DE04A7"/>
    <w:rsid w:val="00DE3026"/>
    <w:rsid w:val="00DE4FA8"/>
    <w:rsid w:val="00DE603C"/>
    <w:rsid w:val="00DE70EB"/>
    <w:rsid w:val="00DF1411"/>
    <w:rsid w:val="00DF14A9"/>
    <w:rsid w:val="00DF194E"/>
    <w:rsid w:val="00DF3D34"/>
    <w:rsid w:val="00DF6CD0"/>
    <w:rsid w:val="00E00E74"/>
    <w:rsid w:val="00E01B49"/>
    <w:rsid w:val="00E0282C"/>
    <w:rsid w:val="00E03C4C"/>
    <w:rsid w:val="00E05EDA"/>
    <w:rsid w:val="00E065B5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4B7E"/>
    <w:rsid w:val="00E15AFC"/>
    <w:rsid w:val="00E16B04"/>
    <w:rsid w:val="00E17919"/>
    <w:rsid w:val="00E200C4"/>
    <w:rsid w:val="00E20116"/>
    <w:rsid w:val="00E21A8C"/>
    <w:rsid w:val="00E23C9B"/>
    <w:rsid w:val="00E247D9"/>
    <w:rsid w:val="00E267D1"/>
    <w:rsid w:val="00E268A6"/>
    <w:rsid w:val="00E27AB8"/>
    <w:rsid w:val="00E304C8"/>
    <w:rsid w:val="00E30634"/>
    <w:rsid w:val="00E31E28"/>
    <w:rsid w:val="00E32E02"/>
    <w:rsid w:val="00E34040"/>
    <w:rsid w:val="00E3479A"/>
    <w:rsid w:val="00E37482"/>
    <w:rsid w:val="00E40FC8"/>
    <w:rsid w:val="00E40FF4"/>
    <w:rsid w:val="00E41C2B"/>
    <w:rsid w:val="00E42142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049B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0BFE"/>
    <w:rsid w:val="00E8135D"/>
    <w:rsid w:val="00E825FF"/>
    <w:rsid w:val="00E82AF3"/>
    <w:rsid w:val="00E82DC9"/>
    <w:rsid w:val="00E82FB2"/>
    <w:rsid w:val="00E855EA"/>
    <w:rsid w:val="00E863D7"/>
    <w:rsid w:val="00E901A5"/>
    <w:rsid w:val="00E90AEB"/>
    <w:rsid w:val="00E90C64"/>
    <w:rsid w:val="00E9204E"/>
    <w:rsid w:val="00E921D5"/>
    <w:rsid w:val="00E95DA2"/>
    <w:rsid w:val="00E9627E"/>
    <w:rsid w:val="00E96620"/>
    <w:rsid w:val="00E976B7"/>
    <w:rsid w:val="00EA020C"/>
    <w:rsid w:val="00EA0D0A"/>
    <w:rsid w:val="00EA1585"/>
    <w:rsid w:val="00EA15B2"/>
    <w:rsid w:val="00EA19DA"/>
    <w:rsid w:val="00EA2AF6"/>
    <w:rsid w:val="00EA3F5E"/>
    <w:rsid w:val="00EA4D00"/>
    <w:rsid w:val="00EA57AF"/>
    <w:rsid w:val="00EA5F72"/>
    <w:rsid w:val="00EA6927"/>
    <w:rsid w:val="00EA6E7A"/>
    <w:rsid w:val="00EA745B"/>
    <w:rsid w:val="00EB4730"/>
    <w:rsid w:val="00EB4788"/>
    <w:rsid w:val="00EB47BA"/>
    <w:rsid w:val="00EB5EA2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4AF4"/>
    <w:rsid w:val="00EC5074"/>
    <w:rsid w:val="00EC5136"/>
    <w:rsid w:val="00EC51DB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4888"/>
    <w:rsid w:val="00EE5F89"/>
    <w:rsid w:val="00EE678C"/>
    <w:rsid w:val="00EE67F6"/>
    <w:rsid w:val="00EE7721"/>
    <w:rsid w:val="00EF050C"/>
    <w:rsid w:val="00EF15FF"/>
    <w:rsid w:val="00EF20A2"/>
    <w:rsid w:val="00EF24D3"/>
    <w:rsid w:val="00EF2780"/>
    <w:rsid w:val="00EF3407"/>
    <w:rsid w:val="00EF6592"/>
    <w:rsid w:val="00F002C1"/>
    <w:rsid w:val="00F0055D"/>
    <w:rsid w:val="00F00655"/>
    <w:rsid w:val="00F0114E"/>
    <w:rsid w:val="00F0145F"/>
    <w:rsid w:val="00F017ED"/>
    <w:rsid w:val="00F025AA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43C4"/>
    <w:rsid w:val="00F162CC"/>
    <w:rsid w:val="00F16874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37EDE"/>
    <w:rsid w:val="00F40A75"/>
    <w:rsid w:val="00F410E7"/>
    <w:rsid w:val="00F41412"/>
    <w:rsid w:val="00F41FED"/>
    <w:rsid w:val="00F4532E"/>
    <w:rsid w:val="00F465EF"/>
    <w:rsid w:val="00F46B41"/>
    <w:rsid w:val="00F475D1"/>
    <w:rsid w:val="00F5060A"/>
    <w:rsid w:val="00F50951"/>
    <w:rsid w:val="00F51457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6B8F"/>
    <w:rsid w:val="00F67EEC"/>
    <w:rsid w:val="00F72999"/>
    <w:rsid w:val="00F72D1D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4051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176F"/>
    <w:rsid w:val="00FA76B5"/>
    <w:rsid w:val="00FB16E5"/>
    <w:rsid w:val="00FB1B0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7F5"/>
    <w:rsid w:val="00FD6EAF"/>
    <w:rsid w:val="00FD7AAD"/>
    <w:rsid w:val="00FD7F22"/>
    <w:rsid w:val="00FE25F8"/>
    <w:rsid w:val="00FE555C"/>
    <w:rsid w:val="00FE7144"/>
    <w:rsid w:val="00FF19E4"/>
    <w:rsid w:val="00FF2A32"/>
    <w:rsid w:val="00FF30A9"/>
    <w:rsid w:val="00FF340C"/>
    <w:rsid w:val="00FF3AA2"/>
    <w:rsid w:val="00FF4EC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417CE2"/>
  <w15:docId w15:val="{3CCAF8BF-6262-446D-ABC4-6B59923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link w:val="ListParagraphChar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character" w:styleId="PlaceholderText">
    <w:name w:val="Placeholder Text"/>
    <w:uiPriority w:val="99"/>
    <w:semiHidden/>
    <w:rsid w:val="00601ED5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D22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sionaustralia.com.au/what-we-do/children-youth-families-and-communities/keeping-children-and-young-people-sa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7EDF4AB5694EA4BC1D0A8069EA3E" ma:contentTypeVersion="14" ma:contentTypeDescription="Create a new document." ma:contentTypeScope="" ma:versionID="43c19e94244a11080c366cd623a2b01c">
  <xsd:schema xmlns:xsd="http://www.w3.org/2001/XMLSchema" xmlns:xs="http://www.w3.org/2001/XMLSchema" xmlns:p="http://schemas.microsoft.com/office/2006/metadata/properties" xmlns:ns3="5f8acf5b-4c22-47f5-8be5-7588aa8382db" xmlns:ns4="93605d9f-3cff-48c1-8ad7-add5ab729082" targetNamespace="http://schemas.microsoft.com/office/2006/metadata/properties" ma:root="true" ma:fieldsID="0cc19640e5a22636887dd24a7f743595" ns3:_="" ns4:_="">
    <xsd:import namespace="5f8acf5b-4c22-47f5-8be5-7588aa8382db"/>
    <xsd:import namespace="93605d9f-3cff-48c1-8ad7-add5ab729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acf5b-4c22-47f5-8be5-7588aa838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05d9f-3cff-48c1-8ad7-add5ab72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3650-76EC-4DB3-A964-7D12D325A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E6CC0-D35A-4D5A-88F2-ED5AD225A79A}">
  <ds:schemaRefs>
    <ds:schemaRef ds:uri="http://purl.org/dc/dcmitype/"/>
    <ds:schemaRef ds:uri="http://purl.org/dc/elements/1.1/"/>
    <ds:schemaRef ds:uri="http://schemas.openxmlformats.org/package/2006/metadata/core-properties"/>
    <ds:schemaRef ds:uri="93605d9f-3cff-48c1-8ad7-add5ab729082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f8acf5b-4c22-47f5-8be5-7588aa8382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88E608-CC71-4891-88C9-B8F6068C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acf5b-4c22-47f5-8be5-7588aa8382db"/>
    <ds:schemaRef ds:uri="93605d9f-3cff-48c1-8ad7-add5ab72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D99D8-9565-44D4-A3E6-1459BBB3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11209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people leader position description</vt:lpstr>
    </vt:vector>
  </TitlesOfParts>
  <Company>Mission Australia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people leader position description</dc:title>
  <dc:subject/>
  <dc:creator>Michael O'Brien</dc:creator>
  <cp:keywords/>
  <cp:lastModifiedBy>Kath Power</cp:lastModifiedBy>
  <cp:revision>2</cp:revision>
  <cp:lastPrinted>2014-03-03T01:31:00Z</cp:lastPrinted>
  <dcterms:created xsi:type="dcterms:W3CDTF">2021-05-13T23:49:00Z</dcterms:created>
  <dcterms:modified xsi:type="dcterms:W3CDTF">2021-05-13T23:49:00Z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0x01010069B27EDF4AB5694EA4BC1D0A8069EA3E</vt:lpwstr>
  </property>
</Properties>
</file>