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1292"/>
        <w:gridCol w:w="4204"/>
      </w:tblGrid>
      <w:tr w:rsidR="0001592E" w:rsidRPr="0001592E" w:rsidTr="00C726AD">
        <w:tc>
          <w:tcPr>
            <w:tcW w:w="4699" w:type="dxa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bookmarkStart w:id="0" w:name="_GoBack"/>
            <w:bookmarkEnd w:id="0"/>
            <w:r w:rsidRPr="0001592E">
              <w:rPr>
                <w:b/>
                <w:szCs w:val="20"/>
              </w:rPr>
              <w:t>REPORTS TO:</w:t>
            </w:r>
          </w:p>
        </w:tc>
        <w:tc>
          <w:tcPr>
            <w:tcW w:w="5496" w:type="dxa"/>
            <w:gridSpan w:val="2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DIRECT REPORTS</w:t>
            </w:r>
            <w:r w:rsidR="0059345D" w:rsidRPr="0001592E">
              <w:rPr>
                <w:b/>
                <w:szCs w:val="20"/>
              </w:rPr>
              <w:t xml:space="preserve"> AND TEAM SIZE</w:t>
            </w:r>
            <w:r w:rsidRPr="0001592E">
              <w:rPr>
                <w:b/>
                <w:szCs w:val="20"/>
              </w:rPr>
              <w:t>:</w:t>
            </w:r>
          </w:p>
        </w:tc>
      </w:tr>
      <w:tr w:rsidR="0001592E" w:rsidRPr="0001592E" w:rsidTr="008838A8">
        <w:trPr>
          <w:trHeight w:val="751"/>
        </w:trPr>
        <w:tc>
          <w:tcPr>
            <w:tcW w:w="4699" w:type="dxa"/>
          </w:tcPr>
          <w:p w:rsidR="00F3361C" w:rsidRPr="0001592E" w:rsidRDefault="00485191" w:rsidP="005A6B90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Manager</w:t>
            </w:r>
            <w:r w:rsidR="00020C16">
              <w:rPr>
                <w:szCs w:val="20"/>
              </w:rPr>
              <w:t>, Corporate Communications and Marketing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496" w:type="dxa"/>
            <w:gridSpan w:val="2"/>
          </w:tcPr>
          <w:p w:rsidR="00F3361C" w:rsidRPr="0001592E" w:rsidRDefault="00020C16" w:rsidP="00946F5F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  <w:tr w:rsidR="0001592E" w:rsidRPr="0001592E" w:rsidTr="00C726AD">
        <w:tc>
          <w:tcPr>
            <w:tcW w:w="10195" w:type="dxa"/>
            <w:gridSpan w:val="3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THIS ROLE EXISTS TO: (PURPOSE)</w:t>
            </w:r>
          </w:p>
        </w:tc>
      </w:tr>
      <w:tr w:rsidR="0001592E" w:rsidRPr="0001592E" w:rsidTr="008838A8">
        <w:trPr>
          <w:trHeight w:val="1131"/>
        </w:trPr>
        <w:tc>
          <w:tcPr>
            <w:tcW w:w="10195" w:type="dxa"/>
            <w:gridSpan w:val="3"/>
          </w:tcPr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The Corporate Communications and Marketing Team is a refreshed part of Melbourne Water’s Customer and Strategy Group. The role of the team is to manage key relationships which impact on Melbourne Water’s authorizing environment.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This role exists to develop and grow Melbourne Water’s sponsorship program. Key objectives of the role are: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Develop and deliver a targeted approach to partnerships which aligns with Melbourne Water’s</w:t>
            </w:r>
          </w:p>
          <w:p w:rsidR="00020C16" w:rsidRDefault="00020C16" w:rsidP="00020C16">
            <w:pPr>
              <w:pStyle w:val="ListBullet"/>
              <w:numPr>
                <w:ilvl w:val="0"/>
                <w:numId w:val="0"/>
              </w:numPr>
              <w:ind w:left="180"/>
              <w:rPr>
                <w:rFonts w:eastAsiaTheme="minorHAnsi"/>
              </w:rPr>
            </w:pPr>
            <w:r>
              <w:rPr>
                <w:rFonts w:eastAsiaTheme="minorHAnsi"/>
              </w:rPr>
              <w:t>strategic direction and key messages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Use proactive sponsorship opportunities to enhance and protect Melbourne Water’s brand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Build relationships with key partners which are aligned to Melbourne Water’s cor</w:t>
            </w:r>
            <w:r w:rsidR="00493397">
              <w:rPr>
                <w:rFonts w:eastAsiaTheme="minorHAnsi"/>
              </w:rPr>
              <w:t>porate priorities</w:t>
            </w:r>
          </w:p>
          <w:p w:rsidR="00493397" w:rsidRPr="00493397" w:rsidRDefault="00493397" w:rsidP="00493397">
            <w:pPr>
              <w:pStyle w:val="ListBullet"/>
            </w:pPr>
            <w:r w:rsidRPr="00493397">
              <w:t>Support the marketing team in amplification of key marketing themes th</w:t>
            </w:r>
            <w:r>
              <w:t>rough leverage of partnerships.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Melbourne Water’s partnerships program provides a key avenue through which to enhance and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protect Melbourne Water’s brand. The program is focused on community engagement through unique brand experiences, industry thought leadership and charitable programs.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We are seeking an experienced Corporate Partnerships Manager with creativity and initiative to drive and build on the current program in order to: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Support the business in identifying specialist fundraising opportunities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Proactively pursue strategic partnerships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Focus on higher profile partnership opportunities to build brand</w:t>
            </w:r>
          </w:p>
          <w:p w:rsidR="00020C16" w:rsidRDefault="00020C16" w:rsidP="00493397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Use the program to build important relationships with key industry stakeholders</w:t>
            </w:r>
          </w:p>
          <w:p w:rsidR="00F3361C" w:rsidRPr="0001592E" w:rsidRDefault="00020C16" w:rsidP="00493397">
            <w:pPr>
              <w:pStyle w:val="ListBullet"/>
            </w:pPr>
            <w:r>
              <w:rPr>
                <w:rFonts w:eastAsiaTheme="minorHAnsi"/>
              </w:rPr>
              <w:t xml:space="preserve"> Industry leverage opportunities to drive thought leadership and brand awareness</w:t>
            </w:r>
          </w:p>
        </w:tc>
      </w:tr>
      <w:tr w:rsidR="0001592E" w:rsidRPr="0001592E" w:rsidTr="00C726AD">
        <w:tc>
          <w:tcPr>
            <w:tcW w:w="10195" w:type="dxa"/>
            <w:gridSpan w:val="3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caps/>
                <w:szCs w:val="20"/>
              </w:rPr>
            </w:pPr>
            <w:r w:rsidRPr="0001592E">
              <w:rPr>
                <w:b/>
                <w:caps/>
                <w:szCs w:val="20"/>
              </w:rPr>
              <w:t>Key accountabilities:</w:t>
            </w:r>
          </w:p>
        </w:tc>
      </w:tr>
      <w:tr w:rsidR="0001592E" w:rsidRPr="0001592E" w:rsidTr="008838A8">
        <w:trPr>
          <w:trHeight w:val="2164"/>
        </w:trPr>
        <w:tc>
          <w:tcPr>
            <w:tcW w:w="10195" w:type="dxa"/>
            <w:gridSpan w:val="3"/>
          </w:tcPr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The Partnership Manager is accountable for:</w:t>
            </w:r>
          </w:p>
          <w:p w:rsidR="00020C16" w:rsidRPr="00020C16" w:rsidRDefault="00020C16" w:rsidP="00020C16">
            <w:pPr>
              <w:pStyle w:val="ListBullet"/>
              <w:tabs>
                <w:tab w:val="clear" w:pos="360"/>
              </w:tabs>
              <w:ind w:left="180" w:hanging="180"/>
              <w:rPr>
                <w:rFonts w:eastAsiaTheme="minorHAnsi"/>
              </w:rPr>
            </w:pPr>
            <w:r w:rsidRPr="00020C16">
              <w:rPr>
                <w:rFonts w:eastAsiaTheme="minorHAnsi"/>
              </w:rPr>
              <w:t>Developing and delivering a program of partnerships and events to promote Melbourne</w:t>
            </w:r>
          </w:p>
          <w:p w:rsidR="00020C16" w:rsidRPr="00020C16" w:rsidRDefault="00020C16" w:rsidP="00020C16">
            <w:pPr>
              <w:pStyle w:val="ListBullet"/>
              <w:tabs>
                <w:tab w:val="clear" w:pos="360"/>
              </w:tabs>
              <w:ind w:left="180" w:hanging="180"/>
              <w:rPr>
                <w:rFonts w:eastAsiaTheme="minorHAnsi"/>
              </w:rPr>
            </w:pPr>
            <w:r w:rsidRPr="00020C16">
              <w:rPr>
                <w:rFonts w:eastAsiaTheme="minorHAnsi"/>
              </w:rPr>
              <w:t>Water’s brand and reputation</w:t>
            </w:r>
          </w:p>
          <w:p w:rsidR="00020C16" w:rsidRPr="00020C16" w:rsidRDefault="00020C16" w:rsidP="00020C16">
            <w:pPr>
              <w:pStyle w:val="ListBullet"/>
              <w:tabs>
                <w:tab w:val="clear" w:pos="360"/>
              </w:tabs>
              <w:ind w:left="180" w:hanging="180"/>
              <w:rPr>
                <w:rFonts w:eastAsiaTheme="minorHAnsi"/>
              </w:rPr>
            </w:pPr>
            <w:r w:rsidRPr="00020C16">
              <w:rPr>
                <w:rFonts w:eastAsiaTheme="minorHAnsi"/>
              </w:rPr>
              <w:t>Identifying new partnerships</w:t>
            </w:r>
          </w:p>
          <w:p w:rsidR="0059345D" w:rsidRPr="00020C16" w:rsidRDefault="00020C16" w:rsidP="00020C16">
            <w:pPr>
              <w:pStyle w:val="ListBullet"/>
              <w:tabs>
                <w:tab w:val="clear" w:pos="360"/>
              </w:tabs>
              <w:ind w:left="180" w:hanging="180"/>
              <w:rPr>
                <w:rFonts w:eastAsiaTheme="minorHAnsi" w:cs="Verdana"/>
                <w:szCs w:val="20"/>
              </w:rPr>
            </w:pPr>
            <w:r w:rsidRPr="00020C16">
              <w:rPr>
                <w:rFonts w:eastAsiaTheme="minorHAnsi"/>
              </w:rPr>
              <w:t>Maintaining existing partnerships and where possible, finding opportunities to enhance them</w:t>
            </w:r>
          </w:p>
        </w:tc>
      </w:tr>
      <w:tr w:rsidR="0001592E" w:rsidRPr="0001592E" w:rsidTr="00C726AD">
        <w:tc>
          <w:tcPr>
            <w:tcW w:w="5991" w:type="dxa"/>
            <w:gridSpan w:val="2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RESPONSIBILITIES</w:t>
            </w:r>
          </w:p>
        </w:tc>
        <w:tc>
          <w:tcPr>
            <w:tcW w:w="4204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KPIs</w:t>
            </w:r>
          </w:p>
        </w:tc>
      </w:tr>
      <w:tr w:rsidR="0001592E" w:rsidRPr="0001592E" w:rsidTr="003751D1">
        <w:trPr>
          <w:trHeight w:val="1647"/>
        </w:trPr>
        <w:tc>
          <w:tcPr>
            <w:tcW w:w="5991" w:type="dxa"/>
            <w:gridSpan w:val="2"/>
          </w:tcPr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Develop and deliver a targeted partnership framework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to align with Melbourne Water’s strategic direction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ascii="Wingdings" w:eastAsiaTheme="minorHAnsi" w:hAnsi="Wingdings" w:cs="Wingdings"/>
                <w:szCs w:val="20"/>
                <w:lang w:val="en-AU"/>
              </w:rPr>
              <w:t></w:t>
            </w:r>
            <w:r>
              <w:rPr>
                <w:rFonts w:ascii="Wingdings" w:eastAsiaTheme="minorHAnsi" w:hAnsi="Wingdings" w:cs="Wingdings"/>
                <w:szCs w:val="20"/>
                <w:lang w:val="en-AU"/>
              </w:rPr>
              <w:t></w:t>
            </w:r>
            <w:r>
              <w:rPr>
                <w:rFonts w:eastAsiaTheme="minorHAnsi" w:cs="Verdana"/>
                <w:szCs w:val="20"/>
                <w:lang w:val="en-AU"/>
              </w:rPr>
              <w:t>Identify opportunities to establish new partners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ascii="Wingdings" w:eastAsiaTheme="minorHAnsi" w:hAnsi="Wingdings" w:cs="Wingdings"/>
                <w:szCs w:val="20"/>
                <w:lang w:val="en-AU"/>
              </w:rPr>
              <w:t></w:t>
            </w:r>
            <w:r>
              <w:rPr>
                <w:rFonts w:ascii="Wingdings" w:eastAsiaTheme="minorHAnsi" w:hAnsi="Wingdings" w:cs="Wingdings"/>
                <w:szCs w:val="20"/>
                <w:lang w:val="en-AU"/>
              </w:rPr>
              <w:t></w:t>
            </w:r>
            <w:r>
              <w:rPr>
                <w:rFonts w:eastAsiaTheme="minorHAnsi" w:cs="Verdana"/>
                <w:szCs w:val="20"/>
                <w:lang w:val="en-AU"/>
              </w:rPr>
              <w:t>Develop programs which: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ascii="Courier New" w:eastAsiaTheme="minorHAnsi" w:hAnsi="Courier New" w:cs="Courier New"/>
                <w:szCs w:val="20"/>
                <w:lang w:val="en-AU"/>
              </w:rPr>
              <w:t xml:space="preserve">o </w:t>
            </w:r>
            <w:r>
              <w:rPr>
                <w:rFonts w:eastAsiaTheme="minorHAnsi" w:cs="Verdana"/>
                <w:szCs w:val="20"/>
                <w:lang w:val="en-AU"/>
              </w:rPr>
              <w:t>Provide opportunities for Melbourne Water to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build relationships with key partners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ascii="Courier New" w:eastAsiaTheme="minorHAnsi" w:hAnsi="Courier New" w:cs="Courier New"/>
                <w:szCs w:val="20"/>
                <w:lang w:val="en-AU"/>
              </w:rPr>
              <w:t xml:space="preserve">o </w:t>
            </w:r>
            <w:r>
              <w:rPr>
                <w:rFonts w:eastAsiaTheme="minorHAnsi" w:cs="Verdana"/>
                <w:szCs w:val="20"/>
                <w:lang w:val="en-AU"/>
              </w:rPr>
              <w:t>Positively influence the opinions and actions of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lastRenderedPageBreak/>
              <w:t>key public stakeholder groups trough these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partnerships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ascii="Wingdings" w:eastAsiaTheme="minorHAnsi" w:hAnsi="Wingdings" w:cs="Wingdings"/>
                <w:szCs w:val="20"/>
                <w:lang w:val="en-AU"/>
              </w:rPr>
              <w:t></w:t>
            </w:r>
            <w:r>
              <w:rPr>
                <w:rFonts w:ascii="Wingdings" w:eastAsiaTheme="minorHAnsi" w:hAnsi="Wingdings" w:cs="Wingdings"/>
                <w:szCs w:val="20"/>
                <w:lang w:val="en-AU"/>
              </w:rPr>
              <w:t></w:t>
            </w:r>
            <w:r>
              <w:rPr>
                <w:rFonts w:eastAsiaTheme="minorHAnsi" w:cs="Verdana"/>
                <w:szCs w:val="20"/>
                <w:lang w:val="en-AU"/>
              </w:rPr>
              <w:t>Negotiate and manage funding agreements and</w:t>
            </w:r>
          </w:p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contracts for partners and grant recipients</w:t>
            </w:r>
          </w:p>
          <w:p w:rsidR="00F3361C" w:rsidRPr="005B2428" w:rsidRDefault="00020C16" w:rsidP="00020C16">
            <w:pPr>
              <w:rPr>
                <w:szCs w:val="20"/>
              </w:rPr>
            </w:pPr>
            <w:r>
              <w:rPr>
                <w:rFonts w:ascii="Wingdings" w:eastAsiaTheme="minorHAnsi" w:hAnsi="Wingdings" w:cs="Wingdings"/>
                <w:szCs w:val="20"/>
                <w:lang w:val="en-AU"/>
              </w:rPr>
              <w:t></w:t>
            </w:r>
            <w:r>
              <w:rPr>
                <w:rFonts w:ascii="Wingdings" w:eastAsiaTheme="minorHAnsi" w:hAnsi="Wingdings" w:cs="Wingdings"/>
                <w:szCs w:val="20"/>
                <w:lang w:val="en-AU"/>
              </w:rPr>
              <w:t></w:t>
            </w:r>
            <w:r>
              <w:rPr>
                <w:rFonts w:eastAsiaTheme="minorHAnsi" w:cs="Verdana"/>
                <w:szCs w:val="20"/>
                <w:lang w:val="en-AU"/>
              </w:rPr>
              <w:t>Develop a system for reporting on partnership/sponsorship activities internally</w:t>
            </w:r>
          </w:p>
        </w:tc>
        <w:tc>
          <w:tcPr>
            <w:tcW w:w="4204" w:type="dxa"/>
          </w:tcPr>
          <w:p w:rsidR="00020C16" w:rsidRDefault="00020C16" w:rsidP="00020C16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lastRenderedPageBreak/>
              <w:t>Return on investment from events</w:t>
            </w:r>
          </w:p>
          <w:p w:rsidR="008838A8" w:rsidRDefault="00020C16" w:rsidP="00020C16">
            <w:pPr>
              <w:spacing w:before="120"/>
              <w:jc w:val="both"/>
              <w:rPr>
                <w:rFonts w:eastAsiaTheme="minorHAnsi" w:cs="Verdana"/>
                <w:szCs w:val="20"/>
                <w:lang w:val="en-AU"/>
              </w:rPr>
            </w:pPr>
            <w:r w:rsidRPr="00020C16">
              <w:rPr>
                <w:rFonts w:eastAsiaTheme="minorHAnsi" w:cs="Verdana"/>
                <w:szCs w:val="20"/>
                <w:lang w:val="en-AU"/>
              </w:rPr>
              <w:t>Co-funding received</w:t>
            </w:r>
          </w:p>
          <w:p w:rsidR="00C43523" w:rsidRPr="00020C16" w:rsidRDefault="00C43523" w:rsidP="00C43523">
            <w:pPr>
              <w:spacing w:before="120"/>
              <w:jc w:val="both"/>
              <w:rPr>
                <w:szCs w:val="20"/>
              </w:rPr>
            </w:pPr>
            <w:r>
              <w:rPr>
                <w:rFonts w:eastAsiaTheme="minorHAnsi" w:cs="Verdana"/>
                <w:szCs w:val="20"/>
                <w:lang w:val="en-AU"/>
              </w:rPr>
              <w:t xml:space="preserve">Leverage across partnerships </w:t>
            </w:r>
          </w:p>
        </w:tc>
      </w:tr>
      <w:tr w:rsidR="0001592E" w:rsidRPr="0001592E" w:rsidTr="008838A8">
        <w:trPr>
          <w:trHeight w:val="1701"/>
        </w:trPr>
        <w:tc>
          <w:tcPr>
            <w:tcW w:w="5991" w:type="dxa"/>
            <w:gridSpan w:val="2"/>
          </w:tcPr>
          <w:p w:rsidR="00C43523" w:rsidRDefault="00C43523" w:rsidP="00C43523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</w:pPr>
            <w:r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  <w:t>Delivery of partnership activities</w:t>
            </w:r>
          </w:p>
          <w:p w:rsidR="00C43523" w:rsidRPr="00C43523" w:rsidRDefault="00C43523" w:rsidP="00C43523">
            <w:pPr>
              <w:pStyle w:val="ListBullet"/>
              <w:spacing w:after="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Coordinate promotion, bookings and registration for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related sponsorship events. End to end partnership and event activation</w:t>
            </w:r>
          </w:p>
          <w:p w:rsidR="00C43523" w:rsidRPr="00C43523" w:rsidRDefault="00C43523" w:rsidP="00C43523">
            <w:pPr>
              <w:pStyle w:val="ListBullet"/>
              <w:spacing w:after="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Lead logistical administration of sponsorship events,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including venue selection, site inspection, OHS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requirements, post event debriefs and evaluation to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 xml:space="preserve">highlight future efficiencies, </w:t>
            </w:r>
          </w:p>
          <w:p w:rsidR="00F3361C" w:rsidRPr="00C43523" w:rsidRDefault="00C43523" w:rsidP="00C43523">
            <w:pPr>
              <w:pStyle w:val="ListBullet"/>
              <w:spacing w:after="0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Support the developm</w:t>
            </w:r>
            <w:r>
              <w:rPr>
                <w:rFonts w:eastAsiaTheme="minorHAnsi"/>
              </w:rPr>
              <w:t xml:space="preserve">ent of new learning experiences </w:t>
            </w:r>
            <w:r w:rsidRPr="00C43523">
              <w:rPr>
                <w:rFonts w:eastAsiaTheme="minorHAnsi"/>
              </w:rPr>
              <w:t>as required</w:t>
            </w:r>
          </w:p>
          <w:p w:rsidR="00C43523" w:rsidRPr="005B2428" w:rsidRDefault="00C43523" w:rsidP="00C43523">
            <w:pPr>
              <w:pStyle w:val="ListBullet"/>
              <w:spacing w:after="0"/>
              <w:rPr>
                <w:szCs w:val="20"/>
              </w:rPr>
            </w:pPr>
            <w:r w:rsidRPr="00C43523">
              <w:rPr>
                <w:rFonts w:eastAsiaTheme="minorHAnsi"/>
              </w:rPr>
              <w:t>Lead project meetings internally to ensure opportunities are maximised across the business, taking into consideration brand and PR  outcomes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204" w:type="dxa"/>
          </w:tcPr>
          <w:p w:rsidR="008838A8" w:rsidRPr="00C43523" w:rsidRDefault="00C43523" w:rsidP="00C43523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 xml:space="preserve">Formal and informal feedback </w:t>
            </w:r>
            <w:r w:rsidRPr="00C43523">
              <w:rPr>
                <w:rFonts w:eastAsiaTheme="minorHAnsi" w:cs="Verdana"/>
                <w:szCs w:val="20"/>
                <w:lang w:val="en-AU"/>
              </w:rPr>
              <w:t>from events</w:t>
            </w:r>
          </w:p>
          <w:p w:rsidR="00F3361C" w:rsidRPr="008838A8" w:rsidRDefault="00F3361C" w:rsidP="008838A8">
            <w:pPr>
              <w:spacing w:before="120"/>
              <w:ind w:left="175"/>
              <w:jc w:val="both"/>
              <w:rPr>
                <w:szCs w:val="20"/>
              </w:rPr>
            </w:pPr>
          </w:p>
        </w:tc>
      </w:tr>
      <w:tr w:rsidR="0001592E" w:rsidRPr="0001592E" w:rsidTr="008838A8">
        <w:trPr>
          <w:trHeight w:val="1701"/>
        </w:trPr>
        <w:tc>
          <w:tcPr>
            <w:tcW w:w="5991" w:type="dxa"/>
            <w:gridSpan w:val="2"/>
          </w:tcPr>
          <w:p w:rsidR="00C43523" w:rsidRDefault="00C43523" w:rsidP="00C43523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</w:pPr>
            <w:r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  <w:t>Financial and Contractual Management</w:t>
            </w:r>
          </w:p>
          <w:p w:rsidR="00C43523" w:rsidRPr="00C43523" w:rsidRDefault="00C43523" w:rsidP="00C43523">
            <w:pPr>
              <w:pStyle w:val="ListBullet"/>
              <w:spacing w:after="0"/>
              <w:ind w:left="357" w:hanging="357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Establish appropriate governance mechanisms to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ensure that money is distributed appropriately</w:t>
            </w:r>
          </w:p>
          <w:p w:rsidR="00C43523" w:rsidRPr="00C43523" w:rsidRDefault="00C43523" w:rsidP="00C43523">
            <w:pPr>
              <w:pStyle w:val="ListBullet"/>
              <w:spacing w:after="0"/>
              <w:ind w:left="357" w:hanging="357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Ensure all financial reports are maintained to a</w:t>
            </w:r>
          </w:p>
          <w:p w:rsidR="00C43523" w:rsidRPr="00C43523" w:rsidRDefault="00C43523" w:rsidP="00C43523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 xml:space="preserve">professional </w:t>
            </w:r>
            <w:r>
              <w:rPr>
                <w:rFonts w:eastAsiaTheme="minorHAnsi"/>
              </w:rPr>
              <w:t xml:space="preserve">level including accurate budget </w:t>
            </w:r>
            <w:r w:rsidRPr="00C43523">
              <w:rPr>
                <w:rFonts w:eastAsiaTheme="minorHAnsi"/>
              </w:rPr>
              <w:t>management</w:t>
            </w:r>
          </w:p>
          <w:p w:rsidR="00C43523" w:rsidRPr="00C43523" w:rsidRDefault="00C43523" w:rsidP="00C43523">
            <w:pPr>
              <w:pStyle w:val="ListBullet"/>
              <w:spacing w:after="0"/>
              <w:ind w:left="357" w:hanging="357"/>
              <w:rPr>
                <w:rFonts w:eastAsiaTheme="minorHAnsi"/>
              </w:rPr>
            </w:pPr>
            <w:r w:rsidRPr="00C43523">
              <w:rPr>
                <w:rFonts w:eastAsiaTheme="minorHAnsi"/>
              </w:rPr>
              <w:t>Manage relevant con</w:t>
            </w:r>
            <w:r>
              <w:rPr>
                <w:rFonts w:eastAsiaTheme="minorHAnsi"/>
              </w:rPr>
              <w:t xml:space="preserve">tracts and procurement in a way </w:t>
            </w:r>
            <w:r w:rsidRPr="00C43523">
              <w:rPr>
                <w:rFonts w:eastAsiaTheme="minorHAnsi"/>
              </w:rPr>
              <w:t>that complies with Melbourne Water’s procurement and legal processes</w:t>
            </w:r>
          </w:p>
          <w:p w:rsidR="00C43523" w:rsidRDefault="00C43523" w:rsidP="00C43523">
            <w:pPr>
              <w:pStyle w:val="ListBullet"/>
              <w:spacing w:after="0"/>
              <w:ind w:left="357" w:hanging="357"/>
              <w:rPr>
                <w:rFonts w:eastAsiaTheme="minorHAnsi"/>
              </w:rPr>
            </w:pPr>
            <w:r>
              <w:rPr>
                <w:rFonts w:eastAsiaTheme="minorHAnsi"/>
              </w:rPr>
              <w:t>Process invoices and raise purchase orders</w:t>
            </w:r>
          </w:p>
          <w:p w:rsidR="00A454B5" w:rsidRPr="0001592E" w:rsidRDefault="00C43523" w:rsidP="00C43523">
            <w:pPr>
              <w:pStyle w:val="ListBullet"/>
              <w:spacing w:after="0"/>
              <w:ind w:left="357" w:hanging="357"/>
            </w:pPr>
            <w:r>
              <w:rPr>
                <w:rFonts w:eastAsiaTheme="minorHAnsi"/>
              </w:rPr>
              <w:t>Identify budget savings</w:t>
            </w:r>
          </w:p>
        </w:tc>
        <w:tc>
          <w:tcPr>
            <w:tcW w:w="4204" w:type="dxa"/>
          </w:tcPr>
          <w:p w:rsidR="008838A8" w:rsidRDefault="00C43523" w:rsidP="00C43523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Accuracy of forecasts</w:t>
            </w:r>
          </w:p>
          <w:p w:rsidR="00C43523" w:rsidRPr="00C43523" w:rsidRDefault="00C43523" w:rsidP="00C43523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Delivery of contractual agreements</w:t>
            </w:r>
          </w:p>
        </w:tc>
      </w:tr>
      <w:tr w:rsidR="008838A8" w:rsidRPr="0001592E" w:rsidTr="008838A8">
        <w:trPr>
          <w:trHeight w:val="1701"/>
        </w:trPr>
        <w:tc>
          <w:tcPr>
            <w:tcW w:w="5991" w:type="dxa"/>
            <w:gridSpan w:val="2"/>
          </w:tcPr>
          <w:p w:rsidR="00C43523" w:rsidRDefault="00C43523" w:rsidP="00C43523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</w:pPr>
            <w:r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  <w:t>Stakeholder Relations</w:t>
            </w:r>
          </w:p>
          <w:p w:rsidR="00C43523" w:rsidRDefault="00C43523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>
              <w:rPr>
                <w:rFonts w:eastAsiaTheme="minorHAnsi"/>
              </w:rPr>
              <w:t>Support the strengthening of executive relationships</w:t>
            </w:r>
          </w:p>
          <w:p w:rsidR="00C43523" w:rsidRDefault="00C43523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>
              <w:rPr>
                <w:rFonts w:eastAsiaTheme="minorHAnsi"/>
              </w:rPr>
              <w:t>with key partners</w:t>
            </w:r>
          </w:p>
          <w:p w:rsidR="00C43523" w:rsidRDefault="00C43523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>
              <w:rPr>
                <w:rFonts w:eastAsiaTheme="minorHAnsi"/>
              </w:rPr>
              <w:t>Manage relationships with stakeholders in the</w:t>
            </w:r>
          </w:p>
          <w:p w:rsidR="00C43523" w:rsidRDefault="00C43523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>
              <w:rPr>
                <w:rFonts w:eastAsiaTheme="minorHAnsi"/>
              </w:rPr>
              <w:t>development and delivery of partnerships, including</w:t>
            </w:r>
          </w:p>
          <w:p w:rsidR="009F3D30" w:rsidRDefault="00C43523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>
              <w:rPr>
                <w:rFonts w:eastAsiaTheme="minorHAnsi"/>
              </w:rPr>
              <w:t>business, community organisations, local government, and the education sector</w:t>
            </w:r>
          </w:p>
          <w:p w:rsidR="009F3D30" w:rsidRPr="009F3D30" w:rsidRDefault="00C43523" w:rsidP="009F3D30">
            <w:pPr>
              <w:pStyle w:val="ListBullet"/>
              <w:spacing w:after="0"/>
              <w:ind w:left="357"/>
              <w:rPr>
                <w:b/>
              </w:rPr>
            </w:pPr>
            <w:r>
              <w:rPr>
                <w:rFonts w:eastAsiaTheme="minorHAnsi"/>
              </w:rPr>
              <w:t>Liaise with relevant internal departments at Melbourne Water in relation to sponsorship activities</w:t>
            </w:r>
            <w:r w:rsidR="009F3D30">
              <w:rPr>
                <w:rFonts w:eastAsiaTheme="minorHAnsi"/>
              </w:rPr>
              <w:t xml:space="preserve"> </w:t>
            </w:r>
          </w:p>
          <w:p w:rsidR="008838A8" w:rsidRPr="00D2720F" w:rsidRDefault="009F3D30" w:rsidP="009F3D30">
            <w:pPr>
              <w:pStyle w:val="ListBullet"/>
              <w:spacing w:after="0"/>
              <w:ind w:left="357"/>
              <w:rPr>
                <w:b/>
              </w:rPr>
            </w:pPr>
            <w:r>
              <w:rPr>
                <w:rFonts w:eastAsiaTheme="minorHAnsi"/>
              </w:rPr>
              <w:t xml:space="preserve">Provide executive briefs, including roles responsibilities and speaking notes to executives involved in sponsorship activities and </w:t>
            </w:r>
            <w:r w:rsidR="00C4352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corporate events</w:t>
            </w:r>
          </w:p>
        </w:tc>
        <w:tc>
          <w:tcPr>
            <w:tcW w:w="4204" w:type="dxa"/>
          </w:tcPr>
          <w:p w:rsidR="008838A8" w:rsidRPr="00C43523" w:rsidRDefault="009F3D30" w:rsidP="00C4352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Reputation score</w:t>
            </w:r>
          </w:p>
        </w:tc>
      </w:tr>
    </w:tbl>
    <w:p w:rsidR="009F3D30" w:rsidRDefault="009F3D30"/>
    <w:p w:rsidR="009F3D30" w:rsidRDefault="009F3D30">
      <w:pPr>
        <w:tabs>
          <w:tab w:val="clear" w:pos="9639"/>
        </w:tabs>
        <w:spacing w:before="92" w:after="0"/>
        <w:ind w:left="1191" w:hanging="754"/>
      </w:pPr>
      <w:r>
        <w:br w:type="page"/>
      </w:r>
    </w:p>
    <w:p w:rsidR="003751D1" w:rsidRPr="0001592E" w:rsidRDefault="00375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3751D1">
            <w:pPr>
              <w:keepNext/>
              <w:keepLines/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SKILLS, KNOWLEDGE AND EXPERIENCE REQUIRED:</w:t>
            </w:r>
          </w:p>
        </w:tc>
      </w:tr>
      <w:tr w:rsidR="0001592E" w:rsidRPr="0001592E" w:rsidTr="005A6B90">
        <w:trPr>
          <w:trHeight w:val="470"/>
        </w:trPr>
        <w:tc>
          <w:tcPr>
            <w:tcW w:w="10421" w:type="dxa"/>
          </w:tcPr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Extensive experience in the strategic development, execution and evaluation of sponsorship</w:t>
            </w:r>
          </w:p>
          <w:p w:rsidR="009F3D30" w:rsidRPr="009F3D30" w:rsidRDefault="009F3D30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programs preferably gained within a leadership role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Experience in public relations leveraging partnerships to activate campaigns via a variety of</w:t>
            </w:r>
          </w:p>
          <w:p w:rsidR="009F3D30" w:rsidRPr="009F3D30" w:rsidRDefault="009F3D30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media and digital channels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Highly developed oral and interpersonal skills and demonstrated ability to influence, negotiate</w:t>
            </w:r>
          </w:p>
          <w:p w:rsidR="009F3D30" w:rsidRPr="009F3D30" w:rsidRDefault="009F3D30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with and advise senior management on sponsorship issues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Ability to engage, gain support and confidence of key stakeholders in the development of</w:t>
            </w:r>
          </w:p>
          <w:p w:rsidR="009F3D30" w:rsidRPr="009F3D30" w:rsidRDefault="009F3D30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programs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The ability to develop robust business cases and pitch strong creative proposals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Good problem solving skills and project management experience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Extensive experience in contract and financial management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Demonstrated experience in writing and developing effective communication and campaign materials, executive briefs and oversee design and creative production.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Ability to prepare and lead the delivery of high quality corporate events</w:t>
            </w:r>
          </w:p>
          <w:p w:rsidR="009F3D30" w:rsidRPr="009F3D30" w:rsidRDefault="009F3D30" w:rsidP="009F3D30">
            <w:pPr>
              <w:pStyle w:val="ListBullet"/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Highly developed organisational skills, the ability to think creatively and to manage under</w:t>
            </w:r>
          </w:p>
          <w:p w:rsidR="009F3D30" w:rsidRPr="009F3D30" w:rsidRDefault="009F3D30" w:rsidP="009F3D30">
            <w:pPr>
              <w:pStyle w:val="ListBullet"/>
              <w:numPr>
                <w:ilvl w:val="0"/>
                <w:numId w:val="0"/>
              </w:numPr>
              <w:spacing w:after="0"/>
              <w:ind w:left="357"/>
              <w:rPr>
                <w:rFonts w:eastAsiaTheme="minorHAnsi"/>
              </w:rPr>
            </w:pPr>
            <w:r w:rsidRPr="009F3D30">
              <w:rPr>
                <w:rFonts w:eastAsiaTheme="minorHAnsi"/>
              </w:rPr>
              <w:t>pressure with competing and demanding deadlines</w:t>
            </w:r>
          </w:p>
          <w:p w:rsidR="005A6B90" w:rsidRPr="005A6B90" w:rsidRDefault="009F3D30" w:rsidP="009F3D30">
            <w:pPr>
              <w:pStyle w:val="ListBullet"/>
              <w:spacing w:after="0"/>
              <w:ind w:left="357"/>
            </w:pPr>
            <w:r w:rsidRPr="009F3D30">
              <w:rPr>
                <w:rFonts w:eastAsiaTheme="minorHAnsi"/>
              </w:rPr>
              <w:t>Desirable background in engagement/communications/marketing/sponsorships/events management</w:t>
            </w:r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RELATIONSHIPS:</w:t>
            </w:r>
          </w:p>
        </w:tc>
      </w:tr>
      <w:tr w:rsidR="0001592E" w:rsidRPr="0001592E" w:rsidTr="00946F5F">
        <w:trPr>
          <w:trHeight w:val="3334"/>
        </w:trPr>
        <w:tc>
          <w:tcPr>
            <w:tcW w:w="10421" w:type="dxa"/>
          </w:tcPr>
          <w:p w:rsidR="0059345D" w:rsidRPr="0001592E" w:rsidRDefault="0059345D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</w:pPr>
            <w:r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  <w:t>INTERNAL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The Corporate Partnerships Manager will be required to co-ordinate and communicate closely with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the senior management group and key Melbourne Water staff in relation to the delivery of specific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projects or programs, and build relationships at all levels of the organization.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</w:pPr>
            <w:r>
              <w:rPr>
                <w:rFonts w:ascii="Verdana,Bold" w:eastAsiaTheme="minorHAnsi" w:hAnsi="Verdana,Bold" w:cs="Verdana,Bold"/>
                <w:b/>
                <w:bCs/>
                <w:szCs w:val="20"/>
                <w:lang w:val="en-AU"/>
              </w:rPr>
              <w:t>EXTERNAL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The Partnerships manager will be required to maintain strong and influential relationships with a</w:t>
            </w:r>
          </w:p>
          <w:p w:rsidR="009F3D30" w:rsidRDefault="009F3D30" w:rsidP="009F3D3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range of external stakeholders, including other Government authorities, media, external providers,</w:t>
            </w:r>
          </w:p>
          <w:p w:rsidR="00E80934" w:rsidRPr="005A6B90" w:rsidRDefault="009F3D30" w:rsidP="009F3D30">
            <w:pPr>
              <w:spacing w:before="120"/>
            </w:pPr>
            <w:r>
              <w:rPr>
                <w:rFonts w:eastAsiaTheme="minorHAnsi" w:cs="Verdana"/>
                <w:szCs w:val="20"/>
                <w:lang w:val="en-AU"/>
              </w:rPr>
              <w:t>and private enterprise.</w:t>
            </w:r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SALARY RANGE:</w:t>
            </w:r>
          </w:p>
        </w:tc>
      </w:tr>
      <w:tr w:rsidR="0001592E" w:rsidRPr="0001592E" w:rsidTr="00946F5F">
        <w:trPr>
          <w:trHeight w:val="70"/>
        </w:trPr>
        <w:tc>
          <w:tcPr>
            <w:tcW w:w="10421" w:type="dxa"/>
          </w:tcPr>
          <w:p w:rsidR="00946F5F" w:rsidRPr="0001592E" w:rsidRDefault="00946F5F" w:rsidP="0001592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1592E">
              <w:rPr>
                <w:szCs w:val="20"/>
              </w:rPr>
              <w:t>Melbourne Water reserves the right to remunerate people according to their ability to perform the functions of the role based on their qualifications, skills and experience.</w:t>
            </w:r>
            <w:r w:rsidR="009A070C" w:rsidRPr="0001592E">
              <w:rPr>
                <w:szCs w:val="20"/>
              </w:rPr>
              <w:t xml:space="preserve"> </w:t>
            </w:r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OTHER COMMENTS:</w:t>
            </w:r>
          </w:p>
        </w:tc>
      </w:tr>
      <w:tr w:rsidR="0001592E" w:rsidRPr="0001592E" w:rsidTr="00F3361C">
        <w:tc>
          <w:tcPr>
            <w:tcW w:w="10421" w:type="dxa"/>
          </w:tcPr>
          <w:p w:rsidR="005B2428" w:rsidRPr="0001592E" w:rsidRDefault="005B2428" w:rsidP="005B2428">
            <w:pPr>
              <w:spacing w:after="0"/>
              <w:rPr>
                <w:szCs w:val="20"/>
              </w:rPr>
            </w:pPr>
            <w:r w:rsidRPr="0001592E">
              <w:rPr>
                <w:szCs w:val="20"/>
              </w:rPr>
              <w:t>Thi</w:t>
            </w:r>
            <w:r w:rsidR="009F3D30">
              <w:rPr>
                <w:szCs w:val="20"/>
              </w:rPr>
              <w:t>s role requires the following:</w:t>
            </w:r>
          </w:p>
          <w:p w:rsidR="005B2428" w:rsidRPr="0001592E" w:rsidRDefault="005B2428" w:rsidP="005B2428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szCs w:val="20"/>
              </w:rPr>
            </w:pPr>
            <w:r w:rsidRPr="0001592E">
              <w:rPr>
                <w:szCs w:val="20"/>
              </w:rPr>
              <w:t>Extensive experience and expertise gained through a senior executive management position</w:t>
            </w:r>
          </w:p>
          <w:p w:rsidR="005B2428" w:rsidRPr="0001592E" w:rsidRDefault="009F3D30" w:rsidP="005B2428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Relevant </w:t>
            </w:r>
            <w:r w:rsidR="005B2428" w:rsidRPr="0001592E">
              <w:rPr>
                <w:szCs w:val="20"/>
              </w:rPr>
              <w:t xml:space="preserve">Tertiary degree </w:t>
            </w:r>
          </w:p>
          <w:p w:rsidR="005B2428" w:rsidRPr="0001592E" w:rsidRDefault="005B2428" w:rsidP="005B242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 w:rsidRPr="0001592E">
              <w:rPr>
                <w:szCs w:val="20"/>
              </w:rPr>
              <w:t>Criminal Records Check</w:t>
            </w:r>
          </w:p>
          <w:p w:rsidR="005B2428" w:rsidRPr="0001592E" w:rsidRDefault="005B2428" w:rsidP="005B2428">
            <w:pPr>
              <w:spacing w:after="0"/>
              <w:rPr>
                <w:szCs w:val="20"/>
              </w:rPr>
            </w:pPr>
          </w:p>
          <w:p w:rsidR="00F3361C" w:rsidRPr="0001592E" w:rsidRDefault="005B2428" w:rsidP="009F3D30">
            <w:pPr>
              <w:spacing w:before="120"/>
              <w:rPr>
                <w:szCs w:val="20"/>
              </w:rPr>
            </w:pPr>
            <w:r w:rsidRPr="0001592E">
              <w:rPr>
                <w:szCs w:val="20"/>
              </w:rPr>
              <w:t xml:space="preserve">Location: </w:t>
            </w:r>
            <w:r w:rsidR="009F3D30">
              <w:rPr>
                <w:szCs w:val="20"/>
              </w:rPr>
              <w:t>990 Latrobe Street, Docklands</w:t>
            </w: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sectPr w:rsidR="004B4912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29" w:rsidRDefault="003E5329" w:rsidP="00727219">
      <w:r>
        <w:separator/>
      </w:r>
    </w:p>
  </w:endnote>
  <w:endnote w:type="continuationSeparator" w:id="0">
    <w:p w:rsidR="003E5329" w:rsidRDefault="003E5329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8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59"/>
      <w:gridCol w:w="6905"/>
    </w:tblGrid>
    <w:tr w:rsidR="00C43523" w:rsidTr="00206FCB">
      <w:trPr>
        <w:trHeight w:val="170"/>
      </w:trPr>
      <w:tc>
        <w:tcPr>
          <w:tcW w:w="872" w:type="pct"/>
          <w:vAlign w:val="bottom"/>
        </w:tcPr>
        <w:p w:rsidR="00C43523" w:rsidRPr="00370129" w:rsidRDefault="00C43523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</w:t>
          </w:r>
        </w:p>
      </w:tc>
      <w:tc>
        <w:tcPr>
          <w:tcW w:w="4128" w:type="pct"/>
          <w:vAlign w:val="bottom"/>
        </w:tcPr>
        <w:p w:rsidR="00C43523" w:rsidRDefault="008C530D" w:rsidP="004E680C">
          <w:pPr>
            <w:pStyle w:val="Footer"/>
            <w:spacing w:after="60"/>
          </w:pPr>
          <w:r>
            <w:t>Senior Manager</w:t>
          </w:r>
        </w:p>
      </w:tc>
    </w:tr>
    <w:tr w:rsidR="00C43523" w:rsidTr="00206FCB">
      <w:trPr>
        <w:trHeight w:val="170"/>
      </w:trPr>
      <w:tc>
        <w:tcPr>
          <w:tcW w:w="872" w:type="pct"/>
          <w:vAlign w:val="bottom"/>
        </w:tcPr>
        <w:p w:rsidR="00C43523" w:rsidRDefault="00C43523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Assessed by:</w:t>
          </w:r>
        </w:p>
      </w:tc>
      <w:tc>
        <w:tcPr>
          <w:tcW w:w="4128" w:type="pct"/>
          <w:vAlign w:val="bottom"/>
        </w:tcPr>
        <w:p w:rsidR="00C43523" w:rsidRDefault="008C530D" w:rsidP="004E680C">
          <w:pPr>
            <w:pStyle w:val="Footer"/>
            <w:spacing w:after="60"/>
            <w:rPr>
              <w:noProof/>
              <w:lang w:val="en-AU" w:eastAsia="en-AU"/>
            </w:rPr>
          </w:pPr>
          <w:r>
            <w:rPr>
              <w:noProof/>
              <w:lang w:val="en-AU" w:eastAsia="en-AU"/>
            </w:rPr>
            <w:t>P&amp;C</w:t>
          </w:r>
        </w:p>
      </w:tc>
    </w:tr>
    <w:tr w:rsidR="00C43523" w:rsidTr="00206FCB">
      <w:trPr>
        <w:trHeight w:val="170"/>
      </w:trPr>
      <w:tc>
        <w:tcPr>
          <w:tcW w:w="872" w:type="pct"/>
          <w:vAlign w:val="bottom"/>
        </w:tcPr>
        <w:p w:rsidR="00C43523" w:rsidRDefault="00C43523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Date:</w:t>
          </w:r>
        </w:p>
      </w:tc>
      <w:tc>
        <w:tcPr>
          <w:tcW w:w="4128" w:type="pct"/>
          <w:vAlign w:val="bottom"/>
        </w:tcPr>
        <w:p w:rsidR="00C43523" w:rsidRDefault="008C530D" w:rsidP="004E680C">
          <w:pPr>
            <w:pStyle w:val="Footer"/>
            <w:spacing w:after="60"/>
            <w:rPr>
              <w:noProof/>
              <w:lang w:val="en-AU" w:eastAsia="en-AU"/>
            </w:rPr>
          </w:pPr>
          <w:r>
            <w:rPr>
              <w:noProof/>
              <w:lang w:val="en-AU" w:eastAsia="en-AU"/>
            </w:rPr>
            <w:t>July 2017</w:t>
          </w:r>
        </w:p>
      </w:tc>
    </w:tr>
  </w:tbl>
  <w:p w:rsidR="00C43523" w:rsidRPr="00531573" w:rsidRDefault="00C43523" w:rsidP="005315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5244938</wp:posOffset>
          </wp:positionH>
          <wp:positionV relativeFrom="paragraph">
            <wp:posOffset>-607695</wp:posOffset>
          </wp:positionV>
          <wp:extent cx="1685925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29" w:rsidRDefault="003E5329" w:rsidP="00727219">
      <w:r>
        <w:separator/>
      </w:r>
    </w:p>
  </w:footnote>
  <w:footnote w:type="continuationSeparator" w:id="0">
    <w:p w:rsidR="003E5329" w:rsidRDefault="003E5329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23" w:rsidRPr="00370129" w:rsidRDefault="00C43523" w:rsidP="00FC2868">
    <w:pPr>
      <w:pStyle w:val="Heading2"/>
      <w:rPr>
        <w:b/>
        <w:color w:val="4D4F53" w:themeColor="accent5"/>
      </w:rPr>
    </w:pPr>
    <w:r>
      <w:rPr>
        <w:lang w:val="en-AU" w:eastAsia="en-AU"/>
      </w:rPr>
      <w:drawing>
        <wp:anchor distT="0" distB="0" distL="114300" distR="114300" simplePos="0" relativeHeight="251669504" behindDoc="0" locked="0" layoutInCell="1" allowOverlap="1" wp14:anchorId="636F11BA" wp14:editId="370802BC">
          <wp:simplePos x="0" y="0"/>
          <wp:positionH relativeFrom="column">
            <wp:posOffset>5432293</wp:posOffset>
          </wp:positionH>
          <wp:positionV relativeFrom="page">
            <wp:posOffset>-474807</wp:posOffset>
          </wp:positionV>
          <wp:extent cx="2185976" cy="1983179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ple graphic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5976" cy="1983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29">
      <w:rPr>
        <w:b/>
        <w:color w:val="4D4F53" w:themeColor="accent5"/>
      </w:rPr>
      <w:t>MELBOURNE WATER POSITION DESCRIPTION</w:t>
    </w:r>
  </w:p>
  <w:p w:rsidR="00C43523" w:rsidRPr="0001592E" w:rsidRDefault="00C43523" w:rsidP="00946F5F">
    <w:pPr>
      <w:pStyle w:val="Heading3"/>
      <w:rPr>
        <w:color w:val="auto"/>
      </w:rPr>
    </w:pPr>
    <w:r>
      <w:rPr>
        <w:color w:val="auto"/>
      </w:rPr>
      <w:t>Corporate Partnerships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90243"/>
    <w:multiLevelType w:val="hybridMultilevel"/>
    <w:tmpl w:val="F5046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BAC"/>
    <w:multiLevelType w:val="multilevel"/>
    <w:tmpl w:val="8B6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1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556B0"/>
    <w:multiLevelType w:val="multilevel"/>
    <w:tmpl w:val="EA5E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8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141EB"/>
    <w:multiLevelType w:val="multilevel"/>
    <w:tmpl w:val="411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811C9"/>
    <w:multiLevelType w:val="multilevel"/>
    <w:tmpl w:val="0E4A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5"/>
  </w:num>
  <w:num w:numId="5">
    <w:abstractNumId w:val="11"/>
  </w:num>
  <w:num w:numId="6">
    <w:abstractNumId w:val="1"/>
  </w:num>
  <w:num w:numId="7">
    <w:abstractNumId w:val="23"/>
  </w:num>
  <w:num w:numId="8">
    <w:abstractNumId w:val="0"/>
  </w:num>
  <w:num w:numId="9">
    <w:abstractNumId w:val="20"/>
  </w:num>
  <w:num w:numId="10">
    <w:abstractNumId w:val="14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5"/>
  </w:num>
  <w:num w:numId="19">
    <w:abstractNumId w:val="6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21"/>
  </w:num>
  <w:num w:numId="25">
    <w:abstractNumId w:val="19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592E"/>
    <w:rsid w:val="00020C16"/>
    <w:rsid w:val="00027881"/>
    <w:rsid w:val="00074834"/>
    <w:rsid w:val="00081E9D"/>
    <w:rsid w:val="000B1550"/>
    <w:rsid w:val="000B3631"/>
    <w:rsid w:val="000C5B93"/>
    <w:rsid w:val="000E5AE3"/>
    <w:rsid w:val="000F01A1"/>
    <w:rsid w:val="000F593A"/>
    <w:rsid w:val="00114B15"/>
    <w:rsid w:val="00124310"/>
    <w:rsid w:val="0012496F"/>
    <w:rsid w:val="00156E1B"/>
    <w:rsid w:val="0017028E"/>
    <w:rsid w:val="00171B3D"/>
    <w:rsid w:val="00182C0D"/>
    <w:rsid w:val="00192692"/>
    <w:rsid w:val="001B0528"/>
    <w:rsid w:val="001B6E13"/>
    <w:rsid w:val="001C4978"/>
    <w:rsid w:val="001F5AFE"/>
    <w:rsid w:val="00206FCB"/>
    <w:rsid w:val="002128CB"/>
    <w:rsid w:val="00213C02"/>
    <w:rsid w:val="00216987"/>
    <w:rsid w:val="00225D9D"/>
    <w:rsid w:val="002323A2"/>
    <w:rsid w:val="002361D0"/>
    <w:rsid w:val="002649AC"/>
    <w:rsid w:val="002C4C00"/>
    <w:rsid w:val="002E2D9D"/>
    <w:rsid w:val="002F7701"/>
    <w:rsid w:val="00342B77"/>
    <w:rsid w:val="00370129"/>
    <w:rsid w:val="003751D1"/>
    <w:rsid w:val="0038551F"/>
    <w:rsid w:val="003A3A99"/>
    <w:rsid w:val="003A4A8D"/>
    <w:rsid w:val="003A568A"/>
    <w:rsid w:val="003C6CC7"/>
    <w:rsid w:val="003E5329"/>
    <w:rsid w:val="00402A5B"/>
    <w:rsid w:val="00407991"/>
    <w:rsid w:val="00426B74"/>
    <w:rsid w:val="00432643"/>
    <w:rsid w:val="00485191"/>
    <w:rsid w:val="00493397"/>
    <w:rsid w:val="004A5B5B"/>
    <w:rsid w:val="004B4912"/>
    <w:rsid w:val="004C0121"/>
    <w:rsid w:val="004D1B7B"/>
    <w:rsid w:val="004E680C"/>
    <w:rsid w:val="00504896"/>
    <w:rsid w:val="0051137E"/>
    <w:rsid w:val="00516C7A"/>
    <w:rsid w:val="00521B36"/>
    <w:rsid w:val="00531573"/>
    <w:rsid w:val="005323A2"/>
    <w:rsid w:val="00573AFB"/>
    <w:rsid w:val="0059152A"/>
    <w:rsid w:val="0059345D"/>
    <w:rsid w:val="005A6B90"/>
    <w:rsid w:val="005B1D0A"/>
    <w:rsid w:val="005B2428"/>
    <w:rsid w:val="005C0021"/>
    <w:rsid w:val="005D34E1"/>
    <w:rsid w:val="005E031C"/>
    <w:rsid w:val="005E3D56"/>
    <w:rsid w:val="0060687F"/>
    <w:rsid w:val="00607456"/>
    <w:rsid w:val="00614A79"/>
    <w:rsid w:val="006241FB"/>
    <w:rsid w:val="00650B1E"/>
    <w:rsid w:val="0068023A"/>
    <w:rsid w:val="006B665A"/>
    <w:rsid w:val="006C12C4"/>
    <w:rsid w:val="006C3587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B41EC"/>
    <w:rsid w:val="007D5731"/>
    <w:rsid w:val="007E0484"/>
    <w:rsid w:val="007F6490"/>
    <w:rsid w:val="00810971"/>
    <w:rsid w:val="00814F8C"/>
    <w:rsid w:val="0082433B"/>
    <w:rsid w:val="0084572F"/>
    <w:rsid w:val="00857492"/>
    <w:rsid w:val="008706BA"/>
    <w:rsid w:val="00870FE5"/>
    <w:rsid w:val="0087720B"/>
    <w:rsid w:val="008838A8"/>
    <w:rsid w:val="008A1872"/>
    <w:rsid w:val="008B6206"/>
    <w:rsid w:val="008C530D"/>
    <w:rsid w:val="008D1920"/>
    <w:rsid w:val="00901C7C"/>
    <w:rsid w:val="00932893"/>
    <w:rsid w:val="0093699E"/>
    <w:rsid w:val="00941A8B"/>
    <w:rsid w:val="00946F5F"/>
    <w:rsid w:val="009510DE"/>
    <w:rsid w:val="009777B4"/>
    <w:rsid w:val="009A070C"/>
    <w:rsid w:val="009E6071"/>
    <w:rsid w:val="009F3D30"/>
    <w:rsid w:val="00A00DA9"/>
    <w:rsid w:val="00A01D21"/>
    <w:rsid w:val="00A17013"/>
    <w:rsid w:val="00A43A71"/>
    <w:rsid w:val="00A454B5"/>
    <w:rsid w:val="00A54333"/>
    <w:rsid w:val="00A60070"/>
    <w:rsid w:val="00A648CF"/>
    <w:rsid w:val="00A67705"/>
    <w:rsid w:val="00AE7DB7"/>
    <w:rsid w:val="00B22A72"/>
    <w:rsid w:val="00B428F8"/>
    <w:rsid w:val="00B4540E"/>
    <w:rsid w:val="00B6706D"/>
    <w:rsid w:val="00B80C70"/>
    <w:rsid w:val="00B97DC8"/>
    <w:rsid w:val="00BE5EFC"/>
    <w:rsid w:val="00BF4480"/>
    <w:rsid w:val="00C256FC"/>
    <w:rsid w:val="00C270B8"/>
    <w:rsid w:val="00C300A8"/>
    <w:rsid w:val="00C43523"/>
    <w:rsid w:val="00C64682"/>
    <w:rsid w:val="00C726AD"/>
    <w:rsid w:val="00C96E2D"/>
    <w:rsid w:val="00CA3B57"/>
    <w:rsid w:val="00CE088A"/>
    <w:rsid w:val="00D24517"/>
    <w:rsid w:val="00D327ED"/>
    <w:rsid w:val="00D507B7"/>
    <w:rsid w:val="00D60348"/>
    <w:rsid w:val="00D6553E"/>
    <w:rsid w:val="00D80CF8"/>
    <w:rsid w:val="00DD29EF"/>
    <w:rsid w:val="00DD45EC"/>
    <w:rsid w:val="00E5589B"/>
    <w:rsid w:val="00E72801"/>
    <w:rsid w:val="00E80934"/>
    <w:rsid w:val="00E8567C"/>
    <w:rsid w:val="00E94727"/>
    <w:rsid w:val="00E957E4"/>
    <w:rsid w:val="00ED5BA9"/>
    <w:rsid w:val="00EE352A"/>
    <w:rsid w:val="00EE4AE4"/>
    <w:rsid w:val="00F3361C"/>
    <w:rsid w:val="00F34481"/>
    <w:rsid w:val="00FB5C32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5E78A63-A4EC-4CD4-9E42-DDAF34A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9639"/>
      </w:tabs>
      <w:spacing w:after="100" w:line="300" w:lineRule="atLeast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8113-6F2C-49EC-9DD4-500D1D9A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Liz Clampit</cp:lastModifiedBy>
  <cp:revision>2</cp:revision>
  <cp:lastPrinted>2019-09-09T06:34:00Z</cp:lastPrinted>
  <dcterms:created xsi:type="dcterms:W3CDTF">2022-01-13T23:26:00Z</dcterms:created>
  <dcterms:modified xsi:type="dcterms:W3CDTF">2022-01-13T23:26:00Z</dcterms:modified>
</cp:coreProperties>
</file>