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7" w:type="dxa"/>
        <w:tblLayout w:type="fixed"/>
        <w:tblLook w:val="04A0" w:firstRow="1" w:lastRow="0" w:firstColumn="1" w:lastColumn="0" w:noHBand="0" w:noVBand="1"/>
      </w:tblPr>
      <w:tblGrid>
        <w:gridCol w:w="10457"/>
      </w:tblGrid>
      <w:tr w:rsidR="003606E4" w:rsidRPr="00734230" w14:paraId="57C51B39" w14:textId="77777777" w:rsidTr="00852BF6">
        <w:trPr>
          <w:trHeight w:val="275"/>
        </w:trPr>
        <w:tc>
          <w:tcPr>
            <w:tcW w:w="10457" w:type="dxa"/>
            <w:shd w:val="clear" w:color="auto" w:fill="F04E58"/>
          </w:tcPr>
          <w:p w14:paraId="44F074FE" w14:textId="02359AEE" w:rsidR="003606E4" w:rsidRPr="00734230" w:rsidRDefault="003606E4" w:rsidP="003606E4">
            <w:pPr>
              <w:rPr>
                <w:rFonts w:ascii="Arial" w:hAnsi="Arial" w:cs="Arial"/>
                <w:b/>
                <w:bCs/>
                <w:color w:val="FFFFFF" w:themeColor="background1"/>
              </w:rPr>
            </w:pPr>
            <w:bookmarkStart w:id="0" w:name="_Hlk35444965"/>
          </w:p>
        </w:tc>
      </w:tr>
    </w:tbl>
    <w:bookmarkEnd w:id="0"/>
    <w:p w14:paraId="7062C7A8" w14:textId="3966811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070223E5" wp14:editId="4B6E5B6F">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7F5A3942"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08669AD8" w14:textId="77777777" w:rsidTr="00EE04F0">
        <w:trPr>
          <w:trHeight w:val="425"/>
        </w:trPr>
        <w:tc>
          <w:tcPr>
            <w:tcW w:w="2544" w:type="dxa"/>
            <w:vAlign w:val="center"/>
          </w:tcPr>
          <w:p w14:paraId="40FE5B6F" w14:textId="298D29FF"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79067941" w14:textId="7BB44DEB" w:rsidR="003606E4" w:rsidRPr="00AB3139" w:rsidRDefault="0007458C" w:rsidP="003606E4">
            <w:pPr>
              <w:rPr>
                <w:rFonts w:ascii="Arial" w:hAnsi="Arial" w:cs="Arial"/>
                <w:b/>
                <w:bCs/>
              </w:rPr>
            </w:pPr>
            <w:r>
              <w:rPr>
                <w:rFonts w:ascii="Arial" w:hAnsi="Arial" w:cs="Arial"/>
                <w:b/>
                <w:sz w:val="24"/>
                <w:szCs w:val="24"/>
              </w:rPr>
              <w:t xml:space="preserve">Analyst, </w:t>
            </w:r>
            <w:bookmarkStart w:id="1" w:name="_Hlk26429649"/>
            <w:r>
              <w:rPr>
                <w:rFonts w:ascii="Arial" w:hAnsi="Arial" w:cs="Arial"/>
                <w:b/>
                <w:sz w:val="24"/>
                <w:szCs w:val="24"/>
              </w:rPr>
              <w:t>Markets Risk and Structuring</w:t>
            </w:r>
            <w:bookmarkEnd w:id="1"/>
          </w:p>
        </w:tc>
      </w:tr>
      <w:tr w:rsidR="003606E4" w:rsidRPr="00734230" w14:paraId="5D4F9688" w14:textId="77777777" w:rsidTr="00EE04F0">
        <w:trPr>
          <w:trHeight w:val="425"/>
        </w:trPr>
        <w:tc>
          <w:tcPr>
            <w:tcW w:w="2544" w:type="dxa"/>
            <w:vAlign w:val="center"/>
          </w:tcPr>
          <w:p w14:paraId="1355C893"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5CFC7CE0" w14:textId="36EBC384" w:rsidR="003606E4" w:rsidRPr="00734230" w:rsidRDefault="0007458C" w:rsidP="003606E4">
            <w:pPr>
              <w:rPr>
                <w:rFonts w:ascii="Arial" w:hAnsi="Arial" w:cs="Arial"/>
              </w:rPr>
            </w:pPr>
            <w:r w:rsidRPr="0007458C">
              <w:rPr>
                <w:rFonts w:ascii="Arial" w:eastAsia="Times New Roman" w:hAnsi="Arial" w:cs="Arial"/>
                <w:b/>
                <w:sz w:val="24"/>
                <w:szCs w:val="24"/>
                <w:lang w:eastAsia="en-AU"/>
              </w:rPr>
              <w:t>Business</w:t>
            </w:r>
          </w:p>
        </w:tc>
      </w:tr>
      <w:tr w:rsidR="003606E4" w:rsidRPr="00734230" w14:paraId="76CD7C6D" w14:textId="77777777" w:rsidTr="00EE04F0">
        <w:trPr>
          <w:trHeight w:val="425"/>
        </w:trPr>
        <w:tc>
          <w:tcPr>
            <w:tcW w:w="2544" w:type="dxa"/>
            <w:vAlign w:val="center"/>
          </w:tcPr>
          <w:p w14:paraId="514ED498" w14:textId="20AF6FE9"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583EA85A" w14:textId="1F30A2B3" w:rsidR="003606E4" w:rsidRPr="00734230" w:rsidRDefault="0007458C" w:rsidP="003606E4">
            <w:pPr>
              <w:rPr>
                <w:rFonts w:ascii="Arial" w:hAnsi="Arial" w:cs="Arial"/>
              </w:rPr>
            </w:pPr>
            <w:r w:rsidRPr="0066420F">
              <w:rPr>
                <w:rFonts w:ascii="Arial" w:hAnsi="Arial" w:cs="Arial"/>
                <w:b/>
                <w:sz w:val="24"/>
                <w:szCs w:val="24"/>
              </w:rPr>
              <w:t>Financial Markets</w:t>
            </w:r>
            <w:r>
              <w:rPr>
                <w:rFonts w:ascii="Arial" w:hAnsi="Arial" w:cs="Arial"/>
                <w:b/>
                <w:sz w:val="24"/>
                <w:szCs w:val="24"/>
              </w:rPr>
              <w:t xml:space="preserve"> &amp; Business Solutions</w:t>
            </w:r>
          </w:p>
        </w:tc>
      </w:tr>
      <w:tr w:rsidR="003606E4" w:rsidRPr="00734230" w14:paraId="14E9FD0E" w14:textId="77777777" w:rsidTr="00EE04F0">
        <w:trPr>
          <w:trHeight w:val="425"/>
        </w:trPr>
        <w:tc>
          <w:tcPr>
            <w:tcW w:w="2544" w:type="dxa"/>
            <w:vAlign w:val="center"/>
          </w:tcPr>
          <w:p w14:paraId="442B6BD7"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50D4F5E4" w14:textId="1928ED2B" w:rsidR="003606E4" w:rsidRPr="00734230" w:rsidRDefault="003606E4" w:rsidP="003606E4">
            <w:pPr>
              <w:rPr>
                <w:rFonts w:ascii="Arial" w:hAnsi="Arial" w:cs="Arial"/>
              </w:rPr>
            </w:pPr>
            <w:r w:rsidRPr="00734230">
              <w:rPr>
                <w:rFonts w:ascii="Arial" w:hAnsi="Arial" w:cs="Arial"/>
              </w:rPr>
              <w:t>No</w:t>
            </w:r>
          </w:p>
        </w:tc>
      </w:tr>
    </w:tbl>
    <w:p w14:paraId="301E4E14" w14:textId="0005D35F" w:rsidR="003606E4" w:rsidRPr="00734230" w:rsidRDefault="003606E4" w:rsidP="00E5307F">
      <w:pPr>
        <w:spacing w:after="0"/>
        <w:rPr>
          <w:rFonts w:ascii="Arial" w:hAnsi="Arial" w:cs="Arial"/>
          <w:sz w:val="10"/>
          <w:szCs w:val="10"/>
        </w:rPr>
      </w:pPr>
    </w:p>
    <w:p w14:paraId="77A71CC9"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23B9FD97" w14:textId="77777777" w:rsidTr="00734230">
        <w:trPr>
          <w:trHeight w:val="272"/>
        </w:trPr>
        <w:tc>
          <w:tcPr>
            <w:tcW w:w="10456" w:type="dxa"/>
            <w:shd w:val="clear" w:color="auto" w:fill="50003A"/>
          </w:tcPr>
          <w:p w14:paraId="03C12520" w14:textId="43538F23"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08EC4864" w14:textId="77777777" w:rsidTr="00F728B1">
        <w:trPr>
          <w:trHeight w:val="905"/>
        </w:trPr>
        <w:tc>
          <w:tcPr>
            <w:tcW w:w="10456" w:type="dxa"/>
          </w:tcPr>
          <w:p w14:paraId="31424FD7"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57FDB79B" w14:textId="77777777" w:rsidR="00992E1C" w:rsidRPr="00734230" w:rsidRDefault="00992E1C" w:rsidP="00F728B1">
            <w:pPr>
              <w:spacing w:line="259" w:lineRule="auto"/>
              <w:jc w:val="both"/>
              <w:rPr>
                <w:rFonts w:ascii="Arial" w:hAnsi="Arial" w:cs="Arial"/>
                <w:sz w:val="10"/>
                <w:szCs w:val="10"/>
              </w:rPr>
            </w:pPr>
          </w:p>
          <w:p w14:paraId="3B79A09B"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44133858" w14:textId="77777777" w:rsidR="00992E1C" w:rsidRPr="00734230" w:rsidRDefault="00992E1C" w:rsidP="00F728B1">
            <w:pPr>
              <w:jc w:val="both"/>
              <w:rPr>
                <w:rFonts w:ascii="Arial" w:hAnsi="Arial" w:cs="Arial"/>
                <w:sz w:val="10"/>
                <w:szCs w:val="10"/>
              </w:rPr>
            </w:pPr>
          </w:p>
          <w:p w14:paraId="3065603C"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3C29B696" w14:textId="77777777" w:rsidR="00992E1C" w:rsidRPr="00734230" w:rsidRDefault="00992E1C" w:rsidP="00F728B1">
            <w:pPr>
              <w:jc w:val="both"/>
              <w:rPr>
                <w:rFonts w:ascii="Arial" w:hAnsi="Arial" w:cs="Arial"/>
                <w:sz w:val="10"/>
                <w:szCs w:val="10"/>
              </w:rPr>
            </w:pPr>
          </w:p>
          <w:p w14:paraId="274E7BB3"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44FE6A9C" w14:textId="77777777" w:rsidR="00992E1C" w:rsidRPr="00734230" w:rsidRDefault="00992E1C" w:rsidP="00E5307F">
      <w:pPr>
        <w:spacing w:after="0"/>
        <w:rPr>
          <w:rFonts w:ascii="Arial" w:hAnsi="Arial" w:cs="Arial"/>
          <w:sz w:val="10"/>
          <w:szCs w:val="10"/>
        </w:rPr>
      </w:pPr>
    </w:p>
    <w:p w14:paraId="13B99839"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2" w:name="_Hlk35444989"/>
    </w:p>
    <w:tbl>
      <w:tblPr>
        <w:tblStyle w:val="TableGrid"/>
        <w:tblW w:w="10457" w:type="dxa"/>
        <w:tblLook w:val="04A0" w:firstRow="1" w:lastRow="0" w:firstColumn="1" w:lastColumn="0" w:noHBand="0" w:noVBand="1"/>
      </w:tblPr>
      <w:tblGrid>
        <w:gridCol w:w="10457"/>
      </w:tblGrid>
      <w:tr w:rsidR="003606E4" w:rsidRPr="00734230" w14:paraId="191E1F5A" w14:textId="77777777" w:rsidTr="00852BF6">
        <w:trPr>
          <w:trHeight w:val="275"/>
        </w:trPr>
        <w:tc>
          <w:tcPr>
            <w:tcW w:w="10457" w:type="dxa"/>
            <w:shd w:val="clear" w:color="auto" w:fill="F04E58"/>
          </w:tcPr>
          <w:p w14:paraId="7DB16289" w14:textId="61083A83"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2"/>
    </w:tbl>
    <w:p w14:paraId="6FA2CBE4" w14:textId="77777777" w:rsidR="003606E4" w:rsidRPr="00734230" w:rsidRDefault="003606E4" w:rsidP="00E5307F">
      <w:pPr>
        <w:spacing w:after="0"/>
        <w:rPr>
          <w:rFonts w:ascii="Arial" w:hAnsi="Arial" w:cs="Arial"/>
          <w:sz w:val="10"/>
          <w:szCs w:val="10"/>
        </w:rPr>
      </w:pPr>
    </w:p>
    <w:p w14:paraId="029C5E80"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715CEBE2" w14:textId="77777777" w:rsidTr="00734230">
        <w:trPr>
          <w:trHeight w:val="237"/>
        </w:trPr>
        <w:tc>
          <w:tcPr>
            <w:tcW w:w="10456" w:type="dxa"/>
            <w:shd w:val="clear" w:color="auto" w:fill="50003A"/>
          </w:tcPr>
          <w:p w14:paraId="4994ED35" w14:textId="33AA9726" w:rsidR="00CC02CB" w:rsidRPr="00102CD8" w:rsidRDefault="0096421D" w:rsidP="00E5307F">
            <w:pPr>
              <w:rPr>
                <w:rFonts w:ascii="Arial" w:hAnsi="Arial" w:cs="Arial"/>
                <w:b/>
                <w:bCs/>
              </w:rPr>
            </w:pPr>
            <w:r w:rsidRPr="00102CD8">
              <w:rPr>
                <w:rFonts w:ascii="Arial" w:hAnsi="Arial" w:cs="Arial"/>
                <w:b/>
                <w:bCs/>
                <w:color w:val="FFFFFF" w:themeColor="background1"/>
              </w:rPr>
              <w:t>Your division, your team</w:t>
            </w:r>
          </w:p>
        </w:tc>
      </w:tr>
      <w:tr w:rsidR="00BA33DC" w:rsidRPr="00734230" w14:paraId="47F422B6" w14:textId="77777777" w:rsidTr="003606E4">
        <w:trPr>
          <w:trHeight w:val="2835"/>
        </w:trPr>
        <w:tc>
          <w:tcPr>
            <w:tcW w:w="10456" w:type="dxa"/>
          </w:tcPr>
          <w:p w14:paraId="38DCBC75" w14:textId="4BD1917A" w:rsidR="0007458C" w:rsidRPr="00102CD8" w:rsidRDefault="0007458C" w:rsidP="0007458C">
            <w:pPr>
              <w:spacing w:before="30" w:after="150"/>
              <w:ind w:right="241"/>
              <w:contextualSpacing/>
              <w:rPr>
                <w:rFonts w:ascii="Arial" w:eastAsia="Calibri" w:hAnsi="Arial" w:cs="Arial"/>
                <w:color w:val="000000"/>
                <w:bdr w:val="nil"/>
                <w:lang w:val="en-US"/>
              </w:rPr>
            </w:pPr>
            <w:r w:rsidRPr="00102CD8">
              <w:rPr>
                <w:rFonts w:ascii="Arial" w:eastAsia="Calibri" w:hAnsi="Arial" w:cs="Arial"/>
                <w:color w:val="000000"/>
                <w:bdr w:val="nil"/>
                <w:lang w:val="en-US"/>
              </w:rPr>
              <w:t>The Business Division’s purpose is to help our business customers write their own amazing stories.</w:t>
            </w:r>
          </w:p>
          <w:p w14:paraId="56CB6326" w14:textId="77777777" w:rsidR="0007458C" w:rsidRPr="00102CD8" w:rsidRDefault="0007458C" w:rsidP="0007458C">
            <w:pPr>
              <w:spacing w:before="30" w:after="150"/>
              <w:ind w:right="241"/>
              <w:contextualSpacing/>
              <w:rPr>
                <w:rFonts w:ascii="Arial" w:eastAsia="Calibri" w:hAnsi="Arial" w:cs="Arial"/>
                <w:b/>
                <w:bCs/>
                <w:color w:val="000000"/>
                <w:u w:val="single" w:color="000000"/>
                <w:bdr w:val="nil"/>
                <w:lang w:val="en-US"/>
              </w:rPr>
            </w:pPr>
          </w:p>
          <w:p w14:paraId="3AD7C6A5" w14:textId="0736A7AE" w:rsidR="0007458C" w:rsidRPr="00102CD8" w:rsidRDefault="0007458C" w:rsidP="0007458C">
            <w:pPr>
              <w:spacing w:before="30" w:after="150"/>
              <w:ind w:right="241"/>
              <w:contextualSpacing/>
              <w:rPr>
                <w:rFonts w:ascii="Arial" w:eastAsia="Calibri" w:hAnsi="Arial" w:cs="Arial"/>
                <w:b/>
                <w:bCs/>
                <w:color w:val="000000"/>
                <w:u w:val="single" w:color="000000"/>
                <w:bdr w:val="nil"/>
                <w:lang w:val="en-US"/>
              </w:rPr>
            </w:pPr>
            <w:r w:rsidRPr="00102CD8">
              <w:rPr>
                <w:rFonts w:ascii="Arial" w:eastAsia="Calibri" w:hAnsi="Arial" w:cs="Arial"/>
                <w:b/>
                <w:bCs/>
                <w:color w:val="000000"/>
                <w:u w:val="single" w:color="000000"/>
                <w:bdr w:val="nil"/>
                <w:lang w:val="en-US"/>
              </w:rPr>
              <w:t>Financial Markets</w:t>
            </w:r>
          </w:p>
          <w:p w14:paraId="02EC799E" w14:textId="77777777" w:rsidR="0007458C" w:rsidRPr="00102CD8" w:rsidRDefault="0007458C" w:rsidP="0007458C">
            <w:pPr>
              <w:spacing w:before="30" w:after="150"/>
              <w:ind w:right="241"/>
              <w:contextualSpacing/>
              <w:rPr>
                <w:rFonts w:ascii="Arial" w:eastAsia="Times New Roman" w:hAnsi="Arial" w:cs="Arial"/>
                <w:color w:val="000000"/>
                <w:u w:color="000000"/>
              </w:rPr>
            </w:pPr>
          </w:p>
          <w:p w14:paraId="4502556D" w14:textId="77777777" w:rsidR="0007458C" w:rsidRPr="00102CD8" w:rsidRDefault="0007458C" w:rsidP="0007458C">
            <w:pPr>
              <w:spacing w:before="30" w:after="150"/>
              <w:ind w:right="241"/>
              <w:contextualSpacing/>
              <w:rPr>
                <w:rFonts w:ascii="Arial" w:eastAsia="Times New Roman" w:hAnsi="Arial" w:cs="Arial"/>
                <w:color w:val="000000"/>
                <w:u w:color="000000"/>
              </w:rPr>
            </w:pPr>
            <w:r w:rsidRPr="00102CD8">
              <w:rPr>
                <w:rFonts w:ascii="Arial" w:eastAsia="Times New Roman" w:hAnsi="Arial" w:cs="Arial"/>
                <w:color w:val="000000"/>
                <w:u w:color="000000"/>
              </w:rPr>
              <w:t>Financial Markets is the specialised area that delivers foreign exchange and interest rate risk management solutions and money market investments to the bank’s customer base.  Analyst, Markets Risk and Structuring, Financial Markets is a specialist position.</w:t>
            </w:r>
          </w:p>
          <w:p w14:paraId="059404D4" w14:textId="77777777" w:rsidR="0007458C" w:rsidRPr="00102CD8" w:rsidRDefault="0007458C" w:rsidP="0007458C">
            <w:pPr>
              <w:spacing w:before="30" w:after="150"/>
              <w:contextualSpacing/>
              <w:rPr>
                <w:rFonts w:ascii="Arial" w:eastAsia="Times New Roman" w:hAnsi="Arial" w:cs="Arial"/>
                <w:color w:val="000000"/>
                <w:u w:color="000000"/>
              </w:rPr>
            </w:pPr>
          </w:p>
          <w:p w14:paraId="1A89F569" w14:textId="77777777" w:rsidR="0007458C" w:rsidRPr="00102CD8" w:rsidRDefault="0007458C" w:rsidP="0007458C">
            <w:pPr>
              <w:spacing w:before="30" w:after="150"/>
              <w:contextualSpacing/>
              <w:rPr>
                <w:rFonts w:ascii="Arial" w:eastAsia="Times New Roman" w:hAnsi="Arial" w:cs="Arial"/>
                <w:color w:val="000000"/>
                <w:u w:color="000000"/>
              </w:rPr>
            </w:pPr>
            <w:r w:rsidRPr="00102CD8">
              <w:rPr>
                <w:rFonts w:ascii="Arial" w:eastAsia="Times New Roman" w:hAnsi="Arial" w:cs="Arial"/>
                <w:color w:val="000000"/>
                <w:u w:color="000000"/>
              </w:rPr>
              <w:t>Financial Markets assists our consumer and business customers navigate the significant volatility of changes in financial markets asset prices and the impact that volatility has on customer financial goals.</w:t>
            </w:r>
          </w:p>
          <w:p w14:paraId="3998800E" w14:textId="77777777" w:rsidR="0007458C" w:rsidRPr="00102CD8" w:rsidRDefault="0007458C" w:rsidP="0007458C">
            <w:pPr>
              <w:pBdr>
                <w:top w:val="nil"/>
                <w:left w:val="nil"/>
                <w:bottom w:val="nil"/>
                <w:right w:val="nil"/>
                <w:between w:val="nil"/>
                <w:bar w:val="nil"/>
              </w:pBdr>
              <w:spacing w:before="30" w:after="150"/>
              <w:ind w:left="720"/>
              <w:contextualSpacing/>
              <w:rPr>
                <w:rFonts w:ascii="Arial" w:eastAsia="Times New Roman" w:hAnsi="Arial" w:cs="Arial"/>
                <w:color w:val="000000"/>
                <w:u w:color="000000"/>
                <w:bdr w:val="nil"/>
                <w:lang w:val="en-US"/>
              </w:rPr>
            </w:pPr>
          </w:p>
          <w:p w14:paraId="2A757ACB" w14:textId="77777777" w:rsidR="0007458C" w:rsidRPr="00102CD8" w:rsidRDefault="0007458C" w:rsidP="0007458C">
            <w:pPr>
              <w:spacing w:before="30" w:after="150"/>
              <w:contextualSpacing/>
              <w:rPr>
                <w:rFonts w:ascii="Arial" w:eastAsia="Times New Roman" w:hAnsi="Arial" w:cs="Arial"/>
                <w:color w:val="000000"/>
                <w:u w:color="000000"/>
              </w:rPr>
            </w:pPr>
            <w:r w:rsidRPr="00102CD8">
              <w:rPr>
                <w:rFonts w:ascii="Arial" w:eastAsia="Times New Roman" w:hAnsi="Arial" w:cs="Arial"/>
                <w:color w:val="000000"/>
                <w:u w:color="000000"/>
              </w:rPr>
              <w:t xml:space="preserve">Financial Markets supports the funding of the group’s balance sheet growth and net interest margin performance on its liabilities through directly managing and growing the group’s portfolio of money market customers which includes entities such as listed corporates, fund managers, federal and state government authorities, councils, high net worth individuals and universities.  Further, Financial Markets prices and manages any large deposits sourced via the network. </w:t>
            </w:r>
          </w:p>
          <w:p w14:paraId="77F49230" w14:textId="77777777" w:rsidR="0007458C" w:rsidRPr="00102CD8" w:rsidRDefault="0007458C" w:rsidP="0007458C">
            <w:pPr>
              <w:spacing w:before="30" w:after="150"/>
              <w:contextualSpacing/>
              <w:rPr>
                <w:rFonts w:ascii="Arial" w:eastAsia="Times New Roman" w:hAnsi="Arial" w:cs="Arial"/>
                <w:color w:val="000000"/>
                <w:u w:color="000000"/>
              </w:rPr>
            </w:pPr>
          </w:p>
          <w:p w14:paraId="7C993079" w14:textId="77777777" w:rsidR="0007458C" w:rsidRPr="00102CD8" w:rsidRDefault="0007458C" w:rsidP="0007458C">
            <w:pPr>
              <w:spacing w:before="30" w:after="150"/>
              <w:ind w:right="261"/>
              <w:contextualSpacing/>
              <w:rPr>
                <w:rFonts w:ascii="Arial" w:eastAsia="Times New Roman" w:hAnsi="Arial" w:cs="Arial"/>
                <w:color w:val="000000"/>
                <w:u w:color="000000"/>
              </w:rPr>
            </w:pPr>
            <w:r w:rsidRPr="00102CD8">
              <w:rPr>
                <w:rFonts w:ascii="Arial" w:eastAsia="Times New Roman" w:hAnsi="Arial" w:cs="Arial"/>
                <w:color w:val="000000"/>
                <w:u w:color="000000"/>
              </w:rPr>
              <w:t>Financial Markets provides a range of specialist services to the Bank’s customers:</w:t>
            </w:r>
          </w:p>
          <w:p w14:paraId="1BE587AC" w14:textId="3B1A4878" w:rsidR="0007458C" w:rsidRPr="00102CD8" w:rsidRDefault="0007458C" w:rsidP="0007458C">
            <w:pPr>
              <w:pStyle w:val="ListParagraph"/>
              <w:numPr>
                <w:ilvl w:val="0"/>
                <w:numId w:val="6"/>
              </w:numPr>
              <w:spacing w:before="30" w:after="150"/>
              <w:ind w:right="261"/>
              <w:rPr>
                <w:rFonts w:ascii="Arial" w:eastAsia="Times New Roman" w:hAnsi="Arial" w:cs="Arial"/>
                <w:color w:val="000000"/>
                <w:u w:color="000000"/>
              </w:rPr>
            </w:pPr>
            <w:r w:rsidRPr="00102CD8">
              <w:rPr>
                <w:rFonts w:ascii="Arial" w:eastAsia="Times New Roman" w:hAnsi="Arial" w:cs="Arial"/>
                <w:color w:val="000000"/>
                <w:u w:color="000000"/>
              </w:rPr>
              <w:t>FX services for the consumers an</w:t>
            </w:r>
            <w:r w:rsidR="00163488">
              <w:rPr>
                <w:rFonts w:ascii="Arial" w:eastAsia="Times New Roman" w:hAnsi="Arial" w:cs="Arial"/>
                <w:color w:val="000000"/>
                <w:u w:color="000000"/>
              </w:rPr>
              <w:t>d businesses</w:t>
            </w:r>
          </w:p>
          <w:p w14:paraId="4F9292BF" w14:textId="0254BB47" w:rsidR="0007458C" w:rsidRPr="00102CD8" w:rsidRDefault="0007458C" w:rsidP="0007458C">
            <w:pPr>
              <w:pStyle w:val="ListParagraph"/>
              <w:numPr>
                <w:ilvl w:val="0"/>
                <w:numId w:val="6"/>
              </w:numPr>
              <w:spacing w:before="30" w:after="150"/>
              <w:ind w:right="261"/>
              <w:rPr>
                <w:rFonts w:ascii="Arial" w:eastAsia="Times New Roman" w:hAnsi="Arial" w:cs="Arial"/>
                <w:color w:val="000000"/>
                <w:u w:color="000000"/>
              </w:rPr>
            </w:pPr>
            <w:r w:rsidRPr="00102CD8">
              <w:rPr>
                <w:rFonts w:ascii="Arial" w:eastAsia="Times New Roman" w:hAnsi="Arial" w:cs="Arial"/>
                <w:color w:val="000000"/>
                <w:u w:color="000000"/>
              </w:rPr>
              <w:t xml:space="preserve">Essential solutions for our commercial customers to enable our business banking team to grow the group’s portfolio of trading business and broaden our commercial lending portfolio through attracting and retaining non-property commercial clients.  </w:t>
            </w:r>
          </w:p>
          <w:p w14:paraId="45148B3E" w14:textId="77777777" w:rsidR="0007458C" w:rsidRPr="00102CD8" w:rsidRDefault="0007458C" w:rsidP="0007458C">
            <w:pPr>
              <w:spacing w:before="30" w:after="150"/>
              <w:ind w:right="261"/>
              <w:rPr>
                <w:rFonts w:ascii="Arial" w:eastAsia="Times New Roman" w:hAnsi="Arial" w:cs="Arial"/>
                <w:color w:val="000000"/>
                <w:u w:color="000000"/>
              </w:rPr>
            </w:pPr>
            <w:r w:rsidRPr="00102CD8">
              <w:rPr>
                <w:rFonts w:ascii="Arial" w:eastAsia="Times New Roman" w:hAnsi="Arial" w:cs="Arial"/>
                <w:color w:val="000000"/>
                <w:u w:color="000000"/>
              </w:rPr>
              <w:t>Financial Markets works closely with other parts of the Business Division as well as Consumer banking, Third Party, Wealth, Rural and other internal and external networks to achieve shared outcomes.</w:t>
            </w:r>
          </w:p>
          <w:p w14:paraId="402EABE8" w14:textId="7A5AFB08" w:rsidR="0007458C" w:rsidRPr="00102CD8" w:rsidRDefault="0007458C" w:rsidP="0007458C">
            <w:pPr>
              <w:spacing w:before="30" w:after="150"/>
              <w:contextualSpacing/>
              <w:rPr>
                <w:rFonts w:ascii="Arial" w:eastAsia="Times New Roman" w:hAnsi="Arial" w:cs="Arial"/>
                <w:color w:val="000000"/>
                <w:u w:color="000000"/>
              </w:rPr>
            </w:pPr>
            <w:r w:rsidRPr="00102CD8">
              <w:rPr>
                <w:rFonts w:ascii="Arial" w:eastAsia="Times New Roman" w:hAnsi="Arial" w:cs="Arial"/>
                <w:color w:val="000000"/>
                <w:u w:color="000000"/>
              </w:rPr>
              <w:t>The Financial Markets business has a revenue focus with its core products measured via profit and loss and customer satisfaction and engagement measures.</w:t>
            </w:r>
          </w:p>
          <w:p w14:paraId="5985A9B6" w14:textId="77777777" w:rsidR="0007458C" w:rsidRPr="00102CD8" w:rsidRDefault="0007458C" w:rsidP="0007458C">
            <w:pPr>
              <w:spacing w:before="30" w:after="150"/>
              <w:contextualSpacing/>
              <w:rPr>
                <w:rFonts w:ascii="Arial" w:eastAsia="Times New Roman" w:hAnsi="Arial" w:cs="Arial"/>
                <w:color w:val="000000"/>
                <w:u w:color="000000"/>
              </w:rPr>
            </w:pPr>
          </w:p>
          <w:p w14:paraId="77CCA16D" w14:textId="77777777" w:rsidR="0007458C" w:rsidRPr="00102CD8" w:rsidRDefault="0007458C" w:rsidP="0007458C">
            <w:pPr>
              <w:spacing w:before="30" w:after="150"/>
              <w:contextualSpacing/>
              <w:rPr>
                <w:rFonts w:ascii="Arial" w:eastAsia="Times New Roman" w:hAnsi="Arial" w:cs="Arial"/>
                <w:color w:val="000000"/>
                <w:u w:color="000000"/>
              </w:rPr>
            </w:pPr>
            <w:r w:rsidRPr="00102CD8">
              <w:rPr>
                <w:rFonts w:ascii="Arial" w:eastAsia="Times New Roman" w:hAnsi="Arial" w:cs="Arial"/>
                <w:color w:val="000000"/>
                <w:u w:color="000000"/>
              </w:rPr>
              <w:t>Financial Markets manages all FX exposures on behalf of the organisation.</w:t>
            </w:r>
          </w:p>
          <w:p w14:paraId="0059CB89" w14:textId="77777777" w:rsidR="0007458C" w:rsidRPr="00102CD8" w:rsidRDefault="0007458C" w:rsidP="0007458C">
            <w:pPr>
              <w:spacing w:before="30" w:after="150"/>
              <w:contextualSpacing/>
              <w:rPr>
                <w:rFonts w:ascii="Arial" w:eastAsia="Times New Roman" w:hAnsi="Arial" w:cs="Arial"/>
                <w:color w:val="000000"/>
                <w:u w:color="000000"/>
              </w:rPr>
            </w:pPr>
          </w:p>
          <w:p w14:paraId="11215CDC" w14:textId="0FE200D8" w:rsidR="00702AAC" w:rsidRPr="00102CD8" w:rsidRDefault="0007458C" w:rsidP="0007458C">
            <w:pPr>
              <w:rPr>
                <w:rFonts w:ascii="Arial" w:hAnsi="Arial" w:cs="Arial"/>
              </w:rPr>
            </w:pPr>
            <w:r w:rsidRPr="00102CD8">
              <w:rPr>
                <w:rFonts w:ascii="Arial" w:eastAsia="Times New Roman" w:hAnsi="Arial" w:cs="Arial"/>
                <w:color w:val="000000"/>
                <w:u w:color="000000"/>
              </w:rPr>
              <w:t xml:space="preserve">Financial Markets uses complex financial instruments including derivatives to deliver positive outcomes for our customers </w:t>
            </w:r>
            <w:proofErr w:type="gramStart"/>
            <w:r w:rsidRPr="00102CD8">
              <w:rPr>
                <w:rFonts w:ascii="Arial" w:eastAsia="Times New Roman" w:hAnsi="Arial" w:cs="Arial"/>
                <w:color w:val="000000"/>
                <w:u w:color="000000"/>
              </w:rPr>
              <w:t>and also</w:t>
            </w:r>
            <w:proofErr w:type="gramEnd"/>
            <w:r w:rsidRPr="00102CD8">
              <w:rPr>
                <w:rFonts w:ascii="Arial" w:eastAsia="Times New Roman" w:hAnsi="Arial" w:cs="Arial"/>
                <w:color w:val="000000"/>
                <w:u w:color="000000"/>
              </w:rPr>
              <w:t xml:space="preserve"> to manage the risks that result from those customer driven flows directly with professional interbank counterparts</w:t>
            </w:r>
          </w:p>
        </w:tc>
      </w:tr>
    </w:tbl>
    <w:p w14:paraId="0D0A1DDC" w14:textId="77777777" w:rsidR="003606E4" w:rsidRPr="00734230" w:rsidRDefault="003606E4" w:rsidP="00E5307F">
      <w:pPr>
        <w:spacing w:after="0"/>
        <w:rPr>
          <w:rFonts w:ascii="Arial" w:hAnsi="Arial" w:cs="Arial"/>
          <w:sz w:val="10"/>
          <w:szCs w:val="10"/>
        </w:rPr>
      </w:pPr>
    </w:p>
    <w:p w14:paraId="51F12CA4"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2AEE0A23" w14:textId="77777777" w:rsidTr="00734230">
        <w:trPr>
          <w:trHeight w:val="272"/>
        </w:trPr>
        <w:tc>
          <w:tcPr>
            <w:tcW w:w="10456" w:type="dxa"/>
            <w:shd w:val="clear" w:color="auto" w:fill="50003A"/>
          </w:tcPr>
          <w:p w14:paraId="005DD62C" w14:textId="43E20BF2"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102CD8" w14:paraId="3AC0E12A" w14:textId="77777777" w:rsidTr="003606E4">
        <w:trPr>
          <w:trHeight w:val="2835"/>
        </w:trPr>
        <w:tc>
          <w:tcPr>
            <w:tcW w:w="10456" w:type="dxa"/>
          </w:tcPr>
          <w:p w14:paraId="505C0BE0" w14:textId="77777777" w:rsidR="00DA489D" w:rsidRPr="00DA489D" w:rsidRDefault="00DA489D" w:rsidP="00DA489D">
            <w:pPr>
              <w:pBdr>
                <w:top w:val="nil"/>
                <w:left w:val="nil"/>
                <w:bottom w:val="nil"/>
                <w:right w:val="nil"/>
                <w:between w:val="nil"/>
                <w:bar w:val="nil"/>
              </w:pBdr>
              <w:spacing w:before="100" w:after="100"/>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 xml:space="preserve">The Analyst, Markets Risk and Structuring supports the Financial Markets business unit in delivering on its purpose of: </w:t>
            </w:r>
          </w:p>
          <w:p w14:paraId="76406052" w14:textId="77777777" w:rsidR="00DA489D" w:rsidRPr="00DA489D" w:rsidRDefault="00DA489D" w:rsidP="00DA489D">
            <w:pPr>
              <w:numPr>
                <w:ilvl w:val="0"/>
                <w:numId w:val="7"/>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Enabling the group’s customers to manage their interest rate and currency risk, hedge payment and funding needs, buy and sell foreign currency and manage their investment funds</w:t>
            </w:r>
          </w:p>
          <w:p w14:paraId="1EBC22BA" w14:textId="77777777" w:rsidR="00DA489D" w:rsidRPr="00DA489D" w:rsidRDefault="00DA489D" w:rsidP="00DA489D">
            <w:pPr>
              <w:numPr>
                <w:ilvl w:val="0"/>
                <w:numId w:val="7"/>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fulfilling group obligations in respect to funding balance sheet growth and managing net interest income</w:t>
            </w:r>
          </w:p>
          <w:p w14:paraId="328CF3A4" w14:textId="77777777" w:rsidR="00DA489D" w:rsidRPr="00DA489D" w:rsidRDefault="00DA489D" w:rsidP="00DA489D">
            <w:pPr>
              <w:numPr>
                <w:ilvl w:val="0"/>
                <w:numId w:val="7"/>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 xml:space="preserve">generating strong returns with a relatively small amount of supporting capital, </w:t>
            </w:r>
            <w:proofErr w:type="spellStart"/>
            <w:r w:rsidRPr="00DA489D">
              <w:rPr>
                <w:rFonts w:ascii="Arial" w:eastAsia="Times New Roman" w:hAnsi="Arial" w:cs="Arial"/>
                <w:color w:val="000000"/>
                <w:u w:color="000000"/>
                <w:lang w:eastAsia="en-AU"/>
              </w:rPr>
              <w:t>ie</w:t>
            </w:r>
            <w:proofErr w:type="spellEnd"/>
            <w:r w:rsidRPr="00DA489D">
              <w:rPr>
                <w:rFonts w:ascii="Arial" w:eastAsia="Times New Roman" w:hAnsi="Arial" w:cs="Arial"/>
                <w:color w:val="000000"/>
                <w:u w:color="000000"/>
                <w:lang w:eastAsia="en-AU"/>
              </w:rPr>
              <w:t xml:space="preserve"> high </w:t>
            </w:r>
            <w:proofErr w:type="spellStart"/>
            <w:r w:rsidRPr="00DA489D">
              <w:rPr>
                <w:rFonts w:ascii="Arial" w:eastAsia="Times New Roman" w:hAnsi="Arial" w:cs="Arial"/>
                <w:color w:val="000000"/>
                <w:u w:color="000000"/>
                <w:lang w:eastAsia="en-AU"/>
              </w:rPr>
              <w:t>raroc</w:t>
            </w:r>
            <w:proofErr w:type="spellEnd"/>
          </w:p>
          <w:p w14:paraId="646BABA6" w14:textId="77777777" w:rsidR="00DA489D" w:rsidRPr="00DA489D" w:rsidRDefault="00DA489D" w:rsidP="00DA489D">
            <w:pPr>
              <w:numPr>
                <w:ilvl w:val="0"/>
                <w:numId w:val="7"/>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acting as a business enabler for other parts of the group</w:t>
            </w:r>
          </w:p>
          <w:p w14:paraId="11A4EDAD" w14:textId="77777777" w:rsidR="00DA489D" w:rsidRPr="00DA489D" w:rsidRDefault="00DA489D" w:rsidP="00DA489D">
            <w:pPr>
              <w:numPr>
                <w:ilvl w:val="0"/>
                <w:numId w:val="7"/>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 xml:space="preserve">taking a lead role in customer acquisition, </w:t>
            </w:r>
            <w:proofErr w:type="gramStart"/>
            <w:r w:rsidRPr="00DA489D">
              <w:rPr>
                <w:rFonts w:ascii="Arial" w:eastAsia="Times New Roman" w:hAnsi="Arial" w:cs="Arial"/>
                <w:color w:val="000000"/>
                <w:u w:color="000000"/>
                <w:lang w:eastAsia="en-AU"/>
              </w:rPr>
              <w:t>retention</w:t>
            </w:r>
            <w:proofErr w:type="gramEnd"/>
            <w:r w:rsidRPr="00DA489D">
              <w:rPr>
                <w:rFonts w:ascii="Arial" w:eastAsia="Times New Roman" w:hAnsi="Arial" w:cs="Arial"/>
                <w:color w:val="000000"/>
                <w:u w:color="000000"/>
                <w:lang w:eastAsia="en-AU"/>
              </w:rPr>
              <w:t xml:space="preserve"> and satisfaction strategies</w:t>
            </w:r>
          </w:p>
          <w:p w14:paraId="7F3ECEAD" w14:textId="77777777" w:rsidR="00DA489D" w:rsidRPr="00DA489D" w:rsidRDefault="00DA489D" w:rsidP="00DA489D">
            <w:pPr>
              <w:numPr>
                <w:ilvl w:val="0"/>
                <w:numId w:val="7"/>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managing complex financial risks in accordance with group policy and reputational requirements</w:t>
            </w:r>
          </w:p>
          <w:p w14:paraId="278BB1F8" w14:textId="77777777" w:rsidR="00DA489D" w:rsidRPr="00DA489D" w:rsidRDefault="00DA489D" w:rsidP="00DA489D">
            <w:pPr>
              <w:pBdr>
                <w:top w:val="nil"/>
                <w:left w:val="nil"/>
                <w:bottom w:val="nil"/>
                <w:right w:val="nil"/>
                <w:between w:val="nil"/>
                <w:bar w:val="nil"/>
              </w:pBdr>
              <w:spacing w:before="100" w:after="100"/>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The Analyst, Markets Risk and Structuring is responsible for:</w:t>
            </w:r>
          </w:p>
          <w:p w14:paraId="353738F5"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Understanding and analysing the market, liquidity, regulatory risks delegated to financial markets from ALMAC and other committees for foreign exchange and interest rate risk</w:t>
            </w:r>
          </w:p>
          <w:p w14:paraId="2290DBE2"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Data analysis to support decision making for pricing and management of BEN group’s foreign currency balance sheet (Financial Markets manages all FX risk for the group) and the resultant FX and interest rate and option risks that arise</w:t>
            </w:r>
          </w:p>
          <w:p w14:paraId="2A502E84"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 xml:space="preserve">Analyse market data and apply quantitative analysis methodologies to support decision making </w:t>
            </w:r>
            <w:proofErr w:type="gramStart"/>
            <w:r w:rsidRPr="00DA489D">
              <w:rPr>
                <w:rFonts w:ascii="Arial" w:eastAsia="Times New Roman" w:hAnsi="Arial" w:cs="Arial"/>
                <w:color w:val="000000"/>
                <w:u w:color="000000"/>
                <w:lang w:eastAsia="en-AU"/>
              </w:rPr>
              <w:t>in order to</w:t>
            </w:r>
            <w:proofErr w:type="gramEnd"/>
            <w:r w:rsidRPr="00DA489D">
              <w:rPr>
                <w:rFonts w:ascii="Arial" w:eastAsia="Times New Roman" w:hAnsi="Arial" w:cs="Arial"/>
                <w:color w:val="000000"/>
                <w:u w:color="000000"/>
                <w:lang w:eastAsia="en-AU"/>
              </w:rPr>
              <w:t xml:space="preserve"> optimise groups returns, manage risks and communicate to other risk functions. </w:t>
            </w:r>
          </w:p>
          <w:p w14:paraId="61154762"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Develop and produce reports</w:t>
            </w:r>
          </w:p>
          <w:p w14:paraId="086054BE"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Clearing risk generated by the group or the group’s customers into the market</w:t>
            </w:r>
          </w:p>
          <w:p w14:paraId="729FC434"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Operational risk as it relates to portfolio management</w:t>
            </w:r>
          </w:p>
          <w:p w14:paraId="7636EE28"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 xml:space="preserve">Develop relationships with hedge banks to support the team in managing these key relationships </w:t>
            </w:r>
          </w:p>
          <w:p w14:paraId="345B6AB2"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Analyse information to support the process for centralised clearing and/or altering initial and variation margin requirements as it impacts Financial Markets</w:t>
            </w:r>
          </w:p>
          <w:p w14:paraId="3218F360"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Work to develop technology and delivery including e-customer platforms, interbank dealing platforms, sales function to risk management decentralised platforms</w:t>
            </w:r>
          </w:p>
          <w:p w14:paraId="023D7302" w14:textId="77777777" w:rsidR="00DA489D" w:rsidRPr="00DA489D" w:rsidRDefault="00DA489D" w:rsidP="00DA489D">
            <w:pPr>
              <w:numPr>
                <w:ilvl w:val="0"/>
                <w:numId w:val="8"/>
              </w:numPr>
              <w:pBdr>
                <w:top w:val="nil"/>
                <w:left w:val="nil"/>
                <w:bottom w:val="nil"/>
                <w:right w:val="nil"/>
                <w:between w:val="nil"/>
                <w:bar w:val="nil"/>
              </w:pBdr>
              <w:spacing w:before="100" w:after="100"/>
              <w:contextualSpacing/>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Work to deliver customer centred solutions and strategies to the sales team to allow the sales team to service and deliver to our customer base</w:t>
            </w:r>
          </w:p>
          <w:p w14:paraId="3C5F9AC2" w14:textId="7BF71135" w:rsidR="00FC1548" w:rsidRPr="00102CD8" w:rsidRDefault="00FC1548" w:rsidP="00EA7665">
            <w:pPr>
              <w:pBdr>
                <w:top w:val="nil"/>
                <w:left w:val="nil"/>
                <w:bottom w:val="nil"/>
                <w:right w:val="nil"/>
                <w:between w:val="nil"/>
                <w:bar w:val="nil"/>
              </w:pBdr>
              <w:spacing w:before="100" w:after="100"/>
              <w:ind w:left="720"/>
              <w:contextualSpacing/>
              <w:rPr>
                <w:rFonts w:ascii="Arial" w:hAnsi="Arial" w:cs="Arial"/>
              </w:rPr>
            </w:pPr>
          </w:p>
        </w:tc>
      </w:tr>
    </w:tbl>
    <w:p w14:paraId="220344A6" w14:textId="053E1B60" w:rsidR="00BA33DC" w:rsidRPr="00102CD8" w:rsidRDefault="00BA33DC" w:rsidP="00E5307F">
      <w:pPr>
        <w:spacing w:after="0"/>
        <w:rPr>
          <w:rFonts w:ascii="Arial" w:hAnsi="Arial" w:cs="Arial"/>
        </w:rPr>
      </w:pPr>
    </w:p>
    <w:p w14:paraId="3D1FC687"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2F8CDB9B" w14:textId="77777777" w:rsidTr="00734230">
        <w:trPr>
          <w:trHeight w:val="272"/>
        </w:trPr>
        <w:tc>
          <w:tcPr>
            <w:tcW w:w="10456" w:type="dxa"/>
            <w:shd w:val="clear" w:color="auto" w:fill="50003A"/>
          </w:tcPr>
          <w:p w14:paraId="777DC8CA" w14:textId="2C4A655F"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003C07CF" w14:textId="77777777" w:rsidTr="00B02D04">
        <w:trPr>
          <w:trHeight w:val="1658"/>
        </w:trPr>
        <w:tc>
          <w:tcPr>
            <w:tcW w:w="10456" w:type="dxa"/>
          </w:tcPr>
          <w:p w14:paraId="7D7E380D" w14:textId="77777777" w:rsidR="00DA489D" w:rsidRPr="00DA489D" w:rsidRDefault="00DA489D" w:rsidP="00DA489D">
            <w:pPr>
              <w:pBdr>
                <w:top w:val="nil"/>
                <w:left w:val="nil"/>
                <w:bottom w:val="nil"/>
                <w:right w:val="nil"/>
                <w:between w:val="nil"/>
                <w:bar w:val="nil"/>
              </w:pBdr>
              <w:spacing w:before="100" w:after="100"/>
              <w:rPr>
                <w:rFonts w:ascii="Arial" w:eastAsia="Times New Roman" w:hAnsi="Arial" w:cs="Arial"/>
                <w:color w:val="000000"/>
                <w:u w:color="000000"/>
                <w:lang w:eastAsia="en-AU"/>
              </w:rPr>
            </w:pPr>
            <w:r w:rsidRPr="00DA489D">
              <w:rPr>
                <w:rFonts w:ascii="Arial" w:eastAsia="Times New Roman" w:hAnsi="Arial" w:cs="Arial"/>
                <w:color w:val="000000"/>
                <w:u w:color="000000"/>
                <w:lang w:eastAsia="en-AU"/>
              </w:rPr>
              <w:t>This role reports directly to the Head of Markets Risk and Structuring.</w:t>
            </w:r>
          </w:p>
          <w:p w14:paraId="0EE848C3" w14:textId="5350C214" w:rsidR="00DE5C28" w:rsidRPr="00DA489D" w:rsidRDefault="00DA489D" w:rsidP="00DA489D">
            <w:pPr>
              <w:pBdr>
                <w:top w:val="nil"/>
                <w:left w:val="nil"/>
                <w:bottom w:val="nil"/>
                <w:right w:val="nil"/>
                <w:between w:val="nil"/>
                <w:bar w:val="nil"/>
              </w:pBdr>
              <w:spacing w:before="100" w:after="100"/>
              <w:ind w:right="241"/>
              <w:rPr>
                <w:rFonts w:ascii="Arial" w:eastAsia="Times New Roman" w:hAnsi="Arial" w:cs="Arial"/>
                <w:color w:val="000000"/>
                <w:sz w:val="18"/>
                <w:szCs w:val="18"/>
                <w:u w:color="000000"/>
                <w:lang w:eastAsia="en-AU"/>
              </w:rPr>
            </w:pPr>
            <w:r w:rsidRPr="00DA489D">
              <w:rPr>
                <w:rFonts w:ascii="Arial" w:eastAsia="Times New Roman" w:hAnsi="Arial" w:cs="Arial"/>
                <w:color w:val="000000"/>
                <w:u w:color="000000"/>
                <w:lang w:eastAsia="en-AU"/>
              </w:rPr>
              <w:t>This role will have relationships with all members of the Financial Markets team as well as stakeholders across the broader Group - including Group Treasury, Payments, Settlements and Technology.</w:t>
            </w:r>
          </w:p>
        </w:tc>
      </w:tr>
    </w:tbl>
    <w:p w14:paraId="74339F59" w14:textId="476F7DD3" w:rsidR="00A32B31" w:rsidRPr="00734230" w:rsidRDefault="00A32B31" w:rsidP="00E5307F">
      <w:pPr>
        <w:spacing w:after="0"/>
        <w:rPr>
          <w:rFonts w:ascii="Arial" w:hAnsi="Arial" w:cs="Arial"/>
          <w:sz w:val="10"/>
          <w:szCs w:val="10"/>
        </w:rPr>
      </w:pPr>
    </w:p>
    <w:p w14:paraId="1B3AD68E"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0B14F7BF"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5A5C9F76" w14:textId="77777777" w:rsidTr="00852BF6">
        <w:trPr>
          <w:trHeight w:val="275"/>
        </w:trPr>
        <w:tc>
          <w:tcPr>
            <w:tcW w:w="10457" w:type="dxa"/>
            <w:shd w:val="clear" w:color="auto" w:fill="F04E58"/>
          </w:tcPr>
          <w:p w14:paraId="5B2FF87C" w14:textId="070FFACB" w:rsidR="00A32B31" w:rsidRPr="00734230" w:rsidRDefault="00A32B31" w:rsidP="00F728B1">
            <w:pPr>
              <w:rPr>
                <w:rFonts w:ascii="Arial" w:hAnsi="Arial" w:cs="Arial"/>
                <w:b/>
                <w:bCs/>
              </w:rPr>
            </w:pPr>
          </w:p>
        </w:tc>
      </w:tr>
    </w:tbl>
    <w:p w14:paraId="7E633AC3" w14:textId="79C87F63"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0B4503A6" wp14:editId="0F194114">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0FD2041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23E6AD8F" w14:textId="77777777" w:rsidTr="00734230">
        <w:tc>
          <w:tcPr>
            <w:tcW w:w="10485" w:type="dxa"/>
            <w:gridSpan w:val="2"/>
            <w:shd w:val="clear" w:color="auto" w:fill="50003A"/>
          </w:tcPr>
          <w:p w14:paraId="48489771" w14:textId="3E70FE21"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2818F936" w14:textId="77777777" w:rsidTr="00B02D04">
        <w:trPr>
          <w:trHeight w:val="1103"/>
        </w:trPr>
        <w:tc>
          <w:tcPr>
            <w:tcW w:w="2689" w:type="dxa"/>
          </w:tcPr>
          <w:p w14:paraId="639D02D1" w14:textId="7FCB9282" w:rsidR="00992E1C" w:rsidRPr="00734230" w:rsidRDefault="00743A41" w:rsidP="00F728B1">
            <w:pPr>
              <w:rPr>
                <w:rFonts w:ascii="Arial" w:hAnsi="Arial" w:cs="Arial"/>
                <w:b/>
                <w:bCs/>
              </w:rPr>
            </w:pPr>
            <w:r w:rsidRPr="00743A41">
              <w:rPr>
                <w:rFonts w:ascii="Arial" w:hAnsi="Arial" w:cs="Arial"/>
                <w:b/>
                <w:bCs/>
              </w:rPr>
              <w:t>Analysis</w:t>
            </w:r>
          </w:p>
        </w:tc>
        <w:tc>
          <w:tcPr>
            <w:tcW w:w="7796" w:type="dxa"/>
          </w:tcPr>
          <w:p w14:paraId="02310F81" w14:textId="77777777" w:rsidR="00743A41" w:rsidRPr="00743A41" w:rsidRDefault="00743A41" w:rsidP="00743A41">
            <w:pPr>
              <w:numPr>
                <w:ilvl w:val="0"/>
                <w:numId w:val="9"/>
              </w:numPr>
              <w:rPr>
                <w:rFonts w:ascii="Arial" w:hAnsi="Arial" w:cs="Arial"/>
              </w:rPr>
            </w:pPr>
            <w:r w:rsidRPr="00743A41">
              <w:rPr>
                <w:rFonts w:ascii="Arial" w:hAnsi="Arial" w:cs="Arial"/>
              </w:rPr>
              <w:t>market data including price, volatility, correlations</w:t>
            </w:r>
          </w:p>
          <w:p w14:paraId="48EFD752" w14:textId="77777777" w:rsidR="00743A41" w:rsidRDefault="00743A41" w:rsidP="00743A41">
            <w:pPr>
              <w:numPr>
                <w:ilvl w:val="0"/>
                <w:numId w:val="9"/>
              </w:numPr>
              <w:rPr>
                <w:rFonts w:ascii="Arial" w:hAnsi="Arial" w:cs="Arial"/>
              </w:rPr>
            </w:pPr>
            <w:r w:rsidRPr="00743A41">
              <w:rPr>
                <w:rFonts w:ascii="Arial" w:hAnsi="Arial" w:cs="Arial"/>
              </w:rPr>
              <w:t>credit as it applies to financial markets counterparts and customers</w:t>
            </w:r>
          </w:p>
          <w:p w14:paraId="1981EACA" w14:textId="1B3E87E3" w:rsidR="00A32B31" w:rsidRPr="00743A41" w:rsidRDefault="00743A41" w:rsidP="00743A41">
            <w:pPr>
              <w:numPr>
                <w:ilvl w:val="0"/>
                <w:numId w:val="9"/>
              </w:numPr>
              <w:rPr>
                <w:rFonts w:ascii="Arial" w:hAnsi="Arial" w:cs="Arial"/>
              </w:rPr>
            </w:pPr>
            <w:r w:rsidRPr="00743A41">
              <w:rPr>
                <w:rFonts w:ascii="Arial" w:hAnsi="Arial" w:cs="Arial"/>
              </w:rPr>
              <w:t>pricing of alternate options for portfolio management strategies</w:t>
            </w:r>
          </w:p>
        </w:tc>
      </w:tr>
      <w:tr w:rsidR="00992E1C" w:rsidRPr="00734230" w14:paraId="6D6B1D6F" w14:textId="77777777" w:rsidTr="00B02D04">
        <w:trPr>
          <w:trHeight w:val="841"/>
        </w:trPr>
        <w:tc>
          <w:tcPr>
            <w:tcW w:w="2689" w:type="dxa"/>
          </w:tcPr>
          <w:p w14:paraId="611D5E70" w14:textId="4C2B8DF7" w:rsidR="00992E1C" w:rsidRPr="00734230" w:rsidRDefault="00743A41" w:rsidP="00F728B1">
            <w:pPr>
              <w:rPr>
                <w:rFonts w:ascii="Arial" w:hAnsi="Arial" w:cs="Arial"/>
                <w:b/>
                <w:bCs/>
              </w:rPr>
            </w:pPr>
            <w:r w:rsidRPr="00743A41">
              <w:rPr>
                <w:rFonts w:ascii="Arial" w:hAnsi="Arial" w:cs="Arial"/>
                <w:b/>
                <w:bCs/>
              </w:rPr>
              <w:t>Reporting</w:t>
            </w:r>
          </w:p>
        </w:tc>
        <w:tc>
          <w:tcPr>
            <w:tcW w:w="7796" w:type="dxa"/>
          </w:tcPr>
          <w:p w14:paraId="2EF357A3" w14:textId="77777777" w:rsidR="00743A41" w:rsidRPr="00743A41" w:rsidRDefault="00743A41" w:rsidP="00743A41">
            <w:pPr>
              <w:numPr>
                <w:ilvl w:val="0"/>
                <w:numId w:val="9"/>
              </w:numPr>
              <w:rPr>
                <w:rFonts w:ascii="Arial" w:hAnsi="Arial" w:cs="Arial"/>
              </w:rPr>
            </w:pPr>
            <w:r w:rsidRPr="00743A41">
              <w:rPr>
                <w:rFonts w:ascii="Arial" w:hAnsi="Arial" w:cs="Arial"/>
              </w:rPr>
              <w:t>market data including price, volatility, correlations</w:t>
            </w:r>
          </w:p>
          <w:p w14:paraId="2F569ABF" w14:textId="77777777" w:rsidR="00743A41" w:rsidRDefault="00743A41" w:rsidP="00743A41">
            <w:pPr>
              <w:numPr>
                <w:ilvl w:val="0"/>
                <w:numId w:val="9"/>
              </w:numPr>
              <w:rPr>
                <w:rFonts w:ascii="Arial" w:hAnsi="Arial" w:cs="Arial"/>
              </w:rPr>
            </w:pPr>
            <w:r w:rsidRPr="00743A41">
              <w:rPr>
                <w:rFonts w:ascii="Arial" w:hAnsi="Arial" w:cs="Arial"/>
              </w:rPr>
              <w:t>credit as it applies to financial markets counterparts and customers</w:t>
            </w:r>
          </w:p>
          <w:p w14:paraId="3EBCD604" w14:textId="17C302FE" w:rsidR="00EE04F0" w:rsidRPr="00743A41" w:rsidRDefault="00743A41" w:rsidP="00743A41">
            <w:pPr>
              <w:numPr>
                <w:ilvl w:val="0"/>
                <w:numId w:val="9"/>
              </w:numPr>
              <w:rPr>
                <w:rFonts w:ascii="Arial" w:hAnsi="Arial" w:cs="Arial"/>
              </w:rPr>
            </w:pPr>
            <w:r w:rsidRPr="00743A41">
              <w:rPr>
                <w:rFonts w:ascii="Arial" w:hAnsi="Arial" w:cs="Arial"/>
              </w:rPr>
              <w:t>pricing of alternate options for portfolio management strategies</w:t>
            </w:r>
          </w:p>
        </w:tc>
      </w:tr>
      <w:tr w:rsidR="00992E1C" w:rsidRPr="00734230" w14:paraId="729CA433" w14:textId="77777777" w:rsidTr="00A32B31">
        <w:trPr>
          <w:trHeight w:val="1531"/>
        </w:trPr>
        <w:tc>
          <w:tcPr>
            <w:tcW w:w="2689" w:type="dxa"/>
          </w:tcPr>
          <w:p w14:paraId="41551E31" w14:textId="0E9B8869" w:rsidR="00992E1C" w:rsidRPr="00734230" w:rsidRDefault="00743A41" w:rsidP="00F728B1">
            <w:pPr>
              <w:rPr>
                <w:rFonts w:ascii="Arial" w:hAnsi="Arial" w:cs="Arial"/>
                <w:b/>
                <w:bCs/>
              </w:rPr>
            </w:pPr>
            <w:r w:rsidRPr="00743A41">
              <w:rPr>
                <w:rFonts w:ascii="Arial" w:hAnsi="Arial" w:cs="Arial"/>
                <w:b/>
                <w:bCs/>
              </w:rPr>
              <w:t>Risk</w:t>
            </w:r>
          </w:p>
        </w:tc>
        <w:tc>
          <w:tcPr>
            <w:tcW w:w="7796" w:type="dxa"/>
          </w:tcPr>
          <w:p w14:paraId="76958B82" w14:textId="77777777" w:rsidR="00743A41" w:rsidRPr="00743A41" w:rsidRDefault="00743A41" w:rsidP="00743A41">
            <w:pPr>
              <w:numPr>
                <w:ilvl w:val="0"/>
                <w:numId w:val="10"/>
              </w:numPr>
              <w:rPr>
                <w:rFonts w:ascii="Arial" w:hAnsi="Arial" w:cs="Arial"/>
              </w:rPr>
            </w:pPr>
            <w:r w:rsidRPr="00743A41">
              <w:rPr>
                <w:rFonts w:ascii="Arial" w:hAnsi="Arial" w:cs="Arial"/>
              </w:rPr>
              <w:t>Manage credit risk and relationship for Financial Markets interbank counterparts</w:t>
            </w:r>
          </w:p>
          <w:p w14:paraId="16E6F064" w14:textId="77777777" w:rsidR="00743A41" w:rsidRDefault="00743A41" w:rsidP="00743A41">
            <w:pPr>
              <w:numPr>
                <w:ilvl w:val="0"/>
                <w:numId w:val="10"/>
              </w:numPr>
              <w:rPr>
                <w:rFonts w:ascii="Arial" w:hAnsi="Arial" w:cs="Arial"/>
              </w:rPr>
            </w:pPr>
            <w:r w:rsidRPr="00743A41">
              <w:rPr>
                <w:rFonts w:ascii="Arial" w:hAnsi="Arial" w:cs="Arial"/>
              </w:rPr>
              <w:t>Adhere to regulatory, policy and operational risk involved in managing an active FX and IR derivative portfolio</w:t>
            </w:r>
          </w:p>
          <w:p w14:paraId="797402CE" w14:textId="3E9C8D56" w:rsidR="00992E1C" w:rsidRPr="00743A41" w:rsidRDefault="00743A41" w:rsidP="00743A41">
            <w:pPr>
              <w:numPr>
                <w:ilvl w:val="0"/>
                <w:numId w:val="10"/>
              </w:numPr>
              <w:rPr>
                <w:rFonts w:ascii="Arial" w:hAnsi="Arial" w:cs="Arial"/>
              </w:rPr>
            </w:pPr>
            <w:r w:rsidRPr="00743A41">
              <w:rPr>
                <w:rFonts w:ascii="Arial" w:hAnsi="Arial" w:cs="Arial"/>
              </w:rPr>
              <w:t>Ensure that business unit risk management requirements are met</w:t>
            </w:r>
          </w:p>
        </w:tc>
      </w:tr>
      <w:tr w:rsidR="00992E1C" w:rsidRPr="00734230" w14:paraId="717796F3" w14:textId="77777777" w:rsidTr="00B02D04">
        <w:trPr>
          <w:trHeight w:val="729"/>
        </w:trPr>
        <w:tc>
          <w:tcPr>
            <w:tcW w:w="2689" w:type="dxa"/>
          </w:tcPr>
          <w:p w14:paraId="7E543308" w14:textId="6B80E871" w:rsidR="00992E1C" w:rsidRPr="00734230" w:rsidRDefault="00743A41" w:rsidP="00F728B1">
            <w:pPr>
              <w:rPr>
                <w:rFonts w:ascii="Arial" w:hAnsi="Arial" w:cs="Arial"/>
                <w:b/>
                <w:bCs/>
              </w:rPr>
            </w:pPr>
            <w:r w:rsidRPr="00743A41">
              <w:rPr>
                <w:rFonts w:ascii="Arial" w:hAnsi="Arial" w:cs="Arial"/>
                <w:b/>
                <w:bCs/>
              </w:rPr>
              <w:t>Product and Solution Development</w:t>
            </w:r>
          </w:p>
        </w:tc>
        <w:tc>
          <w:tcPr>
            <w:tcW w:w="7796" w:type="dxa"/>
          </w:tcPr>
          <w:p w14:paraId="7F36B981" w14:textId="1FAB81FA" w:rsidR="00992E1C" w:rsidRPr="00734230" w:rsidRDefault="00743A41" w:rsidP="00F728B1">
            <w:pPr>
              <w:rPr>
                <w:rFonts w:ascii="Arial" w:hAnsi="Arial" w:cs="Arial"/>
              </w:rPr>
            </w:pPr>
            <w:r w:rsidRPr="00743A41">
              <w:rPr>
                <w:rFonts w:ascii="Arial" w:hAnsi="Arial" w:cs="Arial"/>
              </w:rPr>
              <w:t>Undertake analysis to assist the team produce new Financial Markets customer offering including new product</w:t>
            </w:r>
          </w:p>
        </w:tc>
      </w:tr>
      <w:tr w:rsidR="00992E1C" w:rsidRPr="00734230" w14:paraId="2EF26292" w14:textId="77777777" w:rsidTr="00A32B31">
        <w:trPr>
          <w:trHeight w:val="1531"/>
        </w:trPr>
        <w:tc>
          <w:tcPr>
            <w:tcW w:w="2689" w:type="dxa"/>
          </w:tcPr>
          <w:p w14:paraId="13E6E9AE" w14:textId="53AF3CBF" w:rsidR="00992E1C" w:rsidRPr="00734230" w:rsidRDefault="00743A41" w:rsidP="00F728B1">
            <w:pPr>
              <w:rPr>
                <w:rFonts w:ascii="Arial" w:hAnsi="Arial" w:cs="Arial"/>
                <w:b/>
                <w:bCs/>
              </w:rPr>
            </w:pPr>
            <w:r w:rsidRPr="00743A41">
              <w:rPr>
                <w:rFonts w:ascii="Arial" w:hAnsi="Arial" w:cs="Arial"/>
                <w:b/>
                <w:bCs/>
              </w:rPr>
              <w:t>Measurable Growth</w:t>
            </w:r>
          </w:p>
        </w:tc>
        <w:tc>
          <w:tcPr>
            <w:tcW w:w="7796" w:type="dxa"/>
          </w:tcPr>
          <w:p w14:paraId="159C1ED0" w14:textId="77777777" w:rsidR="00743A41" w:rsidRPr="00743A41" w:rsidRDefault="00743A41" w:rsidP="00743A41">
            <w:pPr>
              <w:numPr>
                <w:ilvl w:val="0"/>
                <w:numId w:val="11"/>
              </w:numPr>
              <w:rPr>
                <w:rFonts w:ascii="Arial" w:hAnsi="Arial" w:cs="Arial"/>
              </w:rPr>
            </w:pPr>
            <w:r w:rsidRPr="00743A41">
              <w:rPr>
                <w:rFonts w:ascii="Arial" w:hAnsi="Arial" w:cs="Arial"/>
              </w:rPr>
              <w:t>Including</w:t>
            </w:r>
          </w:p>
          <w:p w14:paraId="2156D1C7" w14:textId="77777777" w:rsidR="00743A41" w:rsidRPr="00743A41" w:rsidRDefault="00743A41" w:rsidP="00743A41">
            <w:pPr>
              <w:numPr>
                <w:ilvl w:val="1"/>
                <w:numId w:val="11"/>
              </w:numPr>
              <w:rPr>
                <w:rFonts w:ascii="Arial" w:hAnsi="Arial" w:cs="Arial"/>
              </w:rPr>
            </w:pPr>
            <w:r w:rsidRPr="00743A41">
              <w:rPr>
                <w:rFonts w:ascii="Arial" w:hAnsi="Arial" w:cs="Arial"/>
              </w:rPr>
              <w:t>Revenue growth from active portfolio enhancement</w:t>
            </w:r>
          </w:p>
          <w:p w14:paraId="1ABA8C52" w14:textId="77777777" w:rsidR="00743A41" w:rsidRPr="00743A41" w:rsidRDefault="00743A41" w:rsidP="00743A41">
            <w:pPr>
              <w:numPr>
                <w:ilvl w:val="1"/>
                <w:numId w:val="11"/>
              </w:numPr>
              <w:rPr>
                <w:rFonts w:ascii="Arial" w:hAnsi="Arial" w:cs="Arial"/>
              </w:rPr>
            </w:pPr>
            <w:r w:rsidRPr="00743A41">
              <w:rPr>
                <w:rFonts w:ascii="Arial" w:hAnsi="Arial" w:cs="Arial"/>
              </w:rPr>
              <w:t>Product development</w:t>
            </w:r>
          </w:p>
          <w:p w14:paraId="01A5F524" w14:textId="77777777" w:rsidR="00743A41" w:rsidRPr="00743A41" w:rsidRDefault="00743A41" w:rsidP="00743A41">
            <w:pPr>
              <w:numPr>
                <w:ilvl w:val="1"/>
                <w:numId w:val="11"/>
              </w:numPr>
              <w:rPr>
                <w:rFonts w:ascii="Arial" w:hAnsi="Arial" w:cs="Arial"/>
              </w:rPr>
            </w:pPr>
            <w:r w:rsidRPr="00743A41">
              <w:rPr>
                <w:rFonts w:ascii="Arial" w:hAnsi="Arial" w:cs="Arial"/>
              </w:rPr>
              <w:t>Delivery of Financial Markets customer e-platforms in the near term</w:t>
            </w:r>
          </w:p>
          <w:p w14:paraId="08CB33EB" w14:textId="77777777" w:rsidR="00102CD8" w:rsidRDefault="00743A41" w:rsidP="00743A41">
            <w:pPr>
              <w:numPr>
                <w:ilvl w:val="1"/>
                <w:numId w:val="11"/>
              </w:numPr>
              <w:rPr>
                <w:rFonts w:ascii="Arial" w:hAnsi="Arial" w:cs="Arial"/>
              </w:rPr>
            </w:pPr>
            <w:r w:rsidRPr="00743A41">
              <w:rPr>
                <w:rFonts w:ascii="Arial" w:hAnsi="Arial" w:cs="Arial"/>
              </w:rPr>
              <w:t xml:space="preserve">Delivery of the enhancement of e-platforms and other products </w:t>
            </w:r>
            <w:proofErr w:type="gramStart"/>
            <w:r w:rsidRPr="00743A41">
              <w:rPr>
                <w:rFonts w:ascii="Arial" w:hAnsi="Arial" w:cs="Arial"/>
              </w:rPr>
              <w:t>in order to</w:t>
            </w:r>
            <w:proofErr w:type="gramEnd"/>
            <w:r w:rsidRPr="00743A41">
              <w:rPr>
                <w:rFonts w:ascii="Arial" w:hAnsi="Arial" w:cs="Arial"/>
              </w:rPr>
              <w:t xml:space="preserve"> meet customer needs</w:t>
            </w:r>
          </w:p>
          <w:p w14:paraId="1C9F865D" w14:textId="436B5C92" w:rsidR="00992E1C" w:rsidRPr="00102CD8" w:rsidRDefault="00743A41" w:rsidP="00743A41">
            <w:pPr>
              <w:numPr>
                <w:ilvl w:val="1"/>
                <w:numId w:val="11"/>
              </w:numPr>
              <w:rPr>
                <w:rFonts w:ascii="Arial" w:hAnsi="Arial" w:cs="Arial"/>
              </w:rPr>
            </w:pPr>
            <w:r w:rsidRPr="00102CD8">
              <w:rPr>
                <w:rFonts w:ascii="Arial" w:hAnsi="Arial" w:cs="Arial"/>
              </w:rPr>
              <w:t>Collaboration and influence across other customer and corporate business units</w:t>
            </w:r>
          </w:p>
        </w:tc>
      </w:tr>
      <w:tr w:rsidR="00743A41" w:rsidRPr="00734230" w14:paraId="3E75CB2F" w14:textId="77777777" w:rsidTr="00B02D04">
        <w:trPr>
          <w:trHeight w:val="1243"/>
        </w:trPr>
        <w:tc>
          <w:tcPr>
            <w:tcW w:w="2689" w:type="dxa"/>
          </w:tcPr>
          <w:p w14:paraId="15BAB6BC" w14:textId="6D504C58" w:rsidR="00743A41" w:rsidRPr="00743A41" w:rsidRDefault="00743A41" w:rsidP="00F728B1">
            <w:pPr>
              <w:rPr>
                <w:rFonts w:ascii="Arial" w:hAnsi="Arial" w:cs="Arial"/>
                <w:b/>
                <w:bCs/>
              </w:rPr>
            </w:pPr>
            <w:r w:rsidRPr="00743A41">
              <w:rPr>
                <w:rFonts w:ascii="Arial" w:hAnsi="Arial" w:cs="Arial"/>
                <w:b/>
                <w:bCs/>
              </w:rPr>
              <w:t>Customer Experience</w:t>
            </w:r>
          </w:p>
        </w:tc>
        <w:tc>
          <w:tcPr>
            <w:tcW w:w="7796" w:type="dxa"/>
          </w:tcPr>
          <w:p w14:paraId="4F2E1320" w14:textId="77777777" w:rsidR="00743A41" w:rsidRDefault="00743A41" w:rsidP="00743A41">
            <w:pPr>
              <w:numPr>
                <w:ilvl w:val="0"/>
                <w:numId w:val="9"/>
              </w:numPr>
              <w:rPr>
                <w:rFonts w:ascii="Arial" w:hAnsi="Arial" w:cs="Arial"/>
              </w:rPr>
            </w:pPr>
            <w:r w:rsidRPr="00743A41">
              <w:rPr>
                <w:rFonts w:ascii="Arial" w:hAnsi="Arial" w:cs="Arial"/>
              </w:rPr>
              <w:t>Ensure continuous improvement in the customer experience across the range of products and portfolios in FM</w:t>
            </w:r>
          </w:p>
          <w:p w14:paraId="37010DA9" w14:textId="0B1C13BE" w:rsidR="00743A41" w:rsidRPr="00743A41" w:rsidRDefault="00743A41" w:rsidP="00743A41">
            <w:pPr>
              <w:numPr>
                <w:ilvl w:val="0"/>
                <w:numId w:val="9"/>
              </w:numPr>
              <w:rPr>
                <w:rFonts w:ascii="Arial" w:hAnsi="Arial" w:cs="Arial"/>
              </w:rPr>
            </w:pPr>
            <w:r w:rsidRPr="00743A41">
              <w:rPr>
                <w:rFonts w:ascii="Arial" w:hAnsi="Arial" w:cs="Arial"/>
              </w:rPr>
              <w:t>Delivering to the customer what they require, making it easier to do business with BEN</w:t>
            </w:r>
          </w:p>
        </w:tc>
      </w:tr>
      <w:tr w:rsidR="00743A41" w:rsidRPr="00734230" w14:paraId="1A053F2E" w14:textId="77777777" w:rsidTr="00B02D04">
        <w:trPr>
          <w:trHeight w:val="977"/>
        </w:trPr>
        <w:tc>
          <w:tcPr>
            <w:tcW w:w="2689" w:type="dxa"/>
          </w:tcPr>
          <w:p w14:paraId="740AF1A7" w14:textId="3A7B2B54" w:rsidR="00743A41" w:rsidRPr="00743A41" w:rsidRDefault="00743A41" w:rsidP="00F728B1">
            <w:pPr>
              <w:rPr>
                <w:rFonts w:ascii="Arial" w:hAnsi="Arial" w:cs="Arial"/>
                <w:b/>
                <w:bCs/>
              </w:rPr>
            </w:pPr>
            <w:r w:rsidRPr="00743A41">
              <w:rPr>
                <w:rFonts w:ascii="Arial" w:hAnsi="Arial" w:cs="Arial"/>
                <w:b/>
                <w:bCs/>
              </w:rPr>
              <w:t>Values</w:t>
            </w:r>
          </w:p>
        </w:tc>
        <w:tc>
          <w:tcPr>
            <w:tcW w:w="7796" w:type="dxa"/>
          </w:tcPr>
          <w:p w14:paraId="62E583FC" w14:textId="11432EFA" w:rsidR="00743A41" w:rsidRPr="00743A41" w:rsidRDefault="00743A41" w:rsidP="00743A41">
            <w:pPr>
              <w:rPr>
                <w:rFonts w:ascii="Arial" w:hAnsi="Arial" w:cs="Arial"/>
              </w:rPr>
            </w:pPr>
            <w:r w:rsidRPr="00743A41">
              <w:rPr>
                <w:rFonts w:ascii="Arial" w:hAnsi="Arial" w:cs="Arial"/>
              </w:rPr>
              <w:t>Demonstrate consistent behaviour in accordance with the Bendigo and Adelaide Bank Values of Teamwork, Integrity, Performance, Engagement, Leadership and Passion.</w:t>
            </w:r>
          </w:p>
        </w:tc>
      </w:tr>
    </w:tbl>
    <w:p w14:paraId="2032648F" w14:textId="77777777" w:rsidR="00992E1C" w:rsidRPr="00734230" w:rsidRDefault="00992E1C" w:rsidP="00E5307F">
      <w:pPr>
        <w:spacing w:after="0"/>
        <w:rPr>
          <w:rFonts w:ascii="Arial" w:hAnsi="Arial" w:cs="Arial"/>
          <w:sz w:val="10"/>
          <w:szCs w:val="10"/>
        </w:rPr>
      </w:pPr>
    </w:p>
    <w:p w14:paraId="75C45E55"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61B50650" w14:textId="77777777" w:rsidTr="00734230">
        <w:tc>
          <w:tcPr>
            <w:tcW w:w="10485" w:type="dxa"/>
            <w:gridSpan w:val="2"/>
            <w:shd w:val="clear" w:color="auto" w:fill="50003A"/>
          </w:tcPr>
          <w:p w14:paraId="02646CF8" w14:textId="06F4BB5C"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proofErr w:type="gramStart"/>
            <w:r w:rsidR="00DE5C28" w:rsidRPr="00734230">
              <w:rPr>
                <w:rFonts w:ascii="Arial" w:hAnsi="Arial" w:cs="Arial"/>
                <w:b/>
                <w:bCs/>
                <w:color w:val="FFFFFF" w:themeColor="background1"/>
              </w:rPr>
              <w:t>skills</w:t>
            </w:r>
            <w:proofErr w:type="gramEnd"/>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59DCBFB6" w14:textId="77777777" w:rsidTr="00A32B31">
        <w:trPr>
          <w:trHeight w:val="1531"/>
        </w:trPr>
        <w:tc>
          <w:tcPr>
            <w:tcW w:w="2689" w:type="dxa"/>
          </w:tcPr>
          <w:p w14:paraId="78C008F2" w14:textId="347E3E92"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70CFEC24" w14:textId="26C55B09" w:rsidR="00730B89" w:rsidRPr="00730B89" w:rsidRDefault="00730B89" w:rsidP="00730B89">
            <w:pPr>
              <w:numPr>
                <w:ilvl w:val="0"/>
                <w:numId w:val="13"/>
              </w:numPr>
              <w:spacing w:line="259" w:lineRule="auto"/>
              <w:rPr>
                <w:rFonts w:ascii="Arial" w:hAnsi="Arial" w:cs="Arial"/>
              </w:rPr>
            </w:pPr>
            <w:r w:rsidRPr="00730B89">
              <w:rPr>
                <w:rFonts w:ascii="Arial" w:hAnsi="Arial" w:cs="Arial"/>
              </w:rPr>
              <w:t>Knowledge of financial markets across different customer segments</w:t>
            </w:r>
          </w:p>
          <w:p w14:paraId="21F5AAF4" w14:textId="6E88837A" w:rsidR="00730B89" w:rsidRDefault="00730B89" w:rsidP="00730B89">
            <w:pPr>
              <w:numPr>
                <w:ilvl w:val="0"/>
                <w:numId w:val="13"/>
              </w:numPr>
              <w:spacing w:line="259" w:lineRule="auto"/>
              <w:rPr>
                <w:rFonts w:ascii="Arial" w:hAnsi="Arial" w:cs="Arial"/>
              </w:rPr>
            </w:pPr>
            <w:r w:rsidRPr="00730B89">
              <w:rPr>
                <w:rFonts w:ascii="Arial" w:hAnsi="Arial" w:cs="Arial"/>
              </w:rPr>
              <w:t xml:space="preserve">Understanding </w:t>
            </w:r>
            <w:r w:rsidR="00B21D88">
              <w:rPr>
                <w:rFonts w:ascii="Arial" w:hAnsi="Arial" w:cs="Arial"/>
              </w:rPr>
              <w:t>F</w:t>
            </w:r>
            <w:r w:rsidRPr="00730B89">
              <w:rPr>
                <w:rFonts w:ascii="Arial" w:hAnsi="Arial" w:cs="Arial"/>
              </w:rPr>
              <w:t xml:space="preserve">inancial Markets </w:t>
            </w:r>
            <w:r w:rsidR="00B21D88">
              <w:rPr>
                <w:rFonts w:ascii="Arial" w:hAnsi="Arial" w:cs="Arial"/>
              </w:rPr>
              <w:t>products</w:t>
            </w:r>
          </w:p>
          <w:p w14:paraId="0628D3C3" w14:textId="06DD5D24" w:rsidR="00B21D88" w:rsidRDefault="00B21D88" w:rsidP="00730B89">
            <w:pPr>
              <w:numPr>
                <w:ilvl w:val="0"/>
                <w:numId w:val="13"/>
              </w:numPr>
              <w:spacing w:line="259" w:lineRule="auto"/>
              <w:rPr>
                <w:rFonts w:ascii="Arial" w:hAnsi="Arial" w:cs="Arial"/>
              </w:rPr>
            </w:pPr>
            <w:r>
              <w:rPr>
                <w:rFonts w:ascii="Arial" w:hAnsi="Arial" w:cs="Arial"/>
              </w:rPr>
              <w:t>Very strong mathematical and analytic</w:t>
            </w:r>
            <w:r w:rsidR="008D078A">
              <w:rPr>
                <w:rFonts w:ascii="Arial" w:hAnsi="Arial" w:cs="Arial"/>
              </w:rPr>
              <w:t>al</w:t>
            </w:r>
            <w:r>
              <w:rPr>
                <w:rFonts w:ascii="Arial" w:hAnsi="Arial" w:cs="Arial"/>
              </w:rPr>
              <w:t xml:space="preserve"> mind</w:t>
            </w:r>
          </w:p>
          <w:p w14:paraId="3FB4B820" w14:textId="30680BE8" w:rsidR="00B21D88" w:rsidRDefault="00B21D88" w:rsidP="00730B89">
            <w:pPr>
              <w:numPr>
                <w:ilvl w:val="0"/>
                <w:numId w:val="13"/>
              </w:numPr>
              <w:spacing w:line="259" w:lineRule="auto"/>
              <w:rPr>
                <w:rFonts w:ascii="Arial" w:hAnsi="Arial" w:cs="Arial"/>
              </w:rPr>
            </w:pPr>
            <w:r>
              <w:rPr>
                <w:rFonts w:ascii="Arial" w:hAnsi="Arial" w:cs="Arial"/>
              </w:rPr>
              <w:t>Advanced excel / spreadsheeting skills</w:t>
            </w:r>
          </w:p>
          <w:p w14:paraId="229D85F8" w14:textId="4CE7A4DB" w:rsidR="00B21D88" w:rsidRPr="00730B89" w:rsidRDefault="008D078A" w:rsidP="00730B89">
            <w:pPr>
              <w:numPr>
                <w:ilvl w:val="0"/>
                <w:numId w:val="13"/>
              </w:numPr>
              <w:spacing w:line="259" w:lineRule="auto"/>
              <w:rPr>
                <w:rFonts w:ascii="Arial" w:hAnsi="Arial" w:cs="Arial"/>
              </w:rPr>
            </w:pPr>
            <w:r>
              <w:rPr>
                <w:rFonts w:ascii="Arial" w:hAnsi="Arial" w:cs="Arial"/>
              </w:rPr>
              <w:t>strength of understanding and using systems</w:t>
            </w:r>
          </w:p>
          <w:p w14:paraId="68AC0B36" w14:textId="74713207" w:rsidR="00730B89" w:rsidRPr="00730B89" w:rsidRDefault="008D078A" w:rsidP="00730B89">
            <w:pPr>
              <w:numPr>
                <w:ilvl w:val="0"/>
                <w:numId w:val="13"/>
              </w:numPr>
              <w:spacing w:line="259" w:lineRule="auto"/>
              <w:rPr>
                <w:rFonts w:ascii="Arial" w:hAnsi="Arial" w:cs="Arial"/>
              </w:rPr>
            </w:pPr>
            <w:r>
              <w:rPr>
                <w:rFonts w:ascii="Arial" w:hAnsi="Arial" w:cs="Arial"/>
              </w:rPr>
              <w:t>I</w:t>
            </w:r>
            <w:r w:rsidR="00730B89" w:rsidRPr="00730B89">
              <w:rPr>
                <w:rFonts w:ascii="Arial" w:hAnsi="Arial" w:cs="Arial"/>
              </w:rPr>
              <w:t>nfluencing skills</w:t>
            </w:r>
          </w:p>
          <w:p w14:paraId="2B36F5C7" w14:textId="3EDB3A6A" w:rsidR="00730B89" w:rsidRPr="00730B89" w:rsidRDefault="00730B89" w:rsidP="00730B89">
            <w:pPr>
              <w:numPr>
                <w:ilvl w:val="0"/>
                <w:numId w:val="13"/>
              </w:numPr>
              <w:spacing w:line="259" w:lineRule="auto"/>
              <w:rPr>
                <w:rFonts w:ascii="Arial" w:hAnsi="Arial" w:cs="Arial"/>
              </w:rPr>
            </w:pPr>
            <w:bookmarkStart w:id="3" w:name="_Hlk26790792"/>
            <w:r w:rsidRPr="00730B89">
              <w:rPr>
                <w:rFonts w:ascii="Arial" w:hAnsi="Arial" w:cs="Arial"/>
              </w:rPr>
              <w:t>Knowledge of the current Australian and international regulatory requirements for Financial Markets</w:t>
            </w:r>
            <w:bookmarkEnd w:id="3"/>
          </w:p>
          <w:p w14:paraId="195017FA" w14:textId="77777777" w:rsidR="00730B89" w:rsidRPr="00730B89" w:rsidRDefault="00730B89" w:rsidP="00730B89">
            <w:pPr>
              <w:numPr>
                <w:ilvl w:val="0"/>
                <w:numId w:val="13"/>
              </w:numPr>
              <w:spacing w:line="259" w:lineRule="auto"/>
              <w:rPr>
                <w:rFonts w:ascii="Arial" w:hAnsi="Arial" w:cs="Arial"/>
              </w:rPr>
            </w:pPr>
            <w:r w:rsidRPr="00730B89">
              <w:rPr>
                <w:rFonts w:ascii="Arial" w:hAnsi="Arial" w:cs="Arial"/>
              </w:rPr>
              <w:t>Results focused</w:t>
            </w:r>
          </w:p>
          <w:p w14:paraId="30B49448" w14:textId="77777777" w:rsidR="00730B89" w:rsidRPr="00730B89" w:rsidRDefault="00730B89" w:rsidP="00730B89">
            <w:pPr>
              <w:numPr>
                <w:ilvl w:val="0"/>
                <w:numId w:val="13"/>
              </w:numPr>
              <w:spacing w:line="259" w:lineRule="auto"/>
              <w:rPr>
                <w:rFonts w:ascii="Arial" w:hAnsi="Arial" w:cs="Arial"/>
              </w:rPr>
            </w:pPr>
            <w:r w:rsidRPr="00730B89">
              <w:rPr>
                <w:rFonts w:ascii="Arial" w:hAnsi="Arial" w:cs="Arial"/>
              </w:rPr>
              <w:t xml:space="preserve">Self-starter that can work closely with bank wide teams, key </w:t>
            </w:r>
            <w:proofErr w:type="gramStart"/>
            <w:r w:rsidRPr="00730B89">
              <w:rPr>
                <w:rFonts w:ascii="Arial" w:hAnsi="Arial" w:cs="Arial"/>
              </w:rPr>
              <w:t>stakeholders</w:t>
            </w:r>
            <w:proofErr w:type="gramEnd"/>
            <w:r w:rsidRPr="00730B89">
              <w:rPr>
                <w:rFonts w:ascii="Arial" w:hAnsi="Arial" w:cs="Arial"/>
              </w:rPr>
              <w:t xml:space="preserve"> and Partners</w:t>
            </w:r>
          </w:p>
          <w:p w14:paraId="227EF78C" w14:textId="3A4FEF36" w:rsidR="00730B89" w:rsidRPr="00730B89" w:rsidRDefault="00730B89" w:rsidP="00730B89">
            <w:pPr>
              <w:numPr>
                <w:ilvl w:val="0"/>
                <w:numId w:val="13"/>
              </w:numPr>
              <w:spacing w:line="259" w:lineRule="auto"/>
              <w:rPr>
                <w:rFonts w:ascii="Arial" w:hAnsi="Arial" w:cs="Arial"/>
              </w:rPr>
            </w:pPr>
            <w:r w:rsidRPr="00730B89">
              <w:rPr>
                <w:rFonts w:ascii="Arial" w:hAnsi="Arial" w:cs="Arial"/>
              </w:rPr>
              <w:t>Understanding of the Bank’s regional and community engagement model.</w:t>
            </w:r>
          </w:p>
          <w:p w14:paraId="7A24339B" w14:textId="42DFE234" w:rsidR="00A32B31" w:rsidRPr="00734230" w:rsidRDefault="00A32B31" w:rsidP="00FD2046">
            <w:pPr>
              <w:spacing w:line="259" w:lineRule="auto"/>
              <w:rPr>
                <w:rFonts w:ascii="Arial" w:hAnsi="Arial" w:cs="Arial"/>
              </w:rPr>
            </w:pPr>
          </w:p>
        </w:tc>
      </w:tr>
      <w:tr w:rsidR="00FD2046" w:rsidRPr="00734230" w14:paraId="50C3402F" w14:textId="77777777" w:rsidTr="00A32B31">
        <w:trPr>
          <w:trHeight w:val="1531"/>
        </w:trPr>
        <w:tc>
          <w:tcPr>
            <w:tcW w:w="2689" w:type="dxa"/>
          </w:tcPr>
          <w:p w14:paraId="04B39372" w14:textId="2300D9C3" w:rsidR="00FD2046" w:rsidRPr="00734230" w:rsidRDefault="00992E1C" w:rsidP="00FD2046">
            <w:pPr>
              <w:spacing w:line="259" w:lineRule="auto"/>
              <w:rPr>
                <w:rFonts w:ascii="Arial" w:hAnsi="Arial" w:cs="Arial"/>
                <w:b/>
                <w:bCs/>
              </w:rPr>
            </w:pPr>
            <w:r w:rsidRPr="00734230">
              <w:rPr>
                <w:rFonts w:ascii="Arial" w:hAnsi="Arial" w:cs="Arial"/>
                <w:b/>
                <w:bCs/>
              </w:rPr>
              <w:lastRenderedPageBreak/>
              <w:t>Relevant experience</w:t>
            </w:r>
          </w:p>
        </w:tc>
        <w:tc>
          <w:tcPr>
            <w:tcW w:w="7796" w:type="dxa"/>
          </w:tcPr>
          <w:p w14:paraId="61D5EE2B" w14:textId="5412C125" w:rsidR="00B21D88" w:rsidRPr="00B21D88" w:rsidRDefault="00B21D88" w:rsidP="00B21D88">
            <w:pPr>
              <w:numPr>
                <w:ilvl w:val="0"/>
                <w:numId w:val="13"/>
              </w:numPr>
              <w:spacing w:line="259" w:lineRule="auto"/>
              <w:rPr>
                <w:rFonts w:ascii="Arial" w:hAnsi="Arial" w:cs="Arial"/>
              </w:rPr>
            </w:pPr>
            <w:r>
              <w:rPr>
                <w:rFonts w:ascii="Arial" w:hAnsi="Arial" w:cs="Arial"/>
              </w:rPr>
              <w:t>Analyst</w:t>
            </w:r>
            <w:r w:rsidRPr="00B21D88">
              <w:rPr>
                <w:rFonts w:ascii="Arial" w:hAnsi="Arial" w:cs="Arial"/>
              </w:rPr>
              <w:t>, Markets Risk and Structuring, Financial Markets is a specialised position</w:t>
            </w:r>
          </w:p>
          <w:p w14:paraId="671EC521" w14:textId="39B226D8" w:rsidR="00B21D88" w:rsidRPr="00B21D88" w:rsidRDefault="001F63F8" w:rsidP="00B21D88">
            <w:pPr>
              <w:numPr>
                <w:ilvl w:val="0"/>
                <w:numId w:val="13"/>
              </w:numPr>
              <w:spacing w:line="259" w:lineRule="auto"/>
              <w:rPr>
                <w:rFonts w:ascii="Arial" w:hAnsi="Arial" w:cs="Arial"/>
              </w:rPr>
            </w:pPr>
            <w:bookmarkStart w:id="4" w:name="_Hlk26790704"/>
            <w:r>
              <w:rPr>
                <w:rFonts w:ascii="Arial" w:hAnsi="Arial" w:cs="Arial"/>
              </w:rPr>
              <w:t>experience</w:t>
            </w:r>
            <w:r w:rsidR="00B21D88" w:rsidRPr="00B21D88">
              <w:rPr>
                <w:rFonts w:ascii="Arial" w:hAnsi="Arial" w:cs="Arial"/>
              </w:rPr>
              <w:t xml:space="preserve"> </w:t>
            </w:r>
            <w:r>
              <w:rPr>
                <w:rFonts w:ascii="Arial" w:hAnsi="Arial" w:cs="Arial"/>
              </w:rPr>
              <w:t>in</w:t>
            </w:r>
            <w:r w:rsidR="00B21D88" w:rsidRPr="00B21D88">
              <w:rPr>
                <w:rFonts w:ascii="Arial" w:hAnsi="Arial" w:cs="Arial"/>
              </w:rPr>
              <w:t xml:space="preserve"> Financial Markets</w:t>
            </w:r>
          </w:p>
          <w:p w14:paraId="4934F2F5" w14:textId="246F19DE" w:rsidR="001F63F8" w:rsidRPr="00B21D88" w:rsidRDefault="001F63F8" w:rsidP="001F63F8">
            <w:pPr>
              <w:numPr>
                <w:ilvl w:val="0"/>
                <w:numId w:val="13"/>
              </w:numPr>
              <w:spacing w:line="259" w:lineRule="auto"/>
              <w:rPr>
                <w:rFonts w:ascii="Arial" w:hAnsi="Arial" w:cs="Arial"/>
              </w:rPr>
            </w:pPr>
            <w:r w:rsidRPr="00B21D88">
              <w:rPr>
                <w:rFonts w:ascii="Arial" w:hAnsi="Arial" w:cs="Arial"/>
              </w:rPr>
              <w:t xml:space="preserve">quantitative </w:t>
            </w:r>
            <w:r>
              <w:rPr>
                <w:rFonts w:ascii="Arial" w:hAnsi="Arial" w:cs="Arial"/>
              </w:rPr>
              <w:t>analysis and using data to support decision making</w:t>
            </w:r>
          </w:p>
          <w:p w14:paraId="227D7734" w14:textId="04E755E1" w:rsidR="00B21D88" w:rsidRPr="00B21D88" w:rsidRDefault="001F63F8" w:rsidP="00B21D88">
            <w:pPr>
              <w:numPr>
                <w:ilvl w:val="0"/>
                <w:numId w:val="13"/>
              </w:numPr>
              <w:spacing w:line="259" w:lineRule="auto"/>
              <w:rPr>
                <w:rFonts w:ascii="Arial" w:hAnsi="Arial" w:cs="Arial"/>
              </w:rPr>
            </w:pPr>
            <w:r>
              <w:rPr>
                <w:rFonts w:ascii="Arial" w:hAnsi="Arial" w:cs="Arial"/>
              </w:rPr>
              <w:t xml:space="preserve">analysis of different markets – </w:t>
            </w:r>
            <w:proofErr w:type="spellStart"/>
            <w:r>
              <w:rPr>
                <w:rFonts w:ascii="Arial" w:hAnsi="Arial" w:cs="Arial"/>
              </w:rPr>
              <w:t>eg.</w:t>
            </w:r>
            <w:proofErr w:type="spellEnd"/>
            <w:r>
              <w:rPr>
                <w:rFonts w:ascii="Arial" w:hAnsi="Arial" w:cs="Arial"/>
              </w:rPr>
              <w:t xml:space="preserve"> foreign exchange, equities</w:t>
            </w:r>
          </w:p>
          <w:bookmarkEnd w:id="4"/>
          <w:p w14:paraId="782C2639" w14:textId="0B7A5B4E" w:rsidR="00CC02CB" w:rsidRPr="00162CFD" w:rsidRDefault="00B21D88" w:rsidP="00B21D88">
            <w:pPr>
              <w:numPr>
                <w:ilvl w:val="0"/>
                <w:numId w:val="13"/>
              </w:numPr>
              <w:spacing w:line="259" w:lineRule="auto"/>
              <w:rPr>
                <w:rFonts w:ascii="Arial" w:hAnsi="Arial" w:cs="Arial"/>
              </w:rPr>
            </w:pPr>
            <w:r w:rsidRPr="00162CFD">
              <w:rPr>
                <w:rFonts w:ascii="Arial" w:hAnsi="Arial" w:cs="Arial"/>
              </w:rPr>
              <w:t>A proven track record in delivering successful outcomes</w:t>
            </w:r>
          </w:p>
        </w:tc>
      </w:tr>
    </w:tbl>
    <w:p w14:paraId="6A63120F" w14:textId="44364E1D" w:rsidR="00BA33DC" w:rsidRPr="00734230" w:rsidRDefault="00BA33DC" w:rsidP="00E5307F">
      <w:pPr>
        <w:spacing w:after="0"/>
        <w:rPr>
          <w:rFonts w:ascii="Arial" w:hAnsi="Arial" w:cs="Arial"/>
          <w:sz w:val="10"/>
          <w:szCs w:val="10"/>
        </w:rPr>
      </w:pPr>
    </w:p>
    <w:p w14:paraId="57873453"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786CD425" w14:textId="77777777" w:rsidTr="00734230">
        <w:trPr>
          <w:trHeight w:val="272"/>
        </w:trPr>
        <w:tc>
          <w:tcPr>
            <w:tcW w:w="10456" w:type="dxa"/>
            <w:shd w:val="clear" w:color="auto" w:fill="50003A"/>
          </w:tcPr>
          <w:p w14:paraId="624B28E5" w14:textId="0963DFA3"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43E4D9D4" w14:textId="77777777" w:rsidTr="00FE326C">
        <w:trPr>
          <w:trHeight w:val="905"/>
        </w:trPr>
        <w:tc>
          <w:tcPr>
            <w:tcW w:w="10456" w:type="dxa"/>
          </w:tcPr>
          <w:p w14:paraId="0213926C" w14:textId="28E5E11A" w:rsidR="00AD4836" w:rsidRPr="00734230" w:rsidRDefault="00102CD8" w:rsidP="00F84334">
            <w:pPr>
              <w:spacing w:line="259" w:lineRule="auto"/>
              <w:rPr>
                <w:rFonts w:ascii="Arial" w:hAnsi="Arial" w:cs="Arial"/>
              </w:rPr>
            </w:pPr>
            <w:r>
              <w:rPr>
                <w:rFonts w:ascii="Arial" w:hAnsi="Arial" w:cs="Arial"/>
              </w:rPr>
              <w:t>Degree</w:t>
            </w:r>
            <w:r w:rsidR="001F63F8">
              <w:rPr>
                <w:rFonts w:ascii="Arial" w:hAnsi="Arial" w:cs="Arial"/>
              </w:rPr>
              <w:t xml:space="preserve"> – commerce, technical</w:t>
            </w:r>
          </w:p>
        </w:tc>
      </w:tr>
    </w:tbl>
    <w:p w14:paraId="1414DD7B" w14:textId="154AEB79" w:rsidR="00E85291" w:rsidRPr="00734230" w:rsidRDefault="00E85291" w:rsidP="00FC1548">
      <w:pPr>
        <w:spacing w:after="0"/>
        <w:rPr>
          <w:rFonts w:ascii="Arial" w:hAnsi="Arial" w:cs="Arial"/>
          <w:sz w:val="10"/>
          <w:szCs w:val="10"/>
        </w:rPr>
      </w:pPr>
    </w:p>
    <w:p w14:paraId="0B681394"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868EE67" w14:textId="77777777" w:rsidTr="00734230">
        <w:trPr>
          <w:trHeight w:val="272"/>
        </w:trPr>
        <w:tc>
          <w:tcPr>
            <w:tcW w:w="10456" w:type="dxa"/>
            <w:shd w:val="clear" w:color="auto" w:fill="50003A"/>
          </w:tcPr>
          <w:p w14:paraId="6290CF2D" w14:textId="78EF3242"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2C34EE2D" w14:textId="77777777" w:rsidTr="00F728B1">
        <w:trPr>
          <w:trHeight w:val="905"/>
        </w:trPr>
        <w:tc>
          <w:tcPr>
            <w:tcW w:w="10456" w:type="dxa"/>
          </w:tcPr>
          <w:p w14:paraId="1C8EC554" w14:textId="40F31794"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76383C26" w14:textId="66686AAC" w:rsidR="00992E1C" w:rsidRPr="00734230" w:rsidRDefault="00992E1C">
      <w:pPr>
        <w:rPr>
          <w:rFonts w:ascii="Arial" w:hAnsi="Arial" w:cs="Arial"/>
          <w:sz w:val="10"/>
          <w:szCs w:val="10"/>
        </w:rPr>
      </w:pPr>
      <w:r w:rsidRPr="00734230">
        <w:rPr>
          <w:rFonts w:ascii="Arial" w:hAnsi="Arial" w:cs="Arial"/>
          <w:sz w:val="10"/>
          <w:szCs w:val="10"/>
        </w:rPr>
        <w:br w:type="page"/>
      </w:r>
    </w:p>
    <w:p w14:paraId="1B224CF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3E9A71F2" w14:textId="77777777" w:rsidTr="00852BF6">
        <w:trPr>
          <w:trHeight w:val="275"/>
        </w:trPr>
        <w:tc>
          <w:tcPr>
            <w:tcW w:w="10457" w:type="dxa"/>
            <w:shd w:val="clear" w:color="auto" w:fill="F04E58"/>
          </w:tcPr>
          <w:p w14:paraId="53A3665A" w14:textId="32C3C326"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36C132DE" w14:textId="033D41CD"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6B47291F" wp14:editId="1764D9C3">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5B454706"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6828409" w14:textId="77777777" w:rsidTr="00734230">
        <w:tc>
          <w:tcPr>
            <w:tcW w:w="10485" w:type="dxa"/>
            <w:gridSpan w:val="2"/>
            <w:shd w:val="clear" w:color="auto" w:fill="50003A"/>
          </w:tcPr>
          <w:p w14:paraId="1B01FE39" w14:textId="0DF06AFE"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7E22E81C" w14:textId="77777777" w:rsidTr="00F728B1">
        <w:trPr>
          <w:trHeight w:val="425"/>
        </w:trPr>
        <w:tc>
          <w:tcPr>
            <w:tcW w:w="5242" w:type="dxa"/>
            <w:vAlign w:val="center"/>
          </w:tcPr>
          <w:p w14:paraId="63597E79" w14:textId="77777777" w:rsidR="00825E92" w:rsidRPr="00F43A44" w:rsidRDefault="00CD3421" w:rsidP="00F728B1">
            <w:pPr>
              <w:jc w:val="center"/>
              <w:rPr>
                <w:rFonts w:ascii="Arial" w:hAnsi="Arial" w:cs="Arial"/>
                <w:b/>
                <w:bCs/>
              </w:rPr>
            </w:pPr>
            <w:r w:rsidRPr="00F43A44">
              <w:rPr>
                <w:rFonts w:ascii="Arial" w:hAnsi="Arial" w:cs="Arial"/>
                <w:b/>
                <w:bCs/>
              </w:rPr>
              <w:t>Customer and Community</w:t>
            </w:r>
            <w:r w:rsidR="00F43A44" w:rsidRPr="00F43A44">
              <w:rPr>
                <w:rFonts w:ascii="Arial" w:hAnsi="Arial" w:cs="Arial"/>
                <w:b/>
                <w:bCs/>
              </w:rPr>
              <w:t xml:space="preserve"> – Partnering Foundational</w:t>
            </w:r>
          </w:p>
          <w:p w14:paraId="48101101" w14:textId="247C3BEF" w:rsidR="00F43A44" w:rsidRPr="00F43A44" w:rsidRDefault="00F43A44" w:rsidP="00F728B1">
            <w:pPr>
              <w:jc w:val="center"/>
              <w:rPr>
                <w:rFonts w:ascii="Arial" w:hAnsi="Arial" w:cs="Arial"/>
                <w:b/>
                <w:bCs/>
              </w:rPr>
            </w:pPr>
            <w:r w:rsidRPr="00F43A44">
              <w:rPr>
                <w:rFonts w:ascii="Arial" w:hAnsi="Arial" w:cs="Arial"/>
                <w:sz w:val="20"/>
                <w:szCs w:val="20"/>
              </w:rPr>
              <w:t xml:space="preserve">Acts with intent to build sustainable partnerships with customers, </w:t>
            </w:r>
            <w:proofErr w:type="gramStart"/>
            <w:r w:rsidRPr="00F43A44">
              <w:rPr>
                <w:rFonts w:ascii="Arial" w:hAnsi="Arial" w:cs="Arial"/>
                <w:sz w:val="20"/>
                <w:szCs w:val="20"/>
              </w:rPr>
              <w:t>community</w:t>
            </w:r>
            <w:proofErr w:type="gramEnd"/>
            <w:r w:rsidRPr="00F43A44">
              <w:rPr>
                <w:rFonts w:ascii="Arial" w:hAnsi="Arial" w:cs="Arial"/>
                <w:sz w:val="20"/>
                <w:szCs w:val="20"/>
              </w:rPr>
              <w:t xml:space="preserve"> and stakeholders to deliver shared value and achieve business outcomes</w:t>
            </w:r>
          </w:p>
        </w:tc>
        <w:tc>
          <w:tcPr>
            <w:tcW w:w="5243" w:type="dxa"/>
            <w:vAlign w:val="center"/>
          </w:tcPr>
          <w:p w14:paraId="4BED6E22" w14:textId="3C84FBC0" w:rsidR="00F43A44" w:rsidRPr="00F43A44" w:rsidRDefault="00CD3421" w:rsidP="00F43A44">
            <w:pPr>
              <w:jc w:val="center"/>
              <w:rPr>
                <w:rFonts w:ascii="Arial" w:hAnsi="Arial" w:cs="Arial"/>
                <w:b/>
                <w:bCs/>
              </w:rPr>
            </w:pPr>
            <w:r w:rsidRPr="00F43A44">
              <w:rPr>
                <w:rFonts w:ascii="Arial" w:hAnsi="Arial" w:cs="Arial"/>
                <w:b/>
                <w:bCs/>
              </w:rPr>
              <w:t>Performance Excellence</w:t>
            </w:r>
            <w:r w:rsidR="00F43A44" w:rsidRPr="00F43A44">
              <w:rPr>
                <w:rFonts w:ascii="Arial" w:hAnsi="Arial" w:cs="Arial"/>
                <w:b/>
                <w:bCs/>
              </w:rPr>
              <w:t xml:space="preserve"> - Execution</w:t>
            </w:r>
          </w:p>
          <w:p w14:paraId="0496E0F5" w14:textId="77777777" w:rsidR="00825E92" w:rsidRPr="00F43A44" w:rsidRDefault="00F43A44" w:rsidP="00F728B1">
            <w:pPr>
              <w:jc w:val="center"/>
              <w:rPr>
                <w:rFonts w:ascii="Arial" w:hAnsi="Arial" w:cs="Arial"/>
                <w:b/>
                <w:bCs/>
              </w:rPr>
            </w:pPr>
            <w:r w:rsidRPr="00F43A44">
              <w:rPr>
                <w:rFonts w:ascii="Arial" w:hAnsi="Arial" w:cs="Arial"/>
                <w:b/>
                <w:bCs/>
              </w:rPr>
              <w:t>Intermediate</w:t>
            </w:r>
          </w:p>
          <w:p w14:paraId="2B6934FF" w14:textId="2B40D8A5" w:rsidR="00F43A44" w:rsidRPr="00F43A44" w:rsidRDefault="00F43A44" w:rsidP="00F728B1">
            <w:pPr>
              <w:jc w:val="center"/>
              <w:rPr>
                <w:rFonts w:ascii="Arial" w:hAnsi="Arial" w:cs="Arial"/>
                <w:b/>
                <w:bCs/>
              </w:rPr>
            </w:pPr>
            <w:r w:rsidRPr="00F43A44">
              <w:rPr>
                <w:rFonts w:ascii="Arial" w:hAnsi="Arial" w:cs="Arial"/>
                <w:sz w:val="20"/>
                <w:szCs w:val="20"/>
              </w:rPr>
              <w:t xml:space="preserve">Makes well-considered decisions, </w:t>
            </w:r>
            <w:proofErr w:type="gramStart"/>
            <w:r w:rsidRPr="00F43A44">
              <w:rPr>
                <w:rFonts w:ascii="Arial" w:hAnsi="Arial" w:cs="Arial"/>
                <w:sz w:val="20"/>
                <w:szCs w:val="20"/>
              </w:rPr>
              <w:t>plans</w:t>
            </w:r>
            <w:proofErr w:type="gramEnd"/>
            <w:r w:rsidRPr="00F43A44">
              <w:rPr>
                <w:rFonts w:ascii="Arial" w:hAnsi="Arial" w:cs="Arial"/>
                <w:sz w:val="20"/>
                <w:szCs w:val="20"/>
              </w:rPr>
              <w:t xml:space="preserve"> and delivers quality outcomes. Problem solves and acts with integrity. Holds self and others accountable</w:t>
            </w:r>
          </w:p>
        </w:tc>
      </w:tr>
      <w:tr w:rsidR="00825E92" w:rsidRPr="00734230" w14:paraId="343C8066" w14:textId="77777777" w:rsidTr="00F728B1">
        <w:trPr>
          <w:trHeight w:val="425"/>
        </w:trPr>
        <w:tc>
          <w:tcPr>
            <w:tcW w:w="5242" w:type="dxa"/>
            <w:vAlign w:val="center"/>
          </w:tcPr>
          <w:p w14:paraId="4E19FFA9" w14:textId="77777777" w:rsidR="00F43A44" w:rsidRPr="00F43A44" w:rsidRDefault="00CD3421" w:rsidP="00F728B1">
            <w:pPr>
              <w:jc w:val="center"/>
              <w:rPr>
                <w:rFonts w:ascii="Arial" w:hAnsi="Arial" w:cs="Arial"/>
                <w:b/>
                <w:bCs/>
              </w:rPr>
            </w:pPr>
            <w:r w:rsidRPr="00F43A44">
              <w:rPr>
                <w:rFonts w:ascii="Arial" w:hAnsi="Arial" w:cs="Arial"/>
                <w:b/>
                <w:bCs/>
              </w:rPr>
              <w:t>People Excellence</w:t>
            </w:r>
            <w:r w:rsidR="00F43A44" w:rsidRPr="00F43A44">
              <w:rPr>
                <w:rFonts w:ascii="Arial" w:hAnsi="Arial" w:cs="Arial"/>
                <w:b/>
                <w:bCs/>
              </w:rPr>
              <w:t xml:space="preserve"> – Grow Self</w:t>
            </w:r>
          </w:p>
          <w:p w14:paraId="06A56658" w14:textId="77777777" w:rsidR="00825E92" w:rsidRPr="00F43A44" w:rsidRDefault="00F43A44" w:rsidP="00F728B1">
            <w:pPr>
              <w:jc w:val="center"/>
              <w:rPr>
                <w:rFonts w:ascii="Arial" w:hAnsi="Arial" w:cs="Arial"/>
                <w:b/>
                <w:bCs/>
              </w:rPr>
            </w:pPr>
            <w:r w:rsidRPr="00F43A44">
              <w:rPr>
                <w:rFonts w:ascii="Arial" w:hAnsi="Arial" w:cs="Arial"/>
                <w:b/>
                <w:bCs/>
              </w:rPr>
              <w:t>Foundational</w:t>
            </w:r>
          </w:p>
          <w:p w14:paraId="6C576B3E" w14:textId="77777777" w:rsidR="00F43A44" w:rsidRDefault="00F43A44" w:rsidP="00F728B1">
            <w:pPr>
              <w:jc w:val="center"/>
              <w:rPr>
                <w:rFonts w:ascii="Arial" w:hAnsi="Arial" w:cs="Arial"/>
                <w:sz w:val="20"/>
                <w:szCs w:val="20"/>
              </w:rPr>
            </w:pPr>
            <w:r w:rsidRPr="00F43A44">
              <w:rPr>
                <w:rFonts w:ascii="Arial" w:hAnsi="Arial" w:cs="Arial"/>
                <w:sz w:val="20"/>
                <w:szCs w:val="20"/>
              </w:rPr>
              <w:t>Grows knowledge, is curious and proactively applies learning. Builds resilience and is mindful of impact on others</w:t>
            </w:r>
          </w:p>
          <w:p w14:paraId="2CD1E515" w14:textId="77777777" w:rsidR="00F43A44" w:rsidRDefault="00F43A44" w:rsidP="00F728B1">
            <w:pPr>
              <w:jc w:val="center"/>
              <w:rPr>
                <w:rFonts w:ascii="Arial" w:hAnsi="Arial" w:cs="Arial"/>
                <w:sz w:val="20"/>
                <w:szCs w:val="20"/>
              </w:rPr>
            </w:pPr>
          </w:p>
          <w:p w14:paraId="1C2F7355" w14:textId="70BA0EAD" w:rsidR="00F43A44" w:rsidRPr="00F43A44" w:rsidRDefault="00F43A44" w:rsidP="00F728B1">
            <w:pPr>
              <w:jc w:val="center"/>
              <w:rPr>
                <w:rFonts w:ascii="Arial" w:hAnsi="Arial" w:cs="Arial"/>
                <w:b/>
                <w:bCs/>
              </w:rPr>
            </w:pPr>
          </w:p>
        </w:tc>
        <w:tc>
          <w:tcPr>
            <w:tcW w:w="5243" w:type="dxa"/>
            <w:vAlign w:val="center"/>
          </w:tcPr>
          <w:p w14:paraId="53DB7F4E" w14:textId="76738F2E" w:rsidR="00F43A44" w:rsidRPr="00F43A44" w:rsidRDefault="00CD3421" w:rsidP="00F43A44">
            <w:pPr>
              <w:jc w:val="center"/>
              <w:rPr>
                <w:rFonts w:ascii="Arial" w:hAnsi="Arial" w:cs="Arial"/>
                <w:b/>
                <w:bCs/>
              </w:rPr>
            </w:pPr>
            <w:r w:rsidRPr="00F43A44">
              <w:rPr>
                <w:rFonts w:ascii="Arial" w:hAnsi="Arial" w:cs="Arial"/>
                <w:b/>
                <w:bCs/>
              </w:rPr>
              <w:t>Professional Expertise</w:t>
            </w:r>
            <w:r w:rsidR="00F43A44" w:rsidRPr="00F43A44">
              <w:rPr>
                <w:rFonts w:ascii="Arial" w:hAnsi="Arial" w:cs="Arial"/>
                <w:b/>
                <w:bCs/>
              </w:rPr>
              <w:t xml:space="preserve"> - Commerciality </w:t>
            </w:r>
          </w:p>
          <w:p w14:paraId="1351BB0C" w14:textId="151B5012" w:rsidR="00F43A44" w:rsidRPr="00F43A44" w:rsidRDefault="00F43A44" w:rsidP="00F728B1">
            <w:pPr>
              <w:jc w:val="center"/>
              <w:rPr>
                <w:rFonts w:ascii="Arial" w:hAnsi="Arial" w:cs="Arial"/>
                <w:b/>
                <w:bCs/>
              </w:rPr>
            </w:pPr>
            <w:r w:rsidRPr="00F43A44">
              <w:rPr>
                <w:rFonts w:ascii="Arial" w:hAnsi="Arial" w:cs="Arial"/>
                <w:b/>
                <w:bCs/>
              </w:rPr>
              <w:t>Foundational</w:t>
            </w:r>
          </w:p>
          <w:p w14:paraId="2E689683" w14:textId="6EA6E2A5" w:rsidR="00F43A44" w:rsidRPr="00F43A44" w:rsidRDefault="00F43A44" w:rsidP="00F728B1">
            <w:pPr>
              <w:jc w:val="center"/>
              <w:rPr>
                <w:rFonts w:ascii="Arial" w:hAnsi="Arial" w:cs="Arial"/>
                <w:sz w:val="20"/>
                <w:szCs w:val="20"/>
              </w:rPr>
            </w:pPr>
            <w:r w:rsidRPr="00F43A44">
              <w:rPr>
                <w:rFonts w:ascii="Arial" w:hAnsi="Arial" w:cs="Arial"/>
                <w:sz w:val="20"/>
                <w:szCs w:val="20"/>
              </w:rPr>
              <w:t xml:space="preserve">Applies understanding of finance, risk, </w:t>
            </w:r>
            <w:proofErr w:type="gramStart"/>
            <w:r w:rsidRPr="00F43A44">
              <w:rPr>
                <w:rFonts w:ascii="Arial" w:hAnsi="Arial" w:cs="Arial"/>
                <w:sz w:val="20"/>
                <w:szCs w:val="20"/>
              </w:rPr>
              <w:t>people</w:t>
            </w:r>
            <w:proofErr w:type="gramEnd"/>
            <w:r w:rsidRPr="00F43A44">
              <w:rPr>
                <w:rFonts w:ascii="Arial" w:hAnsi="Arial" w:cs="Arial"/>
                <w:sz w:val="20"/>
                <w:szCs w:val="20"/>
              </w:rPr>
              <w:t xml:space="preserve"> and customer for decision-making to deliver business sustainability. Takes appropriate risks and acts in the best interest of the Bank</w:t>
            </w:r>
          </w:p>
          <w:p w14:paraId="636852C7" w14:textId="7996A248" w:rsidR="00825E92" w:rsidRPr="00F43A44" w:rsidRDefault="00825E92" w:rsidP="00F728B1">
            <w:pPr>
              <w:jc w:val="center"/>
              <w:rPr>
                <w:rFonts w:ascii="Arial" w:hAnsi="Arial" w:cs="Arial"/>
                <w:b/>
                <w:bCs/>
              </w:rPr>
            </w:pPr>
          </w:p>
        </w:tc>
      </w:tr>
    </w:tbl>
    <w:p w14:paraId="3482B505" w14:textId="1B4CDCB5" w:rsidR="00825E92" w:rsidRPr="00734230" w:rsidRDefault="00825E92" w:rsidP="00FC1548">
      <w:pPr>
        <w:spacing w:after="0"/>
        <w:rPr>
          <w:rFonts w:ascii="Arial" w:hAnsi="Arial" w:cs="Arial"/>
          <w:sz w:val="10"/>
          <w:szCs w:val="10"/>
        </w:rPr>
      </w:pPr>
    </w:p>
    <w:p w14:paraId="6FE28238"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5" w:name="_Hlk31111060"/>
    </w:p>
    <w:bookmarkEnd w:id="5"/>
    <w:p w14:paraId="696D11A4" w14:textId="63ACE5CC" w:rsidR="00F6766A" w:rsidRPr="00734230" w:rsidRDefault="00F6766A" w:rsidP="00FC1548">
      <w:pPr>
        <w:spacing w:after="0"/>
        <w:rPr>
          <w:rFonts w:ascii="Arial" w:hAnsi="Arial" w:cs="Arial"/>
          <w:sz w:val="10"/>
          <w:szCs w:val="10"/>
        </w:rPr>
      </w:pPr>
    </w:p>
    <w:p w14:paraId="2DAB688A"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5C1004AF" w14:textId="77777777" w:rsidTr="00734230">
        <w:tc>
          <w:tcPr>
            <w:tcW w:w="10485" w:type="dxa"/>
            <w:gridSpan w:val="2"/>
            <w:shd w:val="clear" w:color="auto" w:fill="50003A"/>
          </w:tcPr>
          <w:p w14:paraId="410E48EA" w14:textId="5FAA91E2"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76BAEB83" w14:textId="77777777" w:rsidTr="0030682C">
        <w:trPr>
          <w:trHeight w:val="556"/>
        </w:trPr>
        <w:tc>
          <w:tcPr>
            <w:tcW w:w="2689" w:type="dxa"/>
            <w:vAlign w:val="center"/>
          </w:tcPr>
          <w:p w14:paraId="6D9098F2" w14:textId="5414FE89" w:rsidR="00F07158" w:rsidRPr="00734230" w:rsidRDefault="00224AB4" w:rsidP="005616C8">
            <w:pPr>
              <w:rPr>
                <w:rFonts w:ascii="Arial" w:hAnsi="Arial" w:cs="Arial"/>
                <w:b/>
                <w:bCs/>
              </w:rPr>
            </w:pPr>
            <w:r w:rsidRPr="00224AB4">
              <w:rPr>
                <w:rFonts w:ascii="Arial" w:hAnsi="Arial" w:cs="Arial"/>
                <w:b/>
                <w:bCs/>
              </w:rPr>
              <w:t>Impact</w:t>
            </w:r>
          </w:p>
        </w:tc>
        <w:tc>
          <w:tcPr>
            <w:tcW w:w="7796" w:type="dxa"/>
          </w:tcPr>
          <w:p w14:paraId="5F4860EA" w14:textId="183EDE61" w:rsidR="0030682C" w:rsidRPr="00734230" w:rsidRDefault="00224AB4" w:rsidP="00CF279A">
            <w:pPr>
              <w:rPr>
                <w:rFonts w:ascii="Arial" w:hAnsi="Arial" w:cs="Arial"/>
              </w:rPr>
            </w:pPr>
            <w:r w:rsidRPr="00224AB4">
              <w:rPr>
                <w:rFonts w:ascii="Arial" w:hAnsi="Arial" w:cs="Arial"/>
              </w:rPr>
              <w:t>Directly contributing to the success of the organisation, knowing work directly affects productivity</w:t>
            </w:r>
            <w:r>
              <w:rPr>
                <w:rFonts w:ascii="Arial" w:hAnsi="Arial" w:cs="Arial"/>
              </w:rPr>
              <w:t xml:space="preserve"> </w:t>
            </w:r>
            <w:r w:rsidRPr="00224AB4">
              <w:rPr>
                <w:rFonts w:ascii="Arial" w:hAnsi="Arial" w:cs="Arial"/>
              </w:rPr>
              <w:t>and profit.</w:t>
            </w:r>
          </w:p>
        </w:tc>
      </w:tr>
      <w:tr w:rsidR="005616C8" w:rsidRPr="00734230" w14:paraId="11261210" w14:textId="77777777" w:rsidTr="0030682C">
        <w:trPr>
          <w:trHeight w:val="556"/>
        </w:trPr>
        <w:tc>
          <w:tcPr>
            <w:tcW w:w="2689" w:type="dxa"/>
            <w:vAlign w:val="center"/>
          </w:tcPr>
          <w:p w14:paraId="7BEA001D" w14:textId="19BBD319" w:rsidR="005616C8" w:rsidRPr="00734230" w:rsidRDefault="00224AB4" w:rsidP="005616C8">
            <w:pPr>
              <w:rPr>
                <w:rFonts w:ascii="Arial" w:hAnsi="Arial" w:cs="Arial"/>
                <w:b/>
                <w:bCs/>
              </w:rPr>
            </w:pPr>
            <w:r w:rsidRPr="00224AB4">
              <w:rPr>
                <w:rFonts w:ascii="Arial" w:hAnsi="Arial" w:cs="Arial"/>
                <w:b/>
                <w:bCs/>
              </w:rPr>
              <w:t>Achievement</w:t>
            </w:r>
          </w:p>
        </w:tc>
        <w:tc>
          <w:tcPr>
            <w:tcW w:w="7796" w:type="dxa"/>
          </w:tcPr>
          <w:p w14:paraId="5B135EBB" w14:textId="7A6EBFAB" w:rsidR="005616C8" w:rsidRPr="00734230" w:rsidRDefault="00224AB4" w:rsidP="005616C8">
            <w:pPr>
              <w:rPr>
                <w:rFonts w:ascii="Arial" w:hAnsi="Arial" w:cs="Arial"/>
              </w:rPr>
            </w:pPr>
            <w:r w:rsidRPr="00224AB4">
              <w:rPr>
                <w:rFonts w:ascii="Arial" w:hAnsi="Arial" w:cs="Arial"/>
              </w:rPr>
              <w:t>Gaining a sense of achievement, closure; seeing something through to completion; working towards attainable goals.</w:t>
            </w:r>
          </w:p>
        </w:tc>
      </w:tr>
      <w:tr w:rsidR="005616C8" w:rsidRPr="00734230" w14:paraId="078369CD" w14:textId="77777777" w:rsidTr="0030682C">
        <w:trPr>
          <w:trHeight w:val="556"/>
        </w:trPr>
        <w:tc>
          <w:tcPr>
            <w:tcW w:w="2689" w:type="dxa"/>
            <w:vAlign w:val="center"/>
          </w:tcPr>
          <w:p w14:paraId="7C8FB964" w14:textId="619068F9" w:rsidR="005616C8" w:rsidRPr="00734230" w:rsidRDefault="00224AB4" w:rsidP="005616C8">
            <w:pPr>
              <w:rPr>
                <w:rFonts w:ascii="Arial" w:hAnsi="Arial" w:cs="Arial"/>
                <w:b/>
                <w:bCs/>
              </w:rPr>
            </w:pPr>
            <w:r w:rsidRPr="00224AB4">
              <w:rPr>
                <w:rFonts w:ascii="Arial" w:hAnsi="Arial" w:cs="Arial"/>
                <w:b/>
                <w:bCs/>
              </w:rPr>
              <w:t>Belonging</w:t>
            </w:r>
          </w:p>
        </w:tc>
        <w:tc>
          <w:tcPr>
            <w:tcW w:w="7796" w:type="dxa"/>
          </w:tcPr>
          <w:p w14:paraId="30C81968" w14:textId="2444119E" w:rsidR="005616C8" w:rsidRPr="00734230" w:rsidRDefault="00224AB4" w:rsidP="005616C8">
            <w:pPr>
              <w:rPr>
                <w:rFonts w:ascii="Arial" w:hAnsi="Arial" w:cs="Arial"/>
              </w:rPr>
            </w:pPr>
            <w:r w:rsidRPr="00224AB4">
              <w:rPr>
                <w:rFonts w:ascii="Arial" w:hAnsi="Arial" w:cs="Arial"/>
              </w:rPr>
              <w:t>Being able to relate to and identify with others, building meaningful connections; working in a supportive environment.</w:t>
            </w:r>
          </w:p>
        </w:tc>
      </w:tr>
    </w:tbl>
    <w:p w14:paraId="37BAB82F" w14:textId="0EFE2C4E"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FB54" w14:textId="77777777" w:rsidR="00F54F3B" w:rsidRDefault="00F54F3B" w:rsidP="00E5307F">
      <w:pPr>
        <w:spacing w:after="0" w:line="240" w:lineRule="auto"/>
      </w:pPr>
      <w:r>
        <w:separator/>
      </w:r>
    </w:p>
  </w:endnote>
  <w:endnote w:type="continuationSeparator" w:id="0">
    <w:p w14:paraId="0C1EE2BA" w14:textId="77777777" w:rsidR="00F54F3B" w:rsidRDefault="00F54F3B"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A59C8" w14:textId="7C39A137"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B35477">
      <w:rPr>
        <w:rFonts w:ascii="Arial" w:hAnsi="Arial" w:cs="Arial"/>
        <w:noProof/>
        <w:sz w:val="18"/>
        <w:szCs w:val="18"/>
      </w:rPr>
      <w:t>12-Jan-21</w:t>
    </w:r>
    <w:r>
      <w:rPr>
        <w:rFonts w:ascii="Arial" w:hAnsi="Arial" w:cs="Arial"/>
        <w:sz w:val="18"/>
        <w:szCs w:val="18"/>
      </w:rPr>
      <w:fldChar w:fldCharType="end"/>
    </w:r>
  </w:p>
  <w:p w14:paraId="28E81577" w14:textId="4A05ABCF"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45FE8" w14:textId="77777777" w:rsidR="00F54F3B" w:rsidRDefault="00F54F3B" w:rsidP="00E5307F">
      <w:pPr>
        <w:spacing w:after="0" w:line="240" w:lineRule="auto"/>
      </w:pPr>
      <w:r>
        <w:separator/>
      </w:r>
    </w:p>
  </w:footnote>
  <w:footnote w:type="continuationSeparator" w:id="0">
    <w:p w14:paraId="79D6F14A" w14:textId="77777777" w:rsidR="00F54F3B" w:rsidRDefault="00F54F3B"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4B13" w14:textId="07115715"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7C81BCFB" wp14:editId="3F468616">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69A85910" wp14:editId="1A4B8F1B">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5A9"/>
    <w:multiLevelType w:val="hybridMultilevel"/>
    <w:tmpl w:val="17F6B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A07FD"/>
    <w:multiLevelType w:val="hybridMultilevel"/>
    <w:tmpl w:val="690EB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2E16A3"/>
    <w:multiLevelType w:val="hybridMultilevel"/>
    <w:tmpl w:val="1A8CD004"/>
    <w:lvl w:ilvl="0" w:tplc="AF3C1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DE96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2C13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B4F0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48B9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C85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2E2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0CAA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8C0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4B45B4"/>
    <w:multiLevelType w:val="hybridMultilevel"/>
    <w:tmpl w:val="BDB8D926"/>
    <w:lvl w:ilvl="0" w:tplc="3A6A6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0F0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846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6C11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FE7C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4E9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85C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B0F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C99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7" w15:restartNumberingAfterBreak="0">
    <w:nsid w:val="593D5318"/>
    <w:multiLevelType w:val="hybridMultilevel"/>
    <w:tmpl w:val="3280A012"/>
    <w:numStyleLink w:val="ImportedStyle3"/>
  </w:abstractNum>
  <w:abstractNum w:abstractNumId="8"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D1063A"/>
    <w:multiLevelType w:val="hybridMultilevel"/>
    <w:tmpl w:val="1F42A944"/>
    <w:lvl w:ilvl="0" w:tplc="4426C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086C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C40F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7A28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36F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8A9F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4234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984B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3018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9CB6330"/>
    <w:multiLevelType w:val="hybridMultilevel"/>
    <w:tmpl w:val="D5965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A355B"/>
    <w:multiLevelType w:val="hybridMultilevel"/>
    <w:tmpl w:val="3280A012"/>
    <w:styleLink w:val="ImportedStyle3"/>
    <w:lvl w:ilvl="0" w:tplc="40F6A1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B649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CE4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C2F0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6AC2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105C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DE00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BC96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7A6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9"/>
  </w:num>
  <w:num w:numId="4">
    <w:abstractNumId w:val="3"/>
  </w:num>
  <w:num w:numId="5">
    <w:abstractNumId w:val="8"/>
  </w:num>
  <w:num w:numId="6">
    <w:abstractNumId w:val="11"/>
  </w:num>
  <w:num w:numId="7">
    <w:abstractNumId w:val="0"/>
  </w:num>
  <w:num w:numId="8">
    <w:abstractNumId w:val="1"/>
  </w:num>
  <w:num w:numId="9">
    <w:abstractNumId w:val="4"/>
  </w:num>
  <w:num w:numId="10">
    <w:abstractNumId w:val="5"/>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7F"/>
    <w:rsid w:val="00004D57"/>
    <w:rsid w:val="00045F7F"/>
    <w:rsid w:val="00051E1B"/>
    <w:rsid w:val="000570D5"/>
    <w:rsid w:val="0006596E"/>
    <w:rsid w:val="000719BA"/>
    <w:rsid w:val="0007458C"/>
    <w:rsid w:val="000840FF"/>
    <w:rsid w:val="00084843"/>
    <w:rsid w:val="000854FE"/>
    <w:rsid w:val="000A2B3D"/>
    <w:rsid w:val="000D5796"/>
    <w:rsid w:val="000F6A5A"/>
    <w:rsid w:val="00102CD8"/>
    <w:rsid w:val="0010623F"/>
    <w:rsid w:val="00162CFD"/>
    <w:rsid w:val="00163488"/>
    <w:rsid w:val="0019040A"/>
    <w:rsid w:val="00196B80"/>
    <w:rsid w:val="001E2072"/>
    <w:rsid w:val="001E7650"/>
    <w:rsid w:val="001F63F8"/>
    <w:rsid w:val="00224AB4"/>
    <w:rsid w:val="00265AA0"/>
    <w:rsid w:val="00292A0A"/>
    <w:rsid w:val="00296665"/>
    <w:rsid w:val="002C205D"/>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14D52"/>
    <w:rsid w:val="00415A87"/>
    <w:rsid w:val="004418FD"/>
    <w:rsid w:val="00447F22"/>
    <w:rsid w:val="00474DBF"/>
    <w:rsid w:val="00483295"/>
    <w:rsid w:val="004833F4"/>
    <w:rsid w:val="00487E76"/>
    <w:rsid w:val="004F1A38"/>
    <w:rsid w:val="004F315F"/>
    <w:rsid w:val="004F4ABF"/>
    <w:rsid w:val="005047A8"/>
    <w:rsid w:val="005439F9"/>
    <w:rsid w:val="005616C8"/>
    <w:rsid w:val="00570758"/>
    <w:rsid w:val="00573C5A"/>
    <w:rsid w:val="00590CA4"/>
    <w:rsid w:val="005B3B8F"/>
    <w:rsid w:val="005C6160"/>
    <w:rsid w:val="005F14E1"/>
    <w:rsid w:val="0063273F"/>
    <w:rsid w:val="00643232"/>
    <w:rsid w:val="00654709"/>
    <w:rsid w:val="006641DC"/>
    <w:rsid w:val="006710C7"/>
    <w:rsid w:val="00691606"/>
    <w:rsid w:val="006B1E9D"/>
    <w:rsid w:val="006B4CCC"/>
    <w:rsid w:val="006F7CBF"/>
    <w:rsid w:val="00702AAC"/>
    <w:rsid w:val="007061A1"/>
    <w:rsid w:val="00706F36"/>
    <w:rsid w:val="00706FC9"/>
    <w:rsid w:val="00730B89"/>
    <w:rsid w:val="00734230"/>
    <w:rsid w:val="00743A41"/>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819F5"/>
    <w:rsid w:val="0089720F"/>
    <w:rsid w:val="008A31CA"/>
    <w:rsid w:val="008B6203"/>
    <w:rsid w:val="008D078A"/>
    <w:rsid w:val="00910AAE"/>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51E68"/>
    <w:rsid w:val="00A52505"/>
    <w:rsid w:val="00A640D5"/>
    <w:rsid w:val="00A72F5E"/>
    <w:rsid w:val="00A76C18"/>
    <w:rsid w:val="00A812DE"/>
    <w:rsid w:val="00AA7DCA"/>
    <w:rsid w:val="00AB3139"/>
    <w:rsid w:val="00AB7B14"/>
    <w:rsid w:val="00AD4836"/>
    <w:rsid w:val="00B02D04"/>
    <w:rsid w:val="00B14C4E"/>
    <w:rsid w:val="00B21D88"/>
    <w:rsid w:val="00B32C11"/>
    <w:rsid w:val="00B35477"/>
    <w:rsid w:val="00B426EF"/>
    <w:rsid w:val="00B45AD9"/>
    <w:rsid w:val="00B4725D"/>
    <w:rsid w:val="00B65F0A"/>
    <w:rsid w:val="00BA33DC"/>
    <w:rsid w:val="00BA3FD5"/>
    <w:rsid w:val="00BA411D"/>
    <w:rsid w:val="00BA7D75"/>
    <w:rsid w:val="00BB53B1"/>
    <w:rsid w:val="00BD53DA"/>
    <w:rsid w:val="00BF13EF"/>
    <w:rsid w:val="00C150EE"/>
    <w:rsid w:val="00C25267"/>
    <w:rsid w:val="00C60FA3"/>
    <w:rsid w:val="00C725E0"/>
    <w:rsid w:val="00C91386"/>
    <w:rsid w:val="00CA49B2"/>
    <w:rsid w:val="00CB17DE"/>
    <w:rsid w:val="00CB7427"/>
    <w:rsid w:val="00CC02CB"/>
    <w:rsid w:val="00CD3421"/>
    <w:rsid w:val="00CF5F20"/>
    <w:rsid w:val="00CF7D6D"/>
    <w:rsid w:val="00CF7F5E"/>
    <w:rsid w:val="00D158DD"/>
    <w:rsid w:val="00D309E1"/>
    <w:rsid w:val="00D35072"/>
    <w:rsid w:val="00D87DC7"/>
    <w:rsid w:val="00DA489D"/>
    <w:rsid w:val="00DD6D85"/>
    <w:rsid w:val="00DE5C28"/>
    <w:rsid w:val="00E01768"/>
    <w:rsid w:val="00E0306F"/>
    <w:rsid w:val="00E04EB4"/>
    <w:rsid w:val="00E06E0A"/>
    <w:rsid w:val="00E278ED"/>
    <w:rsid w:val="00E42ADC"/>
    <w:rsid w:val="00E5307F"/>
    <w:rsid w:val="00E813E6"/>
    <w:rsid w:val="00E85291"/>
    <w:rsid w:val="00EA7665"/>
    <w:rsid w:val="00EB3B7A"/>
    <w:rsid w:val="00ED0F5D"/>
    <w:rsid w:val="00EE04F0"/>
    <w:rsid w:val="00EE48A1"/>
    <w:rsid w:val="00F02BAC"/>
    <w:rsid w:val="00F03427"/>
    <w:rsid w:val="00F07158"/>
    <w:rsid w:val="00F42B4D"/>
    <w:rsid w:val="00F43A44"/>
    <w:rsid w:val="00F54F3B"/>
    <w:rsid w:val="00F567ED"/>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952A"/>
  <w15:chartTrackingRefBased/>
  <w15:docId w15:val="{779A54F5-E08A-409E-8B50-C97811EF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numbering" w:customStyle="1" w:styleId="ImportedStyle3">
    <w:name w:val="Imported Style 3"/>
    <w:rsid w:val="00730B8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4.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PD_Analyst MRS_24 Dec 2020</Template>
  <TotalTime>0</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Spaulding</dc:creator>
  <cp:keywords/>
  <dc:description/>
  <cp:lastModifiedBy>Annie Geddes</cp:lastModifiedBy>
  <cp:revision>2</cp:revision>
  <cp:lastPrinted>2020-01-29T00:43:00Z</cp:lastPrinted>
  <dcterms:created xsi:type="dcterms:W3CDTF">2021-01-12T02:03:00Z</dcterms:created>
  <dcterms:modified xsi:type="dcterms:W3CDTF">2021-01-12T02:03:00Z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