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ED2B78">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4"/>
          <w:szCs w:val="44"/>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69A7EC65" w:rsidR="00644F9F" w:rsidRPr="003D547F" w:rsidRDefault="00035707" w:rsidP="00644F9F">
          <w:pPr>
            <w:pStyle w:val="Title"/>
            <w:rPr>
              <w:color w:val="011947"/>
              <w:sz w:val="44"/>
              <w:szCs w:val="44"/>
            </w:rPr>
          </w:pPr>
          <w:r w:rsidRPr="00035707">
            <w:rPr>
              <w:color w:val="011947"/>
              <w:sz w:val="44"/>
              <w:szCs w:val="44"/>
            </w:rPr>
            <w:t>Executive Assistant</w:t>
          </w:r>
          <w:r w:rsidR="00D53491" w:rsidRPr="00035707">
            <w:rPr>
              <w:color w:val="011947"/>
              <w:sz w:val="44"/>
              <w:szCs w:val="44"/>
            </w:rPr>
            <w:t xml:space="preserve"> – Senior Secondary Provision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5AF7866" w:rsidR="006F6682" w:rsidRPr="0057614B" w:rsidRDefault="006D3467"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2024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2AA83B7C" w:rsidR="007D64D9" w:rsidRPr="00B103A8" w:rsidRDefault="002001EC" w:rsidP="007D64D9">
            <w:pPr>
              <w:cnfStyle w:val="000000100000" w:firstRow="0" w:lastRow="0" w:firstColumn="0" w:lastColumn="0" w:oddVBand="0" w:evenVBand="0" w:oddHBand="1" w:evenHBand="0" w:firstRowFirstColumn="0" w:firstRowLastColumn="0" w:lastRowFirstColumn="0" w:lastRowLastColumn="0"/>
            </w:pPr>
            <w:r>
              <w:t>Generic</w:t>
            </w:r>
          </w:p>
        </w:tc>
      </w:tr>
      <w:tr w:rsidR="006D3467"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6D3467" w:rsidRPr="006F6682" w:rsidRDefault="006D3467" w:rsidP="006D3467">
            <w:pPr>
              <w:rPr>
                <w:b w:val="0"/>
                <w:sz w:val="24"/>
                <w:szCs w:val="24"/>
              </w:rPr>
            </w:pPr>
            <w:r w:rsidRPr="006F6682">
              <w:rPr>
                <w:sz w:val="24"/>
                <w:szCs w:val="24"/>
              </w:rPr>
              <w:t>Portfolio</w:t>
            </w:r>
          </w:p>
        </w:tc>
        <w:tc>
          <w:tcPr>
            <w:tcW w:w="6458" w:type="dxa"/>
            <w:gridSpan w:val="2"/>
            <w:vAlign w:val="top"/>
          </w:tcPr>
          <w:p w14:paraId="6C07E303" w14:textId="2A9E5C21" w:rsidR="006D3467" w:rsidRPr="00B103A8" w:rsidRDefault="006D3467" w:rsidP="006D3467">
            <w:pPr>
              <w:cnfStyle w:val="000000000000" w:firstRow="0" w:lastRow="0" w:firstColumn="0" w:lastColumn="0" w:oddVBand="0" w:evenVBand="0" w:oddHBand="0" w:evenHBand="0" w:firstRowFirstColumn="0" w:firstRowLastColumn="0" w:lastRowFirstColumn="0" w:lastRowLastColumn="0"/>
            </w:pPr>
            <w:r w:rsidRPr="0026307C">
              <w:rPr>
                <w:rFonts w:eastAsia="Times New Roman" w:cs="Arial"/>
                <w:bCs/>
                <w:sz w:val="24"/>
                <w:szCs w:val="24"/>
              </w:rPr>
              <w:t>Development and Support</w:t>
            </w:r>
          </w:p>
        </w:tc>
      </w:tr>
      <w:tr w:rsidR="006D3467"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6D3467" w:rsidRPr="006F6682" w:rsidRDefault="006D3467" w:rsidP="006D3467">
            <w:pPr>
              <w:rPr>
                <w:b w:val="0"/>
                <w:sz w:val="24"/>
                <w:szCs w:val="24"/>
              </w:rPr>
            </w:pPr>
            <w:r w:rsidRPr="006F6682">
              <w:rPr>
                <w:sz w:val="24"/>
                <w:szCs w:val="24"/>
              </w:rPr>
              <w:t>Branch</w:t>
            </w:r>
          </w:p>
        </w:tc>
        <w:tc>
          <w:tcPr>
            <w:tcW w:w="6458" w:type="dxa"/>
            <w:gridSpan w:val="2"/>
            <w:vAlign w:val="top"/>
          </w:tcPr>
          <w:p w14:paraId="40F61C2C" w14:textId="0AEDDEDD" w:rsidR="006D3467" w:rsidRPr="00B103A8" w:rsidRDefault="003855B9" w:rsidP="006D3467">
            <w:pPr>
              <w:cnfStyle w:val="000000100000" w:firstRow="0" w:lastRow="0" w:firstColumn="0" w:lastColumn="0" w:oddVBand="0" w:evenVBand="0" w:oddHBand="1" w:evenHBand="0" w:firstRowFirstColumn="0" w:firstRowLastColumn="0" w:lastRowFirstColumn="0" w:lastRowLastColumn="0"/>
            </w:pPr>
            <w:r>
              <w:rPr>
                <w:bCs/>
                <w:sz w:val="24"/>
                <w:szCs w:val="24"/>
              </w:rPr>
              <w:t>Senior Secondary Provision</w:t>
            </w:r>
          </w:p>
        </w:tc>
      </w:tr>
      <w:tr w:rsidR="006D3467"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6D3467" w:rsidRPr="006F6682" w:rsidRDefault="006D3467" w:rsidP="006D3467">
            <w:pPr>
              <w:rPr>
                <w:sz w:val="24"/>
                <w:szCs w:val="24"/>
              </w:rPr>
            </w:pPr>
            <w:r w:rsidRPr="006F6682">
              <w:rPr>
                <w:sz w:val="24"/>
                <w:szCs w:val="24"/>
              </w:rPr>
              <w:t>Section</w:t>
            </w:r>
          </w:p>
        </w:tc>
        <w:tc>
          <w:tcPr>
            <w:tcW w:w="6458" w:type="dxa"/>
            <w:gridSpan w:val="2"/>
            <w:vAlign w:val="top"/>
          </w:tcPr>
          <w:p w14:paraId="561EA7C6" w14:textId="69B14E42" w:rsidR="006D3467" w:rsidRPr="00B103A8" w:rsidRDefault="006D3467" w:rsidP="006D3467">
            <w:pPr>
              <w:cnfStyle w:val="000000000000" w:firstRow="0" w:lastRow="0" w:firstColumn="0" w:lastColumn="0" w:oddVBand="0" w:evenVBand="0" w:oddHBand="0" w:evenHBand="0" w:firstRowFirstColumn="0" w:firstRowLastColumn="0" w:lastRowFirstColumn="0" w:lastRowLastColumn="0"/>
            </w:pPr>
            <w:r w:rsidRPr="00702001">
              <w:rPr>
                <w:rFonts w:eastAsia="Times New Roman" w:cs="Arial"/>
                <w:bCs/>
                <w:sz w:val="24"/>
                <w:szCs w:val="24"/>
              </w:rPr>
              <w:t>N/A</w:t>
            </w:r>
          </w:p>
        </w:tc>
      </w:tr>
      <w:tr w:rsidR="006D3467"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6D3467" w:rsidRPr="006F6682" w:rsidRDefault="006D3467" w:rsidP="006D3467">
            <w:pPr>
              <w:rPr>
                <w:sz w:val="24"/>
                <w:szCs w:val="24"/>
              </w:rPr>
            </w:pPr>
            <w:r w:rsidRPr="006F6682">
              <w:rPr>
                <w:sz w:val="24"/>
                <w:szCs w:val="24"/>
              </w:rPr>
              <w:t>Sub-Section/Unit/School</w:t>
            </w:r>
          </w:p>
        </w:tc>
        <w:tc>
          <w:tcPr>
            <w:tcW w:w="6458" w:type="dxa"/>
            <w:gridSpan w:val="2"/>
            <w:vAlign w:val="top"/>
          </w:tcPr>
          <w:p w14:paraId="0AF51446" w14:textId="628B71B1" w:rsidR="006D3467" w:rsidRPr="00B103A8" w:rsidRDefault="003855B9" w:rsidP="006D3467">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N/A</w:t>
            </w:r>
          </w:p>
        </w:tc>
      </w:tr>
      <w:tr w:rsidR="006D3467"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6D3467" w:rsidRPr="006F6682" w:rsidRDefault="006D3467" w:rsidP="006D3467">
            <w:pPr>
              <w:rPr>
                <w:sz w:val="24"/>
                <w:szCs w:val="24"/>
              </w:rPr>
            </w:pPr>
            <w:r w:rsidRPr="006F6682">
              <w:rPr>
                <w:sz w:val="24"/>
                <w:szCs w:val="24"/>
              </w:rPr>
              <w:t>Supervisor</w:t>
            </w:r>
          </w:p>
        </w:tc>
        <w:tc>
          <w:tcPr>
            <w:tcW w:w="6458" w:type="dxa"/>
            <w:gridSpan w:val="2"/>
            <w:vAlign w:val="top"/>
          </w:tcPr>
          <w:p w14:paraId="2F473510" w14:textId="1A956FFD" w:rsidR="006D3467" w:rsidRPr="00B103A8" w:rsidRDefault="302B1379" w:rsidP="006D3467">
            <w:pPr>
              <w:cnfStyle w:val="000000000000" w:firstRow="0" w:lastRow="0" w:firstColumn="0" w:lastColumn="0" w:oddVBand="0" w:evenVBand="0" w:oddHBand="0" w:evenHBand="0" w:firstRowFirstColumn="0" w:firstRowLastColumn="0" w:lastRowFirstColumn="0" w:lastRowLastColumn="0"/>
            </w:pPr>
            <w:r w:rsidRPr="3F7F5C0E">
              <w:rPr>
                <w:sz w:val="24"/>
                <w:szCs w:val="24"/>
              </w:rPr>
              <w:t xml:space="preserve">Business </w:t>
            </w:r>
            <w:r w:rsidR="0E9DB4B1" w:rsidRPr="3F7F5C0E">
              <w:rPr>
                <w:sz w:val="24"/>
                <w:szCs w:val="24"/>
              </w:rPr>
              <w:t xml:space="preserve">Support </w:t>
            </w:r>
            <w:r w:rsidR="5E8EAFB3" w:rsidRPr="3F7F5C0E">
              <w:rPr>
                <w:sz w:val="24"/>
                <w:szCs w:val="24"/>
              </w:rPr>
              <w:t>Officer</w:t>
            </w:r>
          </w:p>
        </w:tc>
      </w:tr>
      <w:tr w:rsidR="006D3467"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6D3467" w:rsidRPr="006F6682" w:rsidRDefault="006D3467" w:rsidP="006D3467">
            <w:pPr>
              <w:rPr>
                <w:sz w:val="24"/>
                <w:szCs w:val="24"/>
              </w:rPr>
            </w:pPr>
            <w:r w:rsidRPr="006F6682">
              <w:rPr>
                <w:sz w:val="24"/>
                <w:szCs w:val="24"/>
              </w:rPr>
              <w:t>Award/Agreement</w:t>
            </w:r>
          </w:p>
        </w:tc>
        <w:tc>
          <w:tcPr>
            <w:tcW w:w="6458" w:type="dxa"/>
            <w:gridSpan w:val="2"/>
            <w:vAlign w:val="top"/>
          </w:tcPr>
          <w:p w14:paraId="3E694C01" w14:textId="24A20E20" w:rsidR="006D3467" w:rsidRPr="00B103A8" w:rsidRDefault="006D3467" w:rsidP="006D3467">
            <w:pPr>
              <w:cnfStyle w:val="000000100000" w:firstRow="0" w:lastRow="0" w:firstColumn="0" w:lastColumn="0" w:oddVBand="0" w:evenVBand="0" w:oddHBand="1" w:evenHBand="0" w:firstRowFirstColumn="0" w:firstRowLastColumn="0" w:lastRowFirstColumn="0" w:lastRowLastColumn="0"/>
            </w:pPr>
            <w:r w:rsidRPr="0026307C">
              <w:rPr>
                <w:rFonts w:eastAsia="Times New Roman" w:cs="Arial"/>
                <w:bCs/>
                <w:sz w:val="24"/>
                <w:szCs w:val="24"/>
              </w:rPr>
              <w:t>Tasmanian State Service Award</w:t>
            </w:r>
          </w:p>
        </w:tc>
      </w:tr>
      <w:tr w:rsidR="006D3467"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6D3467" w:rsidRPr="006F6682" w:rsidRDefault="006D3467" w:rsidP="006D3467">
            <w:pPr>
              <w:rPr>
                <w:b w:val="0"/>
                <w:sz w:val="24"/>
                <w:szCs w:val="24"/>
              </w:rPr>
            </w:pPr>
            <w:r w:rsidRPr="006F6682">
              <w:rPr>
                <w:sz w:val="24"/>
                <w:szCs w:val="24"/>
              </w:rPr>
              <w:t>Classification</w:t>
            </w:r>
          </w:p>
        </w:tc>
        <w:tc>
          <w:tcPr>
            <w:tcW w:w="6458" w:type="dxa"/>
            <w:gridSpan w:val="2"/>
            <w:vAlign w:val="top"/>
          </w:tcPr>
          <w:p w14:paraId="40BA5B5D" w14:textId="67B2A03F" w:rsidR="006D3467" w:rsidRPr="00B103A8" w:rsidRDefault="006D3467" w:rsidP="006D3467">
            <w:pPr>
              <w:cnfStyle w:val="000000000000" w:firstRow="0" w:lastRow="0" w:firstColumn="0" w:lastColumn="0" w:oddVBand="0" w:evenVBand="0" w:oddHBand="0" w:evenHBand="0" w:firstRowFirstColumn="0" w:firstRowLastColumn="0" w:lastRowFirstColumn="0" w:lastRowLastColumn="0"/>
            </w:pPr>
            <w:r w:rsidRPr="0026307C">
              <w:rPr>
                <w:rFonts w:eastAsia="Times New Roman" w:cs="Arial"/>
                <w:bCs/>
                <w:sz w:val="24"/>
                <w:szCs w:val="24"/>
              </w:rPr>
              <w:t xml:space="preserve">General Stream Band </w:t>
            </w:r>
            <w:r w:rsidR="00E47C65">
              <w:rPr>
                <w:rFonts w:eastAsia="Times New Roman" w:cs="Arial"/>
                <w:bCs/>
                <w:sz w:val="24"/>
                <w:szCs w:val="24"/>
              </w:rPr>
              <w:t>3</w:t>
            </w:r>
          </w:p>
        </w:tc>
      </w:tr>
      <w:tr w:rsidR="006D3467"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6D3467" w:rsidRPr="006F6682" w:rsidRDefault="006D3467" w:rsidP="006D3467">
            <w:pPr>
              <w:rPr>
                <w:b w:val="0"/>
                <w:sz w:val="24"/>
                <w:szCs w:val="24"/>
              </w:rPr>
            </w:pPr>
            <w:r w:rsidRPr="006F6682">
              <w:rPr>
                <w:sz w:val="24"/>
                <w:szCs w:val="24"/>
              </w:rPr>
              <w:t>Employment Conditions</w:t>
            </w:r>
          </w:p>
        </w:tc>
        <w:tc>
          <w:tcPr>
            <w:tcW w:w="6458" w:type="dxa"/>
            <w:gridSpan w:val="2"/>
            <w:vAlign w:val="top"/>
          </w:tcPr>
          <w:p w14:paraId="7AD6A1BD" w14:textId="47F4C9B6" w:rsidR="006D3467" w:rsidRPr="00B103A8" w:rsidRDefault="006D3467" w:rsidP="006D3467">
            <w:pPr>
              <w:cnfStyle w:val="000000100000" w:firstRow="0" w:lastRow="0" w:firstColumn="0" w:lastColumn="0" w:oddVBand="0" w:evenVBand="0" w:oddHBand="1" w:evenHBand="0" w:firstRowFirstColumn="0" w:firstRowLastColumn="0" w:lastRowFirstColumn="0" w:lastRowLastColumn="0"/>
            </w:pPr>
            <w:r w:rsidRPr="002942F8">
              <w:rPr>
                <w:bCs/>
                <w:sz w:val="24"/>
                <w:szCs w:val="24"/>
              </w:rPr>
              <w:t xml:space="preserve">Permanent or fixed-term, full time, </w:t>
            </w:r>
            <w:r>
              <w:rPr>
                <w:bCs/>
                <w:sz w:val="24"/>
                <w:szCs w:val="24"/>
              </w:rPr>
              <w:t xml:space="preserve">73.5 </w:t>
            </w:r>
            <w:r w:rsidRPr="002942F8">
              <w:rPr>
                <w:bCs/>
                <w:sz w:val="24"/>
                <w:szCs w:val="24"/>
              </w:rPr>
              <w:t>hours per fortnight, 52 weeks per year including 4 weeks annual leave.</w:t>
            </w:r>
          </w:p>
        </w:tc>
      </w:tr>
      <w:tr w:rsidR="006D3467"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6D3467" w:rsidRPr="006F6682" w:rsidRDefault="006D3467" w:rsidP="006D3467">
            <w:pPr>
              <w:rPr>
                <w:b w:val="0"/>
                <w:sz w:val="24"/>
                <w:szCs w:val="24"/>
              </w:rPr>
            </w:pPr>
            <w:r w:rsidRPr="006F6682">
              <w:rPr>
                <w:sz w:val="24"/>
                <w:szCs w:val="24"/>
              </w:rPr>
              <w:t>Location</w:t>
            </w:r>
          </w:p>
        </w:tc>
        <w:tc>
          <w:tcPr>
            <w:tcW w:w="6458" w:type="dxa"/>
            <w:gridSpan w:val="2"/>
            <w:vAlign w:val="top"/>
          </w:tcPr>
          <w:p w14:paraId="032570CD" w14:textId="1DF545A8" w:rsidR="006D3467" w:rsidRPr="00B103A8" w:rsidRDefault="006D3467" w:rsidP="006D3467">
            <w:pPr>
              <w:cnfStyle w:val="000000000000" w:firstRow="0" w:lastRow="0" w:firstColumn="0" w:lastColumn="0" w:oddVBand="0" w:evenVBand="0" w:oddHBand="0" w:evenHBand="0" w:firstRowFirstColumn="0" w:firstRowLastColumn="0" w:lastRowFirstColumn="0" w:lastRowLastColumn="0"/>
            </w:pPr>
            <w:r w:rsidRPr="003B245D">
              <w:rPr>
                <w:rFonts w:eastAsia="Times New Roman"/>
                <w:sz w:val="24"/>
                <w:szCs w:val="24"/>
              </w:rPr>
              <w:t>North or South</w:t>
            </w:r>
          </w:p>
        </w:tc>
      </w:tr>
      <w:tr w:rsidR="006D3467"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6D3467" w:rsidRPr="006F6682" w:rsidRDefault="006D3467" w:rsidP="006D3467">
            <w:pPr>
              <w:rPr>
                <w:sz w:val="24"/>
                <w:szCs w:val="24"/>
              </w:rPr>
            </w:pPr>
            <w:r w:rsidRPr="006F6682">
              <w:rPr>
                <w:sz w:val="24"/>
                <w:szCs w:val="24"/>
              </w:rPr>
              <w:t>Check Type</w:t>
            </w:r>
          </w:p>
        </w:tc>
        <w:tc>
          <w:tcPr>
            <w:tcW w:w="6458" w:type="dxa"/>
            <w:gridSpan w:val="2"/>
            <w:vAlign w:val="top"/>
          </w:tcPr>
          <w:p w14:paraId="1DEB05E9" w14:textId="30A3207B" w:rsidR="006D3467" w:rsidRPr="00B103A8" w:rsidRDefault="006D3467" w:rsidP="006D3467">
            <w:pPr>
              <w:cnfStyle w:val="000000100000" w:firstRow="0" w:lastRow="0" w:firstColumn="0" w:lastColumn="0" w:oddVBand="0" w:evenVBand="0" w:oddHBand="1" w:evenHBand="0" w:firstRowFirstColumn="0" w:firstRowLastColumn="0" w:lastRowFirstColumn="0" w:lastRowLastColumn="0"/>
            </w:pPr>
            <w:r w:rsidRPr="0074785E">
              <w:rPr>
                <w:rFonts w:eastAsia="Times New Roman"/>
                <w:sz w:val="24"/>
                <w:szCs w:val="24"/>
              </w:rPr>
              <w:t>N/A</w:t>
            </w:r>
          </w:p>
        </w:tc>
      </w:tr>
      <w:tr w:rsidR="006D3467"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6D3467" w:rsidRPr="006F6682" w:rsidRDefault="006D3467" w:rsidP="006D3467">
            <w:pPr>
              <w:rPr>
                <w:sz w:val="24"/>
                <w:szCs w:val="24"/>
              </w:rPr>
            </w:pPr>
            <w:r w:rsidRPr="006F6682">
              <w:rPr>
                <w:sz w:val="24"/>
                <w:szCs w:val="24"/>
              </w:rPr>
              <w:t>Check Frequency</w:t>
            </w:r>
          </w:p>
        </w:tc>
        <w:tc>
          <w:tcPr>
            <w:tcW w:w="6458" w:type="dxa"/>
            <w:gridSpan w:val="2"/>
            <w:vAlign w:val="top"/>
          </w:tcPr>
          <w:p w14:paraId="4B9396AE" w14:textId="14D19D2C" w:rsidR="006D3467" w:rsidRPr="00B103A8" w:rsidRDefault="006D3467" w:rsidP="006D3467">
            <w:pPr>
              <w:cnfStyle w:val="000000000000" w:firstRow="0" w:lastRow="0" w:firstColumn="0" w:lastColumn="0" w:oddVBand="0" w:evenVBand="0" w:oddHBand="0" w:evenHBand="0" w:firstRowFirstColumn="0" w:firstRowLastColumn="0" w:lastRowFirstColumn="0" w:lastRowLastColumn="0"/>
            </w:pPr>
            <w:r w:rsidRPr="0074785E">
              <w:rPr>
                <w:rFonts w:eastAsia="Times New Roman"/>
                <w:sz w:val="24"/>
                <w:szCs w:val="24"/>
              </w:rPr>
              <w:t>N/A</w:t>
            </w:r>
          </w:p>
        </w:tc>
      </w:tr>
    </w:tbl>
    <w:p w14:paraId="32ECC708" w14:textId="023334DE" w:rsidR="00360CDB" w:rsidRPr="00190B67" w:rsidRDefault="00360CDB" w:rsidP="00360CDB">
      <w:pPr>
        <w:pStyle w:val="Heading2"/>
        <w:rPr>
          <w:color w:val="011947"/>
        </w:rPr>
      </w:pPr>
      <w:r w:rsidRPr="00190B67">
        <w:rPr>
          <w:color w:val="011947"/>
        </w:rPr>
        <w:t>Context</w:t>
      </w:r>
      <w:r w:rsidR="008047C0">
        <w:rPr>
          <w:color w:val="011947"/>
        </w:rPr>
        <w:t xml:space="preserve"> </w:t>
      </w:r>
    </w:p>
    <w:p w14:paraId="23599AC5" w14:textId="5639F2A7" w:rsidR="00565572" w:rsidRDefault="00D24094" w:rsidP="00D24094">
      <w:pPr>
        <w:rPr>
          <w:sz w:val="24"/>
          <w:szCs w:val="24"/>
        </w:rPr>
      </w:pPr>
      <w:r w:rsidRPr="00DD15B0">
        <w:rPr>
          <w:sz w:val="24"/>
          <w:szCs w:val="24"/>
        </w:rPr>
        <w:t xml:space="preserve">The Senior Secondary </w:t>
      </w:r>
      <w:r w:rsidR="0070013E">
        <w:rPr>
          <w:sz w:val="24"/>
          <w:szCs w:val="24"/>
        </w:rPr>
        <w:t>Provision</w:t>
      </w:r>
      <w:r w:rsidR="00ED1A11">
        <w:rPr>
          <w:sz w:val="24"/>
          <w:szCs w:val="24"/>
        </w:rPr>
        <w:t xml:space="preserve"> team</w:t>
      </w:r>
      <w:r w:rsidR="0070013E">
        <w:rPr>
          <w:sz w:val="24"/>
          <w:szCs w:val="24"/>
        </w:rPr>
        <w:t xml:space="preserve"> </w:t>
      </w:r>
      <w:r w:rsidR="009E0C21">
        <w:rPr>
          <w:sz w:val="24"/>
          <w:szCs w:val="24"/>
        </w:rPr>
        <w:t>is responsible for</w:t>
      </w:r>
      <w:r w:rsidR="007D43E6">
        <w:rPr>
          <w:sz w:val="24"/>
          <w:szCs w:val="24"/>
        </w:rPr>
        <w:t xml:space="preserve"> strategic</w:t>
      </w:r>
      <w:r w:rsidR="003A43F0">
        <w:rPr>
          <w:sz w:val="24"/>
          <w:szCs w:val="24"/>
        </w:rPr>
        <w:t xml:space="preserve"> </w:t>
      </w:r>
      <w:r w:rsidRPr="00DD15B0">
        <w:rPr>
          <w:sz w:val="24"/>
          <w:szCs w:val="24"/>
        </w:rPr>
        <w:t xml:space="preserve">policy development </w:t>
      </w:r>
      <w:r w:rsidR="00245807">
        <w:rPr>
          <w:sz w:val="24"/>
          <w:szCs w:val="24"/>
        </w:rPr>
        <w:t>and implementation</w:t>
      </w:r>
      <w:r w:rsidR="003D547F">
        <w:rPr>
          <w:sz w:val="24"/>
          <w:szCs w:val="24"/>
        </w:rPr>
        <w:t xml:space="preserve">, </w:t>
      </w:r>
      <w:r w:rsidR="007D43E6">
        <w:rPr>
          <w:sz w:val="24"/>
          <w:szCs w:val="24"/>
        </w:rPr>
        <w:t xml:space="preserve">and </w:t>
      </w:r>
      <w:r w:rsidR="00021DA0">
        <w:rPr>
          <w:sz w:val="24"/>
          <w:szCs w:val="24"/>
        </w:rPr>
        <w:t xml:space="preserve">the </w:t>
      </w:r>
      <w:r w:rsidR="007D43E6">
        <w:rPr>
          <w:sz w:val="24"/>
          <w:szCs w:val="24"/>
        </w:rPr>
        <w:t xml:space="preserve">operational management </w:t>
      </w:r>
      <w:r w:rsidR="00565572">
        <w:rPr>
          <w:sz w:val="24"/>
          <w:szCs w:val="24"/>
        </w:rPr>
        <w:t xml:space="preserve">of </w:t>
      </w:r>
      <w:r w:rsidRPr="00DD15B0">
        <w:rPr>
          <w:sz w:val="24"/>
          <w:szCs w:val="24"/>
        </w:rPr>
        <w:t>senior secondary education</w:t>
      </w:r>
      <w:r w:rsidR="00A504D5">
        <w:rPr>
          <w:sz w:val="24"/>
          <w:szCs w:val="24"/>
        </w:rPr>
        <w:t xml:space="preserve"> which </w:t>
      </w:r>
      <w:r w:rsidR="00D92FC4">
        <w:rPr>
          <w:sz w:val="24"/>
          <w:szCs w:val="24"/>
        </w:rPr>
        <w:t>includ</w:t>
      </w:r>
      <w:r w:rsidR="00A504D5">
        <w:rPr>
          <w:sz w:val="24"/>
          <w:szCs w:val="24"/>
        </w:rPr>
        <w:t>es</w:t>
      </w:r>
      <w:r w:rsidR="00D92FC4">
        <w:rPr>
          <w:sz w:val="24"/>
          <w:szCs w:val="24"/>
        </w:rPr>
        <w:t xml:space="preserve"> </w:t>
      </w:r>
      <w:r w:rsidR="005379B8">
        <w:rPr>
          <w:sz w:val="24"/>
          <w:szCs w:val="24"/>
        </w:rPr>
        <w:t>oversee</w:t>
      </w:r>
      <w:r w:rsidR="00D41CF6">
        <w:rPr>
          <w:sz w:val="24"/>
          <w:szCs w:val="24"/>
        </w:rPr>
        <w:t>ing</w:t>
      </w:r>
      <w:r w:rsidR="00CD1602">
        <w:rPr>
          <w:sz w:val="24"/>
          <w:szCs w:val="24"/>
        </w:rPr>
        <w:t xml:space="preserve"> s</w:t>
      </w:r>
      <w:r w:rsidR="005166C4">
        <w:rPr>
          <w:sz w:val="24"/>
          <w:szCs w:val="24"/>
        </w:rPr>
        <w:t xml:space="preserve">enior </w:t>
      </w:r>
      <w:r w:rsidR="00CD1602">
        <w:rPr>
          <w:sz w:val="24"/>
          <w:szCs w:val="24"/>
        </w:rPr>
        <w:t>s</w:t>
      </w:r>
      <w:r w:rsidR="005166C4">
        <w:rPr>
          <w:sz w:val="24"/>
          <w:szCs w:val="24"/>
        </w:rPr>
        <w:t xml:space="preserve">econdary </w:t>
      </w:r>
      <w:r w:rsidR="00CD1602">
        <w:rPr>
          <w:sz w:val="24"/>
          <w:szCs w:val="24"/>
        </w:rPr>
        <w:t>c</w:t>
      </w:r>
      <w:r w:rsidR="005166C4">
        <w:rPr>
          <w:sz w:val="24"/>
          <w:szCs w:val="24"/>
        </w:rPr>
        <w:t xml:space="preserve">urriculum, </w:t>
      </w:r>
      <w:r w:rsidR="00CD1602">
        <w:rPr>
          <w:sz w:val="24"/>
          <w:szCs w:val="24"/>
        </w:rPr>
        <w:t>c</w:t>
      </w:r>
      <w:r w:rsidR="005166C4">
        <w:rPr>
          <w:sz w:val="24"/>
          <w:szCs w:val="24"/>
        </w:rPr>
        <w:t>ourses</w:t>
      </w:r>
      <w:r w:rsidR="00A56E21">
        <w:rPr>
          <w:sz w:val="24"/>
          <w:szCs w:val="24"/>
        </w:rPr>
        <w:t xml:space="preserve">, </w:t>
      </w:r>
      <w:r w:rsidR="00CD1602">
        <w:rPr>
          <w:sz w:val="24"/>
          <w:szCs w:val="24"/>
        </w:rPr>
        <w:t>a</w:t>
      </w:r>
      <w:r w:rsidR="005166C4">
        <w:rPr>
          <w:sz w:val="24"/>
          <w:szCs w:val="24"/>
        </w:rPr>
        <w:t>ssessment</w:t>
      </w:r>
      <w:r w:rsidR="00D41CF6">
        <w:rPr>
          <w:sz w:val="24"/>
          <w:szCs w:val="24"/>
        </w:rPr>
        <w:t xml:space="preserve">, </w:t>
      </w:r>
      <w:r w:rsidR="00F538A0">
        <w:rPr>
          <w:sz w:val="24"/>
          <w:szCs w:val="24"/>
        </w:rPr>
        <w:t>regional partnerships</w:t>
      </w:r>
      <w:r w:rsidR="002F60DF">
        <w:rPr>
          <w:sz w:val="24"/>
          <w:szCs w:val="24"/>
        </w:rPr>
        <w:t xml:space="preserve">, </w:t>
      </w:r>
      <w:r w:rsidR="00C379B4">
        <w:rPr>
          <w:sz w:val="24"/>
          <w:szCs w:val="24"/>
        </w:rPr>
        <w:t xml:space="preserve">retention, </w:t>
      </w:r>
      <w:r w:rsidR="00F538A0">
        <w:rPr>
          <w:sz w:val="24"/>
          <w:szCs w:val="24"/>
        </w:rPr>
        <w:t xml:space="preserve">career education and </w:t>
      </w:r>
      <w:r w:rsidR="00B60484">
        <w:rPr>
          <w:sz w:val="24"/>
          <w:szCs w:val="24"/>
        </w:rPr>
        <w:t xml:space="preserve">attainment </w:t>
      </w:r>
      <w:r w:rsidR="00FD207C">
        <w:rPr>
          <w:sz w:val="24"/>
          <w:szCs w:val="24"/>
        </w:rPr>
        <w:t>data.</w:t>
      </w:r>
      <w:r w:rsidR="00F538A0">
        <w:rPr>
          <w:sz w:val="24"/>
          <w:szCs w:val="24"/>
        </w:rPr>
        <w:t xml:space="preserve"> </w:t>
      </w:r>
    </w:p>
    <w:p w14:paraId="5D6610FB" w14:textId="634CF653" w:rsidR="00D24094" w:rsidRPr="00DD15B0" w:rsidRDefault="005A6C68" w:rsidP="00D24094">
      <w:pPr>
        <w:rPr>
          <w:sz w:val="24"/>
          <w:szCs w:val="24"/>
        </w:rPr>
      </w:pPr>
      <w:r>
        <w:rPr>
          <w:sz w:val="24"/>
          <w:szCs w:val="24"/>
        </w:rPr>
        <w:t>The Senior Secondary Provision</w:t>
      </w:r>
      <w:r w:rsidR="00E43608">
        <w:rPr>
          <w:sz w:val="24"/>
          <w:szCs w:val="24"/>
        </w:rPr>
        <w:t xml:space="preserve"> </w:t>
      </w:r>
      <w:r w:rsidR="004325C7">
        <w:rPr>
          <w:sz w:val="24"/>
          <w:szCs w:val="24"/>
        </w:rPr>
        <w:t xml:space="preserve">undertakes </w:t>
      </w:r>
      <w:r w:rsidR="00F538A0" w:rsidRPr="00DD15B0">
        <w:rPr>
          <w:sz w:val="24"/>
          <w:szCs w:val="24"/>
        </w:rPr>
        <w:t>project</w:t>
      </w:r>
      <w:r w:rsidR="00FD207C">
        <w:rPr>
          <w:sz w:val="24"/>
          <w:szCs w:val="24"/>
        </w:rPr>
        <w:t xml:space="preserve"> </w:t>
      </w:r>
      <w:r w:rsidR="00F538A0" w:rsidRPr="00DD15B0">
        <w:rPr>
          <w:sz w:val="24"/>
          <w:szCs w:val="24"/>
        </w:rPr>
        <w:t xml:space="preserve">and communication </w:t>
      </w:r>
      <w:r w:rsidR="00FD207C">
        <w:rPr>
          <w:sz w:val="24"/>
          <w:szCs w:val="24"/>
        </w:rPr>
        <w:t>initiatives</w:t>
      </w:r>
      <w:r w:rsidR="00F538A0">
        <w:rPr>
          <w:sz w:val="24"/>
          <w:szCs w:val="24"/>
        </w:rPr>
        <w:t xml:space="preserve"> </w:t>
      </w:r>
      <w:r w:rsidR="00887C86">
        <w:rPr>
          <w:sz w:val="24"/>
          <w:szCs w:val="24"/>
        </w:rPr>
        <w:t>to</w:t>
      </w:r>
      <w:r w:rsidR="00305681">
        <w:rPr>
          <w:sz w:val="24"/>
          <w:szCs w:val="24"/>
        </w:rPr>
        <w:t xml:space="preserve"> actively reflect</w:t>
      </w:r>
      <w:r w:rsidR="00F538A0" w:rsidRPr="00DD15B0">
        <w:rPr>
          <w:sz w:val="24"/>
          <w:szCs w:val="24"/>
        </w:rPr>
        <w:t xml:space="preserve"> legislative requirements, government direction</w:t>
      </w:r>
      <w:r w:rsidR="00E6113F">
        <w:rPr>
          <w:sz w:val="24"/>
          <w:szCs w:val="24"/>
        </w:rPr>
        <w:t xml:space="preserve">, </w:t>
      </w:r>
      <w:r w:rsidR="002429E2">
        <w:rPr>
          <w:sz w:val="24"/>
          <w:szCs w:val="24"/>
        </w:rPr>
        <w:t>and</w:t>
      </w:r>
      <w:r w:rsidR="00E6113F">
        <w:rPr>
          <w:sz w:val="24"/>
          <w:szCs w:val="24"/>
        </w:rPr>
        <w:t xml:space="preserve"> </w:t>
      </w:r>
      <w:r w:rsidR="00F538A0" w:rsidRPr="00DD15B0">
        <w:rPr>
          <w:sz w:val="24"/>
          <w:szCs w:val="24"/>
        </w:rPr>
        <w:t>national and state priorities</w:t>
      </w:r>
      <w:r w:rsidR="005D5638">
        <w:rPr>
          <w:sz w:val="24"/>
          <w:szCs w:val="24"/>
        </w:rPr>
        <w:t xml:space="preserve">. </w:t>
      </w:r>
      <w:proofErr w:type="gramStart"/>
      <w:r w:rsidR="00C379B4">
        <w:rPr>
          <w:sz w:val="24"/>
          <w:szCs w:val="24"/>
        </w:rPr>
        <w:t>In order to</w:t>
      </w:r>
      <w:proofErr w:type="gramEnd"/>
      <w:r>
        <w:rPr>
          <w:sz w:val="24"/>
          <w:szCs w:val="24"/>
        </w:rPr>
        <w:t xml:space="preserve"> </w:t>
      </w:r>
      <w:r w:rsidR="004921F6">
        <w:rPr>
          <w:sz w:val="24"/>
          <w:szCs w:val="24"/>
        </w:rPr>
        <w:t>ensure</w:t>
      </w:r>
      <w:r>
        <w:rPr>
          <w:sz w:val="24"/>
          <w:szCs w:val="24"/>
        </w:rPr>
        <w:t xml:space="preserve"> </w:t>
      </w:r>
      <w:r w:rsidR="005D5638">
        <w:rPr>
          <w:sz w:val="24"/>
          <w:szCs w:val="24"/>
        </w:rPr>
        <w:t>that those</w:t>
      </w:r>
      <w:r w:rsidR="00F538A0">
        <w:rPr>
          <w:sz w:val="24"/>
          <w:szCs w:val="24"/>
        </w:rPr>
        <w:t xml:space="preserve"> working with children and young people have the technical guidance and support they need to build their capability </w:t>
      </w:r>
      <w:r w:rsidR="00A56E21">
        <w:rPr>
          <w:sz w:val="24"/>
          <w:szCs w:val="24"/>
        </w:rPr>
        <w:t>and</w:t>
      </w:r>
      <w:r w:rsidR="00F538A0">
        <w:rPr>
          <w:sz w:val="24"/>
          <w:szCs w:val="24"/>
        </w:rPr>
        <w:t xml:space="preserve"> have the greatest positive impact.</w:t>
      </w:r>
      <w:r w:rsidR="009A0457">
        <w:rPr>
          <w:sz w:val="24"/>
          <w:szCs w:val="24"/>
        </w:rPr>
        <w:t xml:space="preserve"> </w:t>
      </w:r>
      <w:r w:rsidR="00A8760E">
        <w:rPr>
          <w:sz w:val="24"/>
          <w:szCs w:val="24"/>
        </w:rPr>
        <w:t xml:space="preserve"> </w:t>
      </w:r>
    </w:p>
    <w:p w14:paraId="45FC4D4C" w14:textId="60A5CF8D" w:rsidR="00360CDB" w:rsidRPr="00190B67" w:rsidRDefault="005F3B0F" w:rsidP="00360CDB">
      <w:pPr>
        <w:pStyle w:val="Heading2"/>
        <w:rPr>
          <w:color w:val="011947"/>
        </w:rPr>
      </w:pPr>
      <w:r w:rsidRPr="00190B67">
        <w:rPr>
          <w:color w:val="011947"/>
        </w:rPr>
        <w:t>Primary Purpose</w:t>
      </w:r>
    </w:p>
    <w:p w14:paraId="7B35292C" w14:textId="070A89FD" w:rsidR="008661E5" w:rsidRPr="000F315C" w:rsidRDefault="00AC4BB5" w:rsidP="00FD6A02">
      <w:pPr>
        <w:rPr>
          <w:sz w:val="24"/>
          <w:szCs w:val="24"/>
        </w:rPr>
      </w:pPr>
      <w:r w:rsidRPr="00FD6A02">
        <w:rPr>
          <w:sz w:val="24"/>
          <w:szCs w:val="24"/>
        </w:rPr>
        <w:t>Provide comprehensive administrative and executive assistance and manage the flow of information within the office and externally, including confidential correspondence and reports.</w:t>
      </w:r>
    </w:p>
    <w:p w14:paraId="3498A638" w14:textId="11761CA2" w:rsidR="00360CDB" w:rsidRPr="00190B67" w:rsidRDefault="00360CDB" w:rsidP="00E432FB">
      <w:pPr>
        <w:pStyle w:val="Heading2"/>
        <w:rPr>
          <w:color w:val="011947"/>
        </w:rPr>
      </w:pPr>
      <w:r w:rsidRPr="00190B67">
        <w:rPr>
          <w:color w:val="011947"/>
        </w:rPr>
        <w:lastRenderedPageBreak/>
        <w:t>Level of Responsibility/Direction and Supervision</w:t>
      </w:r>
    </w:p>
    <w:p w14:paraId="7D8E5FDA" w14:textId="77777777" w:rsidR="000F315C" w:rsidRPr="00FD6A02" w:rsidRDefault="000F315C" w:rsidP="00FD6A02">
      <w:pPr>
        <w:rPr>
          <w:sz w:val="24"/>
          <w:szCs w:val="24"/>
        </w:rPr>
      </w:pPr>
      <w:r w:rsidRPr="00FD6A02">
        <w:rPr>
          <w:sz w:val="24"/>
          <w:szCs w:val="24"/>
        </w:rPr>
        <w:t xml:space="preserve">The occupant is responsible for providing confidential and effective administrative and executive assistance and for the effective flow of information.  </w:t>
      </w:r>
    </w:p>
    <w:p w14:paraId="6DD716AC" w14:textId="3A5C6516" w:rsidR="0028136F" w:rsidRPr="003B245D" w:rsidRDefault="000F315C" w:rsidP="00FD6A02">
      <w:pPr>
        <w:rPr>
          <w:sz w:val="24"/>
          <w:szCs w:val="24"/>
        </w:rPr>
      </w:pPr>
      <w:r w:rsidRPr="00FD6A02">
        <w:rPr>
          <w:sz w:val="24"/>
          <w:szCs w:val="24"/>
        </w:rPr>
        <w:t>The occupant will receive direction from the supervisor and is expected to be proactive, exercise judgement and initiative and work with minimal supervision.</w:t>
      </w:r>
    </w:p>
    <w:p w14:paraId="0612E336" w14:textId="77777777" w:rsidR="00AD7FB8" w:rsidRDefault="00AD7FB8" w:rsidP="00AD7FB8">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1E31B4F8"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199D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0AFB5D3" w14:textId="42023EC1" w:rsidR="00CF2671" w:rsidRPr="00FD6A02" w:rsidRDefault="00CF2671" w:rsidP="00CF2671">
      <w:pPr>
        <w:pStyle w:val="ListNumber"/>
        <w:rPr>
          <w:sz w:val="24"/>
          <w:szCs w:val="24"/>
        </w:rPr>
      </w:pPr>
      <w:r w:rsidRPr="00FD6A02">
        <w:rPr>
          <w:sz w:val="24"/>
          <w:szCs w:val="24"/>
        </w:rPr>
        <w:t>Provide comprehensive administrative support and executive assistance including first point of contact for the supervisor, visitor reception for meetings, screening telephone enquiries and management of</w:t>
      </w:r>
      <w:r w:rsidR="002001EC">
        <w:rPr>
          <w:sz w:val="24"/>
          <w:szCs w:val="24"/>
        </w:rPr>
        <w:t xml:space="preserve"> multiple</w:t>
      </w:r>
      <w:r w:rsidRPr="00FD6A02">
        <w:rPr>
          <w:sz w:val="24"/>
          <w:szCs w:val="24"/>
        </w:rPr>
        <w:t xml:space="preserve"> appointment diar</w:t>
      </w:r>
      <w:r w:rsidR="002001EC">
        <w:rPr>
          <w:sz w:val="24"/>
          <w:szCs w:val="24"/>
        </w:rPr>
        <w:t>ies</w:t>
      </w:r>
      <w:r w:rsidRPr="00FD6A02">
        <w:rPr>
          <w:sz w:val="24"/>
          <w:szCs w:val="24"/>
        </w:rPr>
        <w:t>.</w:t>
      </w:r>
    </w:p>
    <w:p w14:paraId="6FDF11C7" w14:textId="77777777" w:rsidR="00CF2671" w:rsidRPr="00FD6A02" w:rsidRDefault="00CF2671" w:rsidP="00CF2671">
      <w:pPr>
        <w:pStyle w:val="ListNumber"/>
        <w:rPr>
          <w:sz w:val="24"/>
          <w:szCs w:val="24"/>
        </w:rPr>
      </w:pPr>
      <w:r w:rsidRPr="00FD6A02">
        <w:rPr>
          <w:sz w:val="24"/>
          <w:szCs w:val="24"/>
        </w:rPr>
        <w:t>Establish and maintain systems to ensure the effective flow of information and data, often of a highly confidential and sensitive nature within the business unit and to external organisations as required.</w:t>
      </w:r>
    </w:p>
    <w:p w14:paraId="5BB9ECFD" w14:textId="77777777" w:rsidR="00CF2671" w:rsidRPr="00FD6A02" w:rsidRDefault="00CF2671" w:rsidP="00CF2671">
      <w:pPr>
        <w:pStyle w:val="ListNumber"/>
        <w:rPr>
          <w:sz w:val="24"/>
          <w:szCs w:val="24"/>
        </w:rPr>
      </w:pPr>
      <w:r w:rsidRPr="00FD6A02">
        <w:rPr>
          <w:sz w:val="24"/>
          <w:szCs w:val="24"/>
        </w:rPr>
        <w:t>Arrange background papers and files, prepare agendas, prepare, and collate background/briefing material for management meetings and take minutes during meetings. Organise functions and conferences and arrange travel, accommodation, and itineraries.</w:t>
      </w:r>
    </w:p>
    <w:p w14:paraId="06C5884B" w14:textId="60419C49" w:rsidR="00CF2671" w:rsidRPr="00FD6A02" w:rsidRDefault="00CF2671" w:rsidP="00CF2671">
      <w:pPr>
        <w:pStyle w:val="ListNumber"/>
        <w:rPr>
          <w:sz w:val="24"/>
          <w:szCs w:val="24"/>
        </w:rPr>
      </w:pPr>
      <w:r w:rsidRPr="00FD6A02">
        <w:rPr>
          <w:sz w:val="24"/>
          <w:szCs w:val="24"/>
        </w:rPr>
        <w:t xml:space="preserve">Provide high level support and advice </w:t>
      </w:r>
      <w:r w:rsidR="2CD237FA" w:rsidRPr="3F7F5C0E">
        <w:rPr>
          <w:sz w:val="24"/>
          <w:szCs w:val="24"/>
        </w:rPr>
        <w:t>regarding</w:t>
      </w:r>
      <w:r w:rsidRPr="00FD6A02">
        <w:rPr>
          <w:sz w:val="24"/>
          <w:szCs w:val="24"/>
        </w:rPr>
        <w:t xml:space="preserve"> data management and initiate, prepare, distribute and track correspondence together with ensuring timely responses and referral of matters for further action.</w:t>
      </w:r>
    </w:p>
    <w:p w14:paraId="55801564" w14:textId="79F44D4A" w:rsidR="00153A1E" w:rsidRPr="00FD6A02" w:rsidRDefault="009728A3" w:rsidP="009728A3">
      <w:pPr>
        <w:pStyle w:val="ListNumber"/>
        <w:rPr>
          <w:sz w:val="24"/>
          <w:szCs w:val="24"/>
        </w:rPr>
      </w:pPr>
      <w:r w:rsidRPr="00FD6A02">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899683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4627529" w14:textId="77777777" w:rsidR="0052774E" w:rsidRPr="00513035" w:rsidRDefault="0052774E" w:rsidP="0052774E">
      <w:pPr>
        <w:pStyle w:val="ListParagraph"/>
        <w:numPr>
          <w:ilvl w:val="0"/>
          <w:numId w:val="42"/>
        </w:numPr>
        <w:jc w:val="both"/>
        <w:rPr>
          <w:sz w:val="24"/>
          <w:szCs w:val="24"/>
        </w:rPr>
      </w:pPr>
      <w:r w:rsidRPr="00513035">
        <w:rPr>
          <w:sz w:val="24"/>
          <w:szCs w:val="24"/>
        </w:rPr>
        <w:t>High level knowledge and experience in the provision of administrative and executive assistance and support together with a demonstrated understanding of administrative processes.</w:t>
      </w:r>
    </w:p>
    <w:p w14:paraId="10357D7D" w14:textId="77777777" w:rsidR="0052774E" w:rsidRPr="00513035" w:rsidRDefault="0052774E" w:rsidP="0052774E">
      <w:pPr>
        <w:pStyle w:val="ListParagraph"/>
        <w:numPr>
          <w:ilvl w:val="0"/>
          <w:numId w:val="42"/>
        </w:numPr>
        <w:jc w:val="both"/>
        <w:rPr>
          <w:sz w:val="24"/>
          <w:szCs w:val="24"/>
        </w:rPr>
      </w:pPr>
      <w:r w:rsidRPr="00513035">
        <w:rPr>
          <w:sz w:val="24"/>
          <w:szCs w:val="24"/>
        </w:rPr>
        <w:t xml:space="preserve">Sound information technology skills, including the use of relevant software and departmental information management systems together with the capacity to establish and maintain electronic registers and databases. </w:t>
      </w:r>
    </w:p>
    <w:p w14:paraId="6F1BE4D9" w14:textId="77777777" w:rsidR="0052774E" w:rsidRPr="00513035" w:rsidRDefault="0052774E" w:rsidP="0052774E">
      <w:pPr>
        <w:pStyle w:val="ListParagraph"/>
        <w:numPr>
          <w:ilvl w:val="0"/>
          <w:numId w:val="42"/>
        </w:numPr>
        <w:jc w:val="both"/>
        <w:rPr>
          <w:sz w:val="24"/>
          <w:szCs w:val="24"/>
        </w:rPr>
      </w:pPr>
      <w:r w:rsidRPr="00513035">
        <w:rPr>
          <w:sz w:val="24"/>
          <w:szCs w:val="24"/>
        </w:rPr>
        <w:t>Demonstrated communication, negotiation and conflict resolution skills with the ability to exercise judgement and discretion, handle sensitive or confidential situations and information with diplomacy and tact.</w:t>
      </w:r>
    </w:p>
    <w:p w14:paraId="1C273AC4" w14:textId="77777777" w:rsidR="0052774E" w:rsidRPr="00513035" w:rsidRDefault="0052774E" w:rsidP="0052774E">
      <w:pPr>
        <w:pStyle w:val="ListParagraph"/>
        <w:numPr>
          <w:ilvl w:val="0"/>
          <w:numId w:val="42"/>
        </w:numPr>
        <w:jc w:val="both"/>
        <w:rPr>
          <w:sz w:val="24"/>
          <w:szCs w:val="24"/>
        </w:rPr>
      </w:pPr>
      <w:r w:rsidRPr="00513035">
        <w:rPr>
          <w:sz w:val="24"/>
          <w:szCs w:val="24"/>
        </w:rPr>
        <w:t xml:space="preserve">Sound organisational and self-management skills with demonstrated initiative and the ability to organise and prioritise workload, manage a variety of tasks, and complete work activities accurately within set timeframes. </w:t>
      </w:r>
    </w:p>
    <w:p w14:paraId="28063444" w14:textId="77777777" w:rsidR="0052774E" w:rsidRPr="00513035" w:rsidRDefault="0052774E" w:rsidP="0052774E">
      <w:pPr>
        <w:pStyle w:val="ListParagraph"/>
        <w:numPr>
          <w:ilvl w:val="0"/>
          <w:numId w:val="42"/>
        </w:numPr>
        <w:jc w:val="both"/>
        <w:rPr>
          <w:sz w:val="24"/>
          <w:szCs w:val="24"/>
        </w:rPr>
      </w:pPr>
      <w:r w:rsidRPr="00513035">
        <w:rPr>
          <w:sz w:val="24"/>
          <w:szCs w:val="24"/>
        </w:rPr>
        <w:t xml:space="preserve">Well-developed interpersonal skills, including the ability to work effectively and collaboratively within and across teams and support others in their roles to achieve assigned goals. </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2100C8">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1"/>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741"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310850EA" w:rsidR="00E432FB" w:rsidRPr="00847537" w:rsidRDefault="00E432FB" w:rsidP="0051425B">
            <w:pPr>
              <w:spacing w:before="60" w:after="60"/>
              <w:ind w:left="168"/>
              <w:jc w:val="both"/>
              <w:rPr>
                <w:rFonts w:eastAsia="Times New Roman" w:cs="Arial"/>
                <w:bCs/>
                <w:sz w:val="24"/>
                <w:szCs w:val="24"/>
              </w:rPr>
            </w:pPr>
          </w:p>
        </w:tc>
      </w:tr>
      <w:tr w:rsidR="002100C8" w14:paraId="4DE701E2" w14:textId="77777777" w:rsidTr="002100C8">
        <w:tc>
          <w:tcPr>
            <w:tcW w:w="1841" w:type="dxa"/>
          </w:tcPr>
          <w:p w14:paraId="7B124D3C" w14:textId="0EBBEAFC" w:rsidR="002100C8" w:rsidRPr="00A65F3B" w:rsidRDefault="0052774E" w:rsidP="00E432FB">
            <w:pPr>
              <w:rPr>
                <w:b/>
                <w:sz w:val="24"/>
                <w:szCs w:val="24"/>
              </w:rPr>
            </w:pPr>
            <w:r>
              <w:rPr>
                <w:b/>
                <w:sz w:val="24"/>
                <w:szCs w:val="24"/>
              </w:rPr>
              <w:t>Desirable</w:t>
            </w:r>
          </w:p>
        </w:tc>
        <w:tc>
          <w:tcPr>
            <w:tcW w:w="7741" w:type="dxa"/>
            <w:tcBorders>
              <w:top w:val="nil"/>
            </w:tcBorders>
          </w:tcPr>
          <w:p w14:paraId="0829FD4C" w14:textId="1C704F5A" w:rsidR="002100C8" w:rsidRPr="002100C8" w:rsidRDefault="0052774E" w:rsidP="00424160">
            <w:pPr>
              <w:numPr>
                <w:ilvl w:val="0"/>
                <w:numId w:val="32"/>
              </w:numPr>
              <w:spacing w:before="60" w:after="60"/>
              <w:ind w:left="168"/>
              <w:jc w:val="both"/>
              <w:rPr>
                <w:rFonts w:eastAsia="Times New Roman"/>
              </w:rPr>
            </w:pPr>
            <w:r w:rsidRPr="00424160">
              <w:rPr>
                <w:rFonts w:eastAsia="Times New Roman"/>
                <w:sz w:val="24"/>
                <w:szCs w:val="24"/>
              </w:rPr>
              <w:t>Nil</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02382235"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482BB67D" w:rsidR="0037723F" w:rsidRDefault="0037723F" w:rsidP="006D6A31">
            <w:pPr>
              <w:tabs>
                <w:tab w:val="left" w:pos="180"/>
              </w:tabs>
              <w:rPr>
                <w:rFonts w:cs="Arial"/>
              </w:rPr>
            </w:pPr>
            <w:r w:rsidRPr="00D720EC">
              <w:rPr>
                <w:rFonts w:cs="Arial"/>
                <w:b/>
              </w:rPr>
              <w:t xml:space="preserve">APPROVED BY HRM DELEGATE: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0BCFF7D3" w:rsidR="0037723F" w:rsidRPr="00D720EC" w:rsidRDefault="0037723F" w:rsidP="006D6A31">
            <w:pPr>
              <w:rPr>
                <w:rFonts w:cs="Arial"/>
                <w:sz w:val="16"/>
                <w:szCs w:val="16"/>
              </w:rPr>
            </w:pPr>
            <w:r w:rsidRPr="00D720EC">
              <w:rPr>
                <w:rFonts w:cs="Arial"/>
              </w:rPr>
              <w:t xml:space="preserve">Date Duties and Selection Criteria Last Reviewed:  </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ED2B78">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380C" w14:textId="77777777" w:rsidR="00957C5A" w:rsidRDefault="00957C5A" w:rsidP="00E93B9E">
      <w:pPr>
        <w:spacing w:after="0"/>
      </w:pPr>
      <w:r>
        <w:separator/>
      </w:r>
    </w:p>
  </w:endnote>
  <w:endnote w:type="continuationSeparator" w:id="0">
    <w:p w14:paraId="06B0DD6C" w14:textId="77777777" w:rsidR="00957C5A" w:rsidRDefault="00957C5A" w:rsidP="00E93B9E">
      <w:pPr>
        <w:spacing w:after="0"/>
      </w:pPr>
      <w:r>
        <w:continuationSeparator/>
      </w:r>
    </w:p>
  </w:endnote>
  <w:endnote w:type="continuationNotice" w:id="1">
    <w:p w14:paraId="77A59ADA" w14:textId="77777777" w:rsidR="00957C5A" w:rsidRDefault="00957C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15A5" w14:textId="77777777" w:rsidR="00957C5A" w:rsidRDefault="00957C5A" w:rsidP="00E93B9E">
      <w:pPr>
        <w:spacing w:after="0"/>
      </w:pPr>
      <w:r>
        <w:separator/>
      </w:r>
    </w:p>
  </w:footnote>
  <w:footnote w:type="continuationSeparator" w:id="0">
    <w:p w14:paraId="28956E12" w14:textId="77777777" w:rsidR="00957C5A" w:rsidRDefault="00957C5A" w:rsidP="00E93B9E">
      <w:pPr>
        <w:spacing w:after="0"/>
      </w:pPr>
      <w:r>
        <w:continuationSeparator/>
      </w:r>
    </w:p>
  </w:footnote>
  <w:footnote w:type="continuationNotice" w:id="1">
    <w:p w14:paraId="7EC523E9" w14:textId="77777777" w:rsidR="00957C5A" w:rsidRDefault="00957C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 w:numId="46" w16cid:durableId="431438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4F47"/>
    <w:rsid w:val="00020AC8"/>
    <w:rsid w:val="00021DA0"/>
    <w:rsid w:val="000223C0"/>
    <w:rsid w:val="0003297E"/>
    <w:rsid w:val="00035707"/>
    <w:rsid w:val="000520E4"/>
    <w:rsid w:val="000559B6"/>
    <w:rsid w:val="00057666"/>
    <w:rsid w:val="00062724"/>
    <w:rsid w:val="00064CEF"/>
    <w:rsid w:val="0006642C"/>
    <w:rsid w:val="00082A0F"/>
    <w:rsid w:val="000909CB"/>
    <w:rsid w:val="000953A7"/>
    <w:rsid w:val="000A0B42"/>
    <w:rsid w:val="000B2CD2"/>
    <w:rsid w:val="000C360B"/>
    <w:rsid w:val="000D22DD"/>
    <w:rsid w:val="000D4346"/>
    <w:rsid w:val="000E3179"/>
    <w:rsid w:val="000E3A2D"/>
    <w:rsid w:val="000E3AF7"/>
    <w:rsid w:val="000E4204"/>
    <w:rsid w:val="000F10FB"/>
    <w:rsid w:val="000F315C"/>
    <w:rsid w:val="00102C39"/>
    <w:rsid w:val="001033DF"/>
    <w:rsid w:val="00110E4B"/>
    <w:rsid w:val="00116589"/>
    <w:rsid w:val="00121369"/>
    <w:rsid w:val="00131297"/>
    <w:rsid w:val="001360D0"/>
    <w:rsid w:val="00140B20"/>
    <w:rsid w:val="00141559"/>
    <w:rsid w:val="00153A1E"/>
    <w:rsid w:val="00155415"/>
    <w:rsid w:val="00156E6B"/>
    <w:rsid w:val="00162E07"/>
    <w:rsid w:val="00176F7F"/>
    <w:rsid w:val="00177577"/>
    <w:rsid w:val="00180228"/>
    <w:rsid w:val="001870EB"/>
    <w:rsid w:val="001879E8"/>
    <w:rsid w:val="001906FA"/>
    <w:rsid w:val="00190B67"/>
    <w:rsid w:val="001A1165"/>
    <w:rsid w:val="001A4AC4"/>
    <w:rsid w:val="001A4EAE"/>
    <w:rsid w:val="001A6658"/>
    <w:rsid w:val="001D2DD4"/>
    <w:rsid w:val="001D4CC6"/>
    <w:rsid w:val="001E3DEF"/>
    <w:rsid w:val="001E50C1"/>
    <w:rsid w:val="001F5F36"/>
    <w:rsid w:val="001F6988"/>
    <w:rsid w:val="002001EC"/>
    <w:rsid w:val="00202E3E"/>
    <w:rsid w:val="00206DE5"/>
    <w:rsid w:val="002100C8"/>
    <w:rsid w:val="0021036E"/>
    <w:rsid w:val="002227B9"/>
    <w:rsid w:val="00224BDC"/>
    <w:rsid w:val="002267E5"/>
    <w:rsid w:val="00232460"/>
    <w:rsid w:val="00232539"/>
    <w:rsid w:val="00235902"/>
    <w:rsid w:val="002429E2"/>
    <w:rsid w:val="00243DF2"/>
    <w:rsid w:val="00245807"/>
    <w:rsid w:val="002530F5"/>
    <w:rsid w:val="0026062E"/>
    <w:rsid w:val="00277EEA"/>
    <w:rsid w:val="0028136F"/>
    <w:rsid w:val="0028795E"/>
    <w:rsid w:val="002900B1"/>
    <w:rsid w:val="00291D7A"/>
    <w:rsid w:val="002942F8"/>
    <w:rsid w:val="002A1F80"/>
    <w:rsid w:val="002B6301"/>
    <w:rsid w:val="002B786E"/>
    <w:rsid w:val="002C3A0D"/>
    <w:rsid w:val="002C63B9"/>
    <w:rsid w:val="002D08B7"/>
    <w:rsid w:val="002D16CD"/>
    <w:rsid w:val="002D2CAE"/>
    <w:rsid w:val="002E1B02"/>
    <w:rsid w:val="002E4899"/>
    <w:rsid w:val="002F35BB"/>
    <w:rsid w:val="002F49C3"/>
    <w:rsid w:val="002F60DF"/>
    <w:rsid w:val="002F6671"/>
    <w:rsid w:val="00305681"/>
    <w:rsid w:val="00307663"/>
    <w:rsid w:val="00307F78"/>
    <w:rsid w:val="0031057F"/>
    <w:rsid w:val="00314E39"/>
    <w:rsid w:val="00323304"/>
    <w:rsid w:val="003271F5"/>
    <w:rsid w:val="0033313F"/>
    <w:rsid w:val="0033592B"/>
    <w:rsid w:val="00340C2F"/>
    <w:rsid w:val="003451BF"/>
    <w:rsid w:val="00360CDB"/>
    <w:rsid w:val="00365591"/>
    <w:rsid w:val="00370004"/>
    <w:rsid w:val="00370327"/>
    <w:rsid w:val="0037723F"/>
    <w:rsid w:val="00381A23"/>
    <w:rsid w:val="00381C1B"/>
    <w:rsid w:val="003855B9"/>
    <w:rsid w:val="003A0A35"/>
    <w:rsid w:val="003A3F7E"/>
    <w:rsid w:val="003A43F0"/>
    <w:rsid w:val="003B009A"/>
    <w:rsid w:val="003B245D"/>
    <w:rsid w:val="003B4011"/>
    <w:rsid w:val="003C15EB"/>
    <w:rsid w:val="003C748E"/>
    <w:rsid w:val="003D37E6"/>
    <w:rsid w:val="003D547F"/>
    <w:rsid w:val="003E1416"/>
    <w:rsid w:val="003E543A"/>
    <w:rsid w:val="003F187F"/>
    <w:rsid w:val="003F414F"/>
    <w:rsid w:val="003F48C4"/>
    <w:rsid w:val="003F78ED"/>
    <w:rsid w:val="0040340A"/>
    <w:rsid w:val="00411F6C"/>
    <w:rsid w:val="00424160"/>
    <w:rsid w:val="004269CD"/>
    <w:rsid w:val="004325C7"/>
    <w:rsid w:val="004455FA"/>
    <w:rsid w:val="00454A22"/>
    <w:rsid w:val="004568CC"/>
    <w:rsid w:val="00467849"/>
    <w:rsid w:val="0047705C"/>
    <w:rsid w:val="00482F50"/>
    <w:rsid w:val="0048552D"/>
    <w:rsid w:val="004921F6"/>
    <w:rsid w:val="004B06B8"/>
    <w:rsid w:val="004B118F"/>
    <w:rsid w:val="004B1DF9"/>
    <w:rsid w:val="004B45C9"/>
    <w:rsid w:val="004C2944"/>
    <w:rsid w:val="004C2BAF"/>
    <w:rsid w:val="004C2ED1"/>
    <w:rsid w:val="004C466D"/>
    <w:rsid w:val="004D0C42"/>
    <w:rsid w:val="004E1431"/>
    <w:rsid w:val="004E5DAC"/>
    <w:rsid w:val="00501CCC"/>
    <w:rsid w:val="0050265A"/>
    <w:rsid w:val="005071CC"/>
    <w:rsid w:val="0051425B"/>
    <w:rsid w:val="005166C4"/>
    <w:rsid w:val="00524D78"/>
    <w:rsid w:val="0052774E"/>
    <w:rsid w:val="00534D87"/>
    <w:rsid w:val="00536693"/>
    <w:rsid w:val="005379B8"/>
    <w:rsid w:val="00547D7C"/>
    <w:rsid w:val="00547F64"/>
    <w:rsid w:val="00561EC8"/>
    <w:rsid w:val="00565572"/>
    <w:rsid w:val="00575427"/>
    <w:rsid w:val="0057614B"/>
    <w:rsid w:val="005910A6"/>
    <w:rsid w:val="00591873"/>
    <w:rsid w:val="00597D7C"/>
    <w:rsid w:val="005A3E07"/>
    <w:rsid w:val="005A6C68"/>
    <w:rsid w:val="005B615F"/>
    <w:rsid w:val="005D5638"/>
    <w:rsid w:val="005E1DFF"/>
    <w:rsid w:val="005E6AE3"/>
    <w:rsid w:val="005E6C6C"/>
    <w:rsid w:val="005E6E3B"/>
    <w:rsid w:val="005F0212"/>
    <w:rsid w:val="005F3B0F"/>
    <w:rsid w:val="005F466E"/>
    <w:rsid w:val="005F69F4"/>
    <w:rsid w:val="00603AA7"/>
    <w:rsid w:val="00611208"/>
    <w:rsid w:val="00611C88"/>
    <w:rsid w:val="00616D82"/>
    <w:rsid w:val="006179AA"/>
    <w:rsid w:val="00621F36"/>
    <w:rsid w:val="0063295A"/>
    <w:rsid w:val="00632C3F"/>
    <w:rsid w:val="00635E4D"/>
    <w:rsid w:val="006373A0"/>
    <w:rsid w:val="00643D69"/>
    <w:rsid w:val="0064499C"/>
    <w:rsid w:val="00644F9F"/>
    <w:rsid w:val="00646DDF"/>
    <w:rsid w:val="00653BB7"/>
    <w:rsid w:val="00687373"/>
    <w:rsid w:val="00691C79"/>
    <w:rsid w:val="00693485"/>
    <w:rsid w:val="006A54A3"/>
    <w:rsid w:val="006B11A0"/>
    <w:rsid w:val="006B514D"/>
    <w:rsid w:val="006D3467"/>
    <w:rsid w:val="006D6DC6"/>
    <w:rsid w:val="006D7F86"/>
    <w:rsid w:val="006E080C"/>
    <w:rsid w:val="006E2041"/>
    <w:rsid w:val="006E4272"/>
    <w:rsid w:val="006E7DCB"/>
    <w:rsid w:val="006F1EC6"/>
    <w:rsid w:val="006F6682"/>
    <w:rsid w:val="0070013E"/>
    <w:rsid w:val="00704EB7"/>
    <w:rsid w:val="007167C2"/>
    <w:rsid w:val="00720C66"/>
    <w:rsid w:val="007214D6"/>
    <w:rsid w:val="007216A4"/>
    <w:rsid w:val="007503DC"/>
    <w:rsid w:val="007607BF"/>
    <w:rsid w:val="00761157"/>
    <w:rsid w:val="0076288C"/>
    <w:rsid w:val="007716A9"/>
    <w:rsid w:val="00781F77"/>
    <w:rsid w:val="0079669A"/>
    <w:rsid w:val="007A4FF5"/>
    <w:rsid w:val="007A7845"/>
    <w:rsid w:val="007B1231"/>
    <w:rsid w:val="007C08B4"/>
    <w:rsid w:val="007C3F49"/>
    <w:rsid w:val="007D0524"/>
    <w:rsid w:val="007D43E6"/>
    <w:rsid w:val="007D64D9"/>
    <w:rsid w:val="007E009D"/>
    <w:rsid w:val="007F11D8"/>
    <w:rsid w:val="007F4A17"/>
    <w:rsid w:val="008047C0"/>
    <w:rsid w:val="00805C7A"/>
    <w:rsid w:val="00807179"/>
    <w:rsid w:val="00815A91"/>
    <w:rsid w:val="0081635A"/>
    <w:rsid w:val="0082014A"/>
    <w:rsid w:val="00831B39"/>
    <w:rsid w:val="008335F6"/>
    <w:rsid w:val="008433E6"/>
    <w:rsid w:val="00845E4A"/>
    <w:rsid w:val="00847537"/>
    <w:rsid w:val="00847F7E"/>
    <w:rsid w:val="00861B0A"/>
    <w:rsid w:val="00862D75"/>
    <w:rsid w:val="008661E5"/>
    <w:rsid w:val="0088748C"/>
    <w:rsid w:val="00887C86"/>
    <w:rsid w:val="008A5084"/>
    <w:rsid w:val="008B02B9"/>
    <w:rsid w:val="008B2A57"/>
    <w:rsid w:val="008C097F"/>
    <w:rsid w:val="008C3B71"/>
    <w:rsid w:val="008C7207"/>
    <w:rsid w:val="008D1D38"/>
    <w:rsid w:val="008D20B5"/>
    <w:rsid w:val="008D3A24"/>
    <w:rsid w:val="008E1563"/>
    <w:rsid w:val="008F2E1D"/>
    <w:rsid w:val="009051AD"/>
    <w:rsid w:val="009119A6"/>
    <w:rsid w:val="00914757"/>
    <w:rsid w:val="009152A1"/>
    <w:rsid w:val="0092045F"/>
    <w:rsid w:val="0094083D"/>
    <w:rsid w:val="0094495E"/>
    <w:rsid w:val="009456F9"/>
    <w:rsid w:val="009458E9"/>
    <w:rsid w:val="009523B5"/>
    <w:rsid w:val="00954C08"/>
    <w:rsid w:val="00957C5A"/>
    <w:rsid w:val="00966546"/>
    <w:rsid w:val="009702A5"/>
    <w:rsid w:val="00972843"/>
    <w:rsid w:val="009728A3"/>
    <w:rsid w:val="00972D3C"/>
    <w:rsid w:val="00974C49"/>
    <w:rsid w:val="00981BEC"/>
    <w:rsid w:val="00984F64"/>
    <w:rsid w:val="00994A78"/>
    <w:rsid w:val="009A0457"/>
    <w:rsid w:val="009B2739"/>
    <w:rsid w:val="009B3564"/>
    <w:rsid w:val="009B41A2"/>
    <w:rsid w:val="009B4D8E"/>
    <w:rsid w:val="009B63E0"/>
    <w:rsid w:val="009D0F3A"/>
    <w:rsid w:val="009D5DA9"/>
    <w:rsid w:val="009E0C21"/>
    <w:rsid w:val="009F2312"/>
    <w:rsid w:val="009F7CE1"/>
    <w:rsid w:val="00A00052"/>
    <w:rsid w:val="00A055F0"/>
    <w:rsid w:val="00A118A3"/>
    <w:rsid w:val="00A2253C"/>
    <w:rsid w:val="00A2353B"/>
    <w:rsid w:val="00A23956"/>
    <w:rsid w:val="00A27A83"/>
    <w:rsid w:val="00A402F8"/>
    <w:rsid w:val="00A46A14"/>
    <w:rsid w:val="00A504D5"/>
    <w:rsid w:val="00A51546"/>
    <w:rsid w:val="00A564AA"/>
    <w:rsid w:val="00A56E21"/>
    <w:rsid w:val="00A573FF"/>
    <w:rsid w:val="00A65F3B"/>
    <w:rsid w:val="00A66B54"/>
    <w:rsid w:val="00A66D75"/>
    <w:rsid w:val="00A734FA"/>
    <w:rsid w:val="00A74535"/>
    <w:rsid w:val="00A7791A"/>
    <w:rsid w:val="00A81B36"/>
    <w:rsid w:val="00A8313E"/>
    <w:rsid w:val="00A864CB"/>
    <w:rsid w:val="00A8760E"/>
    <w:rsid w:val="00A940DC"/>
    <w:rsid w:val="00A94F50"/>
    <w:rsid w:val="00AB34D3"/>
    <w:rsid w:val="00AC1E54"/>
    <w:rsid w:val="00AC3560"/>
    <w:rsid w:val="00AC4BB5"/>
    <w:rsid w:val="00AC749A"/>
    <w:rsid w:val="00AD6BF1"/>
    <w:rsid w:val="00AD79D7"/>
    <w:rsid w:val="00AD7FB8"/>
    <w:rsid w:val="00AF1E5D"/>
    <w:rsid w:val="00AF2CDC"/>
    <w:rsid w:val="00B02776"/>
    <w:rsid w:val="00B101A0"/>
    <w:rsid w:val="00B103A8"/>
    <w:rsid w:val="00B1141A"/>
    <w:rsid w:val="00B13A6B"/>
    <w:rsid w:val="00B17AB6"/>
    <w:rsid w:val="00B233D7"/>
    <w:rsid w:val="00B36870"/>
    <w:rsid w:val="00B41B36"/>
    <w:rsid w:val="00B44728"/>
    <w:rsid w:val="00B47B9D"/>
    <w:rsid w:val="00B509FF"/>
    <w:rsid w:val="00B55584"/>
    <w:rsid w:val="00B56B2B"/>
    <w:rsid w:val="00B60484"/>
    <w:rsid w:val="00B60C30"/>
    <w:rsid w:val="00B67D49"/>
    <w:rsid w:val="00B702A1"/>
    <w:rsid w:val="00B73C22"/>
    <w:rsid w:val="00B905CE"/>
    <w:rsid w:val="00B905E5"/>
    <w:rsid w:val="00B95B35"/>
    <w:rsid w:val="00BA316B"/>
    <w:rsid w:val="00BB5FDC"/>
    <w:rsid w:val="00BC3B94"/>
    <w:rsid w:val="00BC6A85"/>
    <w:rsid w:val="00BC7B79"/>
    <w:rsid w:val="00BD518E"/>
    <w:rsid w:val="00BE59E7"/>
    <w:rsid w:val="00C04380"/>
    <w:rsid w:val="00C07D2B"/>
    <w:rsid w:val="00C158F0"/>
    <w:rsid w:val="00C20927"/>
    <w:rsid w:val="00C23397"/>
    <w:rsid w:val="00C240C6"/>
    <w:rsid w:val="00C24404"/>
    <w:rsid w:val="00C33025"/>
    <w:rsid w:val="00C343B0"/>
    <w:rsid w:val="00C35E3F"/>
    <w:rsid w:val="00C379B4"/>
    <w:rsid w:val="00C443C3"/>
    <w:rsid w:val="00C47610"/>
    <w:rsid w:val="00C54D91"/>
    <w:rsid w:val="00C56942"/>
    <w:rsid w:val="00C637AE"/>
    <w:rsid w:val="00C80486"/>
    <w:rsid w:val="00C804F6"/>
    <w:rsid w:val="00C932EB"/>
    <w:rsid w:val="00C93BCD"/>
    <w:rsid w:val="00C93ED7"/>
    <w:rsid w:val="00C94D2A"/>
    <w:rsid w:val="00C96E08"/>
    <w:rsid w:val="00CA5E52"/>
    <w:rsid w:val="00CA664C"/>
    <w:rsid w:val="00CB1318"/>
    <w:rsid w:val="00CB2562"/>
    <w:rsid w:val="00CD1602"/>
    <w:rsid w:val="00CD4C92"/>
    <w:rsid w:val="00CE5E8E"/>
    <w:rsid w:val="00CF1882"/>
    <w:rsid w:val="00CF2671"/>
    <w:rsid w:val="00CF3212"/>
    <w:rsid w:val="00CF5052"/>
    <w:rsid w:val="00CF76A7"/>
    <w:rsid w:val="00D00E93"/>
    <w:rsid w:val="00D03332"/>
    <w:rsid w:val="00D105B8"/>
    <w:rsid w:val="00D120FB"/>
    <w:rsid w:val="00D12B27"/>
    <w:rsid w:val="00D13896"/>
    <w:rsid w:val="00D13CF6"/>
    <w:rsid w:val="00D24094"/>
    <w:rsid w:val="00D24D34"/>
    <w:rsid w:val="00D25425"/>
    <w:rsid w:val="00D27EA3"/>
    <w:rsid w:val="00D36343"/>
    <w:rsid w:val="00D3761F"/>
    <w:rsid w:val="00D402A1"/>
    <w:rsid w:val="00D41CF6"/>
    <w:rsid w:val="00D44F0C"/>
    <w:rsid w:val="00D45A4A"/>
    <w:rsid w:val="00D51ED6"/>
    <w:rsid w:val="00D53491"/>
    <w:rsid w:val="00D53B48"/>
    <w:rsid w:val="00D55E83"/>
    <w:rsid w:val="00D62176"/>
    <w:rsid w:val="00D64264"/>
    <w:rsid w:val="00D648E6"/>
    <w:rsid w:val="00D71A2D"/>
    <w:rsid w:val="00D71E02"/>
    <w:rsid w:val="00D72617"/>
    <w:rsid w:val="00D74508"/>
    <w:rsid w:val="00D83C64"/>
    <w:rsid w:val="00D87E42"/>
    <w:rsid w:val="00D90499"/>
    <w:rsid w:val="00D91027"/>
    <w:rsid w:val="00D92FC4"/>
    <w:rsid w:val="00DA255F"/>
    <w:rsid w:val="00DA7C19"/>
    <w:rsid w:val="00DB422D"/>
    <w:rsid w:val="00DC2532"/>
    <w:rsid w:val="00DD0B41"/>
    <w:rsid w:val="00DE1EB7"/>
    <w:rsid w:val="00DE318A"/>
    <w:rsid w:val="00DE6C09"/>
    <w:rsid w:val="00DF49F3"/>
    <w:rsid w:val="00E03BA3"/>
    <w:rsid w:val="00E03F4F"/>
    <w:rsid w:val="00E0682D"/>
    <w:rsid w:val="00E07412"/>
    <w:rsid w:val="00E11618"/>
    <w:rsid w:val="00E13473"/>
    <w:rsid w:val="00E23E02"/>
    <w:rsid w:val="00E3612F"/>
    <w:rsid w:val="00E432FB"/>
    <w:rsid w:val="00E43608"/>
    <w:rsid w:val="00E47C65"/>
    <w:rsid w:val="00E569C0"/>
    <w:rsid w:val="00E57648"/>
    <w:rsid w:val="00E6113F"/>
    <w:rsid w:val="00E7721D"/>
    <w:rsid w:val="00E828BC"/>
    <w:rsid w:val="00E92ECE"/>
    <w:rsid w:val="00E93B8E"/>
    <w:rsid w:val="00E93B9E"/>
    <w:rsid w:val="00EA0653"/>
    <w:rsid w:val="00EA1DB5"/>
    <w:rsid w:val="00EC5DC1"/>
    <w:rsid w:val="00EC7194"/>
    <w:rsid w:val="00EC76DC"/>
    <w:rsid w:val="00ED1A11"/>
    <w:rsid w:val="00ED2B78"/>
    <w:rsid w:val="00ED36A7"/>
    <w:rsid w:val="00ED5CD0"/>
    <w:rsid w:val="00ED7097"/>
    <w:rsid w:val="00EE3024"/>
    <w:rsid w:val="00EE7041"/>
    <w:rsid w:val="00EF249E"/>
    <w:rsid w:val="00EF25F6"/>
    <w:rsid w:val="00EF59EA"/>
    <w:rsid w:val="00F03063"/>
    <w:rsid w:val="00F03891"/>
    <w:rsid w:val="00F3584E"/>
    <w:rsid w:val="00F40B04"/>
    <w:rsid w:val="00F470F1"/>
    <w:rsid w:val="00F50874"/>
    <w:rsid w:val="00F508AB"/>
    <w:rsid w:val="00F538A0"/>
    <w:rsid w:val="00F7039D"/>
    <w:rsid w:val="00F72DE0"/>
    <w:rsid w:val="00F82036"/>
    <w:rsid w:val="00F86DBF"/>
    <w:rsid w:val="00F90501"/>
    <w:rsid w:val="00F94FE9"/>
    <w:rsid w:val="00F9547D"/>
    <w:rsid w:val="00FA369D"/>
    <w:rsid w:val="00FB0631"/>
    <w:rsid w:val="00FB3D40"/>
    <w:rsid w:val="00FC6EE1"/>
    <w:rsid w:val="00FD207C"/>
    <w:rsid w:val="00FD47C2"/>
    <w:rsid w:val="00FD6A02"/>
    <w:rsid w:val="00FE16EF"/>
    <w:rsid w:val="00FE1804"/>
    <w:rsid w:val="00FE6EFD"/>
    <w:rsid w:val="00FF1C7E"/>
    <w:rsid w:val="00FF596F"/>
    <w:rsid w:val="0E9DB4B1"/>
    <w:rsid w:val="2BD86AAF"/>
    <w:rsid w:val="2BFD3375"/>
    <w:rsid w:val="2CD237FA"/>
    <w:rsid w:val="302B1379"/>
    <w:rsid w:val="3F7F5C0E"/>
    <w:rsid w:val="5E8EAFB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425B"/>
    <w:pPr>
      <w:autoSpaceDE w:val="0"/>
      <w:autoSpaceDN w:val="0"/>
      <w:adjustRightInd w:val="0"/>
    </w:pPr>
    <w:rPr>
      <w:rFonts w:ascii="Gill Sans MT" w:hAnsi="Gill Sans MT" w:cs="Gill Sans MT"/>
      <w:color w:val="000000"/>
      <w:sz w:val="24"/>
      <w:szCs w:val="24"/>
    </w:rPr>
  </w:style>
  <w:style w:type="paragraph" w:styleId="CommentSubject">
    <w:name w:val="annotation subject"/>
    <w:basedOn w:val="CommentText"/>
    <w:next w:val="CommentText"/>
    <w:link w:val="CommentSubjectChar"/>
    <w:uiPriority w:val="99"/>
    <w:semiHidden/>
    <w:unhideWhenUsed/>
    <w:rsid w:val="008047C0"/>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8047C0"/>
    <w:rPr>
      <w:rFonts w:ascii="Gill Sans MT" w:eastAsiaTheme="minorHAnsi" w:hAnsi="Gill Sans MT" w:cstheme="minorBidi"/>
      <w:b/>
      <w:bCs/>
      <w:spacing w:val="-2"/>
      <w:lang w:eastAsia="en-US"/>
    </w:rPr>
  </w:style>
  <w:style w:type="paragraph" w:styleId="Revision">
    <w:name w:val="Revision"/>
    <w:hidden/>
    <w:uiPriority w:val="99"/>
    <w:semiHidden/>
    <w:rsid w:val="00CA5E52"/>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800002847">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43FA3"/>
    <w:rsid w:val="002527A3"/>
    <w:rsid w:val="002A077D"/>
    <w:rsid w:val="002D08B7"/>
    <w:rsid w:val="002E4899"/>
    <w:rsid w:val="0033313F"/>
    <w:rsid w:val="008073C4"/>
    <w:rsid w:val="009005A1"/>
    <w:rsid w:val="009243E4"/>
    <w:rsid w:val="009D4324"/>
    <w:rsid w:val="00B74F1B"/>
    <w:rsid w:val="00D120FB"/>
    <w:rsid w:val="00D54A5E"/>
    <w:rsid w:val="00E87CD3"/>
    <w:rsid w:val="00F010AF"/>
    <w:rsid w:val="00F72DE0"/>
    <w:rsid w:val="00FB063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739601-b75a-4478-92a7-75ad31719205" xsi:nil="true"/>
    <lcf76f155ced4ddcb4097134ff3c332f xmlns="b1c6cd7c-fefb-4db3-86ad-1b9fb326f1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7D6A33204B30429A0D520FBB2515D8" ma:contentTypeVersion="15" ma:contentTypeDescription="Create a new document." ma:contentTypeScope="" ma:versionID="9cff715842b75804525d1c367b918061">
  <xsd:schema xmlns:xsd="http://www.w3.org/2001/XMLSchema" xmlns:xs="http://www.w3.org/2001/XMLSchema" xmlns:p="http://schemas.microsoft.com/office/2006/metadata/properties" xmlns:ns2="b1c6cd7c-fefb-4db3-86ad-1b9fb326f1f4" xmlns:ns3="76739601-b75a-4478-92a7-75ad31719205" targetNamespace="http://schemas.microsoft.com/office/2006/metadata/properties" ma:root="true" ma:fieldsID="e4f858ecc1f7eb5bb6b7ee134bc87ac7" ns2:_="" ns3:_="">
    <xsd:import namespace="b1c6cd7c-fefb-4db3-86ad-1b9fb326f1f4"/>
    <xsd:import namespace="76739601-b75a-4478-92a7-75ad31719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6cd7c-fefb-4db3-86ad-1b9fb326f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39601-b75a-4478-92a7-75ad31719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92e0ed-955a-4c3b-9261-b6d49eb52465}" ma:internalName="TaxCatchAll" ma:showField="CatchAllData" ma:web="76739601-b75a-4478-92a7-75ad3171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6739601-b75a-4478-92a7-75ad31719205"/>
    <ds:schemaRef ds:uri="b1c6cd7c-fefb-4db3-86ad-1b9fb326f1f4"/>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D9A043B4-4D71-46BA-B954-4F6AE943C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6cd7c-fefb-4db3-86ad-1b9fb326f1f4"/>
    <ds:schemaRef ds:uri="76739601-b75a-4478-92a7-75ad3171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11309</Characters>
  <Application>Microsoft Office Word</Application>
  <DocSecurity>0</DocSecurity>
  <Lines>205</Lines>
  <Paragraphs>111</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Assistant – Senior Secondary Provision</dc:title>
  <dc:subject/>
  <dc:creator>Dinnessen, Cameron</dc:creator>
  <cp:keywords/>
  <dc:description/>
  <cp:lastModifiedBy>Baker, Nat</cp:lastModifiedBy>
  <cp:revision>3</cp:revision>
  <cp:lastPrinted>2024-07-15T23:07:00Z</cp:lastPrinted>
  <dcterms:created xsi:type="dcterms:W3CDTF">2024-07-15T23:07:00Z</dcterms:created>
  <dcterms:modified xsi:type="dcterms:W3CDTF">2024-07-15T23:07:00Z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0x010100D07D6A33204B30429A0D520FBB2515D8</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