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3363C9B" w:rsidR="003C0450" w:rsidRPr="00C56BF6" w:rsidRDefault="00EA2BCB" w:rsidP="004B1E48">
            <w:pPr>
              <w:rPr>
                <w:rFonts w:ascii="Gill Sans MT" w:hAnsi="Gill Sans MT" w:cs="Gill Sans"/>
              </w:rPr>
            </w:pPr>
            <w:r>
              <w:rPr>
                <w:rStyle w:val="InformationBlockChar"/>
                <w:rFonts w:eastAsiaTheme="minorHAnsi"/>
                <w:b w:val="0"/>
                <w:bCs/>
              </w:rPr>
              <w:t>Patient Transport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A45BCF7" w:rsidR="003C0450" w:rsidRPr="00C56BF6" w:rsidRDefault="00EA2BCB"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959C770" w:rsidR="003C0450" w:rsidRPr="00C56BF6" w:rsidRDefault="00EA2BCB" w:rsidP="004B1E48">
            <w:pPr>
              <w:rPr>
                <w:rFonts w:ascii="Gill Sans MT" w:hAnsi="Gill Sans MT" w:cs="Gill Sans"/>
              </w:rPr>
            </w:pPr>
            <w:r>
              <w:rPr>
                <w:rStyle w:val="InformationBlockChar"/>
                <w:rFonts w:eastAsiaTheme="minorHAnsi"/>
                <w:b w:val="0"/>
                <w:bCs/>
              </w:rPr>
              <w:t>July 2015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74A1878" w:rsidR="003C0450" w:rsidRPr="00C56BF6" w:rsidRDefault="00EA2BC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93DA602" w:rsidR="00B06EDE" w:rsidRPr="00EA2BCB" w:rsidRDefault="00EA2BCB" w:rsidP="00EA2BCB">
            <w:pPr>
              <w:spacing w:after="0"/>
              <w:rPr>
                <w:rFonts w:ascii="Gill Sans MT" w:hAnsi="Gill Sans MT" w:cs="Times New Roman"/>
                <w:bCs/>
                <w:szCs w:val="22"/>
              </w:rPr>
            </w:pPr>
            <w:r>
              <w:rPr>
                <w:rStyle w:val="InformationBlockChar"/>
                <w:rFonts w:eastAsiaTheme="minorHAnsi"/>
                <w:b w:val="0"/>
                <w:bCs/>
              </w:rPr>
              <w:t xml:space="preserve">Community, Mental Health and Wellbeing – Ambulance Tasmania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7472F94" w:rsidR="003C0450" w:rsidRPr="00C56BF6" w:rsidRDefault="00EA2BCB"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C903FBB" w:rsidR="003C0450" w:rsidRPr="00C56BF6" w:rsidRDefault="00EA2BC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EE48A7B" w:rsidR="003C0450" w:rsidRPr="00C56BF6" w:rsidRDefault="00EA2BCB" w:rsidP="004B1E48">
            <w:pPr>
              <w:rPr>
                <w:rFonts w:ascii="Gill Sans MT" w:hAnsi="Gill Sans MT" w:cs="Gill Sans"/>
              </w:rPr>
            </w:pPr>
            <w:r>
              <w:rPr>
                <w:rStyle w:val="InformationBlockChar"/>
                <w:rFonts w:eastAsiaTheme="minorHAnsi"/>
                <w:b w:val="0"/>
                <w:bCs/>
              </w:rPr>
              <w:t>Regional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A32C8C7" w:rsidR="004B1E48" w:rsidRPr="00C56BF6" w:rsidRDefault="00EA2BCB" w:rsidP="004B1E48">
            <w:pPr>
              <w:rPr>
                <w:rFonts w:ascii="Gill Sans MT" w:hAnsi="Gill Sans MT" w:cs="Gill Sans"/>
              </w:rPr>
            </w:pPr>
            <w:r>
              <w:rPr>
                <w:rStyle w:val="InformationBlockChar"/>
                <w:rFonts w:eastAsiaTheme="minorHAnsi"/>
                <w:b w:val="0"/>
                <w:bCs/>
              </w:rPr>
              <w:t>July 2015</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2969C95" w:rsidR="00540344" w:rsidRPr="00C56BF6" w:rsidRDefault="00EA2BC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B256702" w:rsidR="00540344" w:rsidRPr="00C56BF6" w:rsidRDefault="00EA2BC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07E32BFB" w:rsidR="00B06EDE" w:rsidRPr="00EA2BCB" w:rsidRDefault="00EA2BCB" w:rsidP="00EA2BCB">
            <w:pPr>
              <w:widowControl w:val="0"/>
              <w:spacing w:after="120" w:line="280" w:lineRule="atLeast"/>
              <w:jc w:val="both"/>
              <w:rPr>
                <w:rFonts w:ascii="Gill Sans MT" w:hAnsi="Gill Sans MT"/>
              </w:rPr>
            </w:pPr>
            <w:r w:rsidRPr="005435A3">
              <w:rPr>
                <w:rFonts w:ascii="Gill Sans MT" w:hAnsi="Gill Sans MT"/>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3DD9FF6E" w14:textId="3DC80958" w:rsidR="00EA2BCB" w:rsidRPr="002707CC" w:rsidRDefault="00EA2BCB" w:rsidP="00EA2BCB">
            <w:pPr>
              <w:widowControl w:val="0"/>
              <w:spacing w:after="120" w:line="280" w:lineRule="atLeast"/>
              <w:rPr>
                <w:rFonts w:ascii="Gill Sans MT" w:hAnsi="Gill Sans MT"/>
              </w:rPr>
            </w:pPr>
            <w:r w:rsidRPr="002707CC">
              <w:rPr>
                <w:rFonts w:ascii="Gill Sans MT" w:hAnsi="Gill Sans MT"/>
              </w:rPr>
              <w:t>Ambulance Tasmania is committed to promoting a positive workplace culture</w:t>
            </w:r>
          </w:p>
          <w:p w14:paraId="6F290144" w14:textId="5771A4B1" w:rsidR="00EA2BCB" w:rsidRPr="002707CC" w:rsidRDefault="00EA2BCB" w:rsidP="00EA2BCB">
            <w:pPr>
              <w:widowControl w:val="0"/>
              <w:spacing w:after="120" w:line="280" w:lineRule="atLeast"/>
              <w:rPr>
                <w:rFonts w:ascii="Gill Sans MT" w:hAnsi="Gill Sans MT"/>
              </w:rPr>
            </w:pPr>
            <w:r w:rsidRPr="002707CC">
              <w:rPr>
                <w:rFonts w:ascii="Gill Sans MT" w:hAnsi="Gill Sans MT"/>
              </w:rPr>
              <w:t>As a member of the Health Transport Services Team moving patients throughout Tasmania, the incumbent will be required to participate in an on call roster and, due to the nature of the work, reasonable overtime is a feature of this position</w:t>
            </w:r>
          </w:p>
          <w:p w14:paraId="64A3538B" w14:textId="4120458D" w:rsidR="00B06EDE" w:rsidRPr="00EA2BCB" w:rsidRDefault="00EA2BCB" w:rsidP="00EA2BCB">
            <w:pPr>
              <w:widowControl w:val="0"/>
              <w:spacing w:after="360"/>
              <w:rPr>
                <w:rFonts w:ascii="Gill Sans MT" w:hAnsi="Gill Sans MT"/>
              </w:rPr>
            </w:pPr>
            <w:r w:rsidRPr="002707CC">
              <w:rPr>
                <w:rFonts w:ascii="Gill Sans MT" w:hAnsi="Gill Sans MT"/>
              </w:rPr>
              <w:t>Required to wear appropriate uniform</w:t>
            </w:r>
          </w:p>
        </w:tc>
      </w:tr>
    </w:tbl>
    <w:p w14:paraId="36BF0E56" w14:textId="1F775D8F" w:rsidR="00B06EDE" w:rsidRPr="00B06EDE" w:rsidRDefault="00E91AB6" w:rsidP="00EA2BC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D534D47" w14:textId="3F7B5533" w:rsidR="00EA2BCB" w:rsidRPr="005435A3" w:rsidRDefault="00EA2BCB" w:rsidP="00EA2BCB">
      <w:pPr>
        <w:widowControl w:val="0"/>
        <w:spacing w:after="120"/>
        <w:rPr>
          <w:rFonts w:ascii="Gill Sans MT" w:hAnsi="Gill Sans MT"/>
        </w:rPr>
      </w:pPr>
      <w:r>
        <w:rPr>
          <w:rFonts w:ascii="Gill Sans MT" w:hAnsi="Gill Sans MT"/>
        </w:rPr>
        <w:t>P</w:t>
      </w:r>
      <w:r w:rsidRPr="005435A3">
        <w:rPr>
          <w:rFonts w:ascii="Gill Sans MT" w:hAnsi="Gill Sans MT"/>
        </w:rPr>
        <w:t>rovide an efficient and safe non-emergency patient transport service for eligible Department of Health (D</w:t>
      </w:r>
      <w:r>
        <w:rPr>
          <w:rFonts w:ascii="Gill Sans MT" w:hAnsi="Gill Sans MT"/>
        </w:rPr>
        <w:t>o</w:t>
      </w:r>
      <w:r w:rsidRPr="005435A3">
        <w:rPr>
          <w:rFonts w:ascii="Gill Sans MT" w:hAnsi="Gill Sans MT"/>
        </w:rPr>
        <w:t xml:space="preserve">H) patients in accordance with Ambulance Tasmania </w:t>
      </w:r>
      <w:r>
        <w:rPr>
          <w:rFonts w:ascii="Gill Sans MT" w:hAnsi="Gill Sans MT"/>
        </w:rPr>
        <w:t xml:space="preserve">(AT) </w:t>
      </w:r>
      <w:r w:rsidRPr="005435A3">
        <w:rPr>
          <w:rFonts w:ascii="Gill Sans MT" w:hAnsi="Gill Sans MT"/>
        </w:rPr>
        <w:t>Non</w:t>
      </w:r>
      <w:r>
        <w:rPr>
          <w:rFonts w:ascii="Gill Sans MT" w:hAnsi="Gill Sans MT"/>
        </w:rPr>
        <w:t xml:space="preserve"> </w:t>
      </w:r>
      <w:r w:rsidRPr="005435A3">
        <w:rPr>
          <w:rFonts w:ascii="Gill Sans MT" w:hAnsi="Gill Sans MT"/>
        </w:rPr>
        <w:t xml:space="preserve">Emergency Patient Transport Policy and Clinical Protocols. </w:t>
      </w:r>
    </w:p>
    <w:p w14:paraId="3DC1C17A" w14:textId="7980510D" w:rsidR="00B06EDE" w:rsidRPr="00EA2BCB" w:rsidRDefault="00EA2BCB" w:rsidP="00EA2BCB">
      <w:pPr>
        <w:widowControl w:val="0"/>
        <w:spacing w:after="240"/>
        <w:rPr>
          <w:rFonts w:ascii="Gill Sans MT" w:hAnsi="Gill Sans MT"/>
        </w:rPr>
      </w:pPr>
      <w:r>
        <w:rPr>
          <w:rFonts w:ascii="Gill Sans MT" w:hAnsi="Gill Sans MT"/>
        </w:rPr>
        <w:t>W</w:t>
      </w:r>
      <w:r w:rsidRPr="005435A3">
        <w:rPr>
          <w:rFonts w:ascii="Gill Sans MT" w:hAnsi="Gill Sans MT"/>
        </w:rPr>
        <w:t>ork as a member of the Health Transport Services team providing transport of low acuity, medically stable patients requiring a basic level of care and observation for patients travelling to, from or between D</w:t>
      </w:r>
      <w:r>
        <w:rPr>
          <w:rFonts w:ascii="Gill Sans MT" w:hAnsi="Gill Sans MT"/>
        </w:rPr>
        <w:t>o</w:t>
      </w:r>
      <w:r w:rsidRPr="005435A3">
        <w:rPr>
          <w:rFonts w:ascii="Gill Sans MT" w:hAnsi="Gill Sans MT"/>
        </w:rPr>
        <w:t>H facilities.</w:t>
      </w:r>
    </w:p>
    <w:p w14:paraId="005DD4B6" w14:textId="10DDFB31" w:rsidR="00E91AB6" w:rsidRPr="00405739" w:rsidRDefault="00E91AB6" w:rsidP="00405739">
      <w:pPr>
        <w:pStyle w:val="Heading3"/>
      </w:pPr>
      <w:r w:rsidRPr="00405739">
        <w:t>Duties:</w:t>
      </w:r>
    </w:p>
    <w:p w14:paraId="69822E1A" w14:textId="77777777" w:rsidR="00EA2BCB" w:rsidRPr="005435A3" w:rsidRDefault="00EA2BCB" w:rsidP="00EA2BCB">
      <w:pPr>
        <w:pStyle w:val="ListNumbered"/>
      </w:pPr>
      <w:r>
        <w:t>P</w:t>
      </w:r>
      <w:r w:rsidRPr="005435A3">
        <w:t>rovide safe patient transport of medically stable patients who require basic care and observation during transport. Undertaking duties in accordance with established practices, procedures and policies.</w:t>
      </w:r>
      <w:r>
        <w:t xml:space="preserve"> </w:t>
      </w:r>
      <w:r w:rsidRPr="005435A3">
        <w:t>To attend to these duties promptly as directed by the Executive Manager Health Transport or delegate.</w:t>
      </w:r>
    </w:p>
    <w:p w14:paraId="422F9880" w14:textId="77777777" w:rsidR="00EA2BCB" w:rsidRPr="005435A3" w:rsidRDefault="00EA2BCB" w:rsidP="00EA2BCB">
      <w:pPr>
        <w:pStyle w:val="ListNumbered"/>
      </w:pPr>
      <w:r>
        <w:t>P</w:t>
      </w:r>
      <w:r w:rsidRPr="005435A3">
        <w:t>rovide patient care and transport as allocated through Patient Transport Dispatch in accordance with policies and procedures.</w:t>
      </w:r>
    </w:p>
    <w:p w14:paraId="36FA4669" w14:textId="77777777" w:rsidR="00EA2BCB" w:rsidRPr="005435A3" w:rsidRDefault="00EA2BCB" w:rsidP="00EA2BCB">
      <w:pPr>
        <w:pStyle w:val="ListNumbered"/>
      </w:pPr>
      <w:r>
        <w:t>M</w:t>
      </w:r>
      <w:r w:rsidRPr="005435A3">
        <w:t>aintain operational contact with the Patient Transport Dispatcher(s).</w:t>
      </w:r>
    </w:p>
    <w:p w14:paraId="3A6BF0CD" w14:textId="77777777" w:rsidR="00EA2BCB" w:rsidRPr="005435A3" w:rsidRDefault="00EA2BCB" w:rsidP="00EA2BCB">
      <w:pPr>
        <w:pStyle w:val="ListNumbered"/>
      </w:pPr>
      <w:r>
        <w:t>Undertake pre-</w:t>
      </w:r>
      <w:r w:rsidRPr="005435A3">
        <w:t xml:space="preserve">transport assessment of patients and handover of patients at destination. </w:t>
      </w:r>
    </w:p>
    <w:p w14:paraId="5A01CD53" w14:textId="77777777" w:rsidR="00EA2BCB" w:rsidRPr="005435A3" w:rsidRDefault="00EA2BCB" w:rsidP="00EA2BCB">
      <w:pPr>
        <w:pStyle w:val="ListNumbered"/>
      </w:pPr>
      <w:r>
        <w:t>C</w:t>
      </w:r>
      <w:r w:rsidRPr="005435A3">
        <w:t>omplete and maintain patient case/care records and any other required documentation and use technology related to non-emergency patient transport.</w:t>
      </w:r>
      <w:r>
        <w:t xml:space="preserve"> </w:t>
      </w:r>
    </w:p>
    <w:p w14:paraId="122ED5BA" w14:textId="77777777" w:rsidR="00EA2BCB" w:rsidRDefault="00EA2BCB" w:rsidP="00EA2BCB">
      <w:pPr>
        <w:pStyle w:val="ListNumbered"/>
      </w:pPr>
      <w:r>
        <w:t>Re</w:t>
      </w:r>
      <w:r w:rsidRPr="005435A3">
        <w:t>present the service in a professional and efficient manner.</w:t>
      </w:r>
    </w:p>
    <w:p w14:paraId="29C9FB9E" w14:textId="77777777" w:rsidR="00EA2BCB" w:rsidRPr="005435A3" w:rsidRDefault="00EA2BCB" w:rsidP="00EA2BCB">
      <w:pPr>
        <w:pStyle w:val="ListNumbered"/>
      </w:pPr>
      <w:r>
        <w:t>O</w:t>
      </w:r>
      <w:r w:rsidRPr="005435A3">
        <w:t>rientate nursing staff or other health professionals (where they are escorting a non emergency patient) to the equipment in the vehicle e.g. resuscitator, stretcher and equipment as required. Observe safety principles and all health policies and procedures relative to the position.</w:t>
      </w:r>
    </w:p>
    <w:p w14:paraId="114DCD41" w14:textId="53657759" w:rsidR="00EA2BCB" w:rsidRPr="00EA2BCB" w:rsidRDefault="00EA2BCB" w:rsidP="00EA2BCB">
      <w:pPr>
        <w:pStyle w:val="ListNumbered"/>
      </w:pPr>
      <w:r>
        <w:t>U</w:t>
      </w:r>
      <w:r w:rsidRPr="005435A3">
        <w:t>ndertake and maintain ongoing competence in patient transport services according to in-service courses designed for the position, including knowledge of equipment and safe patient and manual handling practices.</w:t>
      </w:r>
    </w:p>
    <w:p w14:paraId="70C80450" w14:textId="77777777" w:rsidR="00EA2BCB" w:rsidRPr="005435A3" w:rsidRDefault="00EA2BCB" w:rsidP="00EA2BCB">
      <w:pPr>
        <w:pStyle w:val="ListNumbered"/>
      </w:pPr>
      <w:r>
        <w:t>A</w:t>
      </w:r>
      <w:r w:rsidRPr="005435A3">
        <w:t xml:space="preserve">chieve standards and objectives relating to quality assurance and </w:t>
      </w:r>
      <w:r>
        <w:t>Work Health and Safety (WH&amp;S)</w:t>
      </w:r>
      <w:r w:rsidRPr="005435A3">
        <w:t xml:space="preserve"> legislation.</w:t>
      </w:r>
    </w:p>
    <w:p w14:paraId="445A58C3" w14:textId="77777777" w:rsidR="00EA2BCB" w:rsidRPr="005435A3" w:rsidRDefault="00EA2BCB" w:rsidP="00EA2BCB">
      <w:pPr>
        <w:pStyle w:val="ListNumbered"/>
        <w:rPr>
          <w:rFonts w:cs="Tahoma"/>
        </w:rPr>
      </w:pPr>
      <w:r>
        <w:t>M</w:t>
      </w:r>
      <w:r w:rsidRPr="005435A3">
        <w:t>aintain the allocated vehicle and equipment to a high standard of cleanliness (for infection control standards) and functionality including undertaking prescribed</w:t>
      </w:r>
      <w:r>
        <w:t xml:space="preserve"> </w:t>
      </w:r>
      <w:r w:rsidRPr="005435A3">
        <w:t>safety and maintenance checks as specified in vehicle manuals and policies in accordance with State Service and Agency Regulations.</w:t>
      </w:r>
      <w:r>
        <w:t xml:space="preserve"> </w:t>
      </w:r>
      <w:r w:rsidRPr="005435A3">
        <w:t>Report any maintenance matters to the Executive Manager or delegate.</w:t>
      </w:r>
    </w:p>
    <w:p w14:paraId="36CE417A" w14:textId="0FDD9239" w:rsidR="00B06EDE" w:rsidRDefault="00EA2BCB" w:rsidP="00EA2BCB">
      <w:pPr>
        <w:pStyle w:val="ListNumbered"/>
      </w:pPr>
      <w:r>
        <w:t>A</w:t>
      </w:r>
      <w:r w:rsidRPr="005435A3">
        <w:t xml:space="preserve">ssist when required and allocated by Patient Transport Dispatch with broader </w:t>
      </w:r>
      <w:r>
        <w:t>AT</w:t>
      </w:r>
      <w:r w:rsidRPr="005435A3">
        <w:t xml:space="preserve"> fleet operations, </w:t>
      </w:r>
      <w:r>
        <w:t>e.g.</w:t>
      </w:r>
      <w:r w:rsidRPr="005435A3">
        <w:t xml:space="preserve"> transferring vehicles for service etc.</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A2BCB">
      <w:pPr>
        <w:pStyle w:val="Heading3"/>
        <w:spacing w:before="120" w:line="300" w:lineRule="atLeast"/>
      </w:pPr>
      <w:r>
        <w:lastRenderedPageBreak/>
        <w:t>Key Accountabilities and Responsibilities:</w:t>
      </w:r>
    </w:p>
    <w:p w14:paraId="24459402" w14:textId="63A2C490" w:rsidR="00EA2BCB" w:rsidRDefault="00EA2BCB" w:rsidP="00EA2BCB">
      <w:pPr>
        <w:spacing w:before="120" w:after="120"/>
      </w:pPr>
      <w:r>
        <w:t xml:space="preserve">Accountable </w:t>
      </w:r>
      <w:r w:rsidRPr="005435A3">
        <w:t xml:space="preserve">to the Executive Manager Health Transport or delegate for performance of duties in accordance with Agency policy and </w:t>
      </w:r>
      <w:r>
        <w:t>s</w:t>
      </w:r>
      <w:r w:rsidRPr="005435A3">
        <w:t xml:space="preserve">tandard </w:t>
      </w:r>
      <w:r>
        <w:t>o</w:t>
      </w:r>
      <w:r w:rsidRPr="005435A3">
        <w:t xml:space="preserve">perating </w:t>
      </w:r>
      <w:r>
        <w:t>p</w:t>
      </w:r>
      <w:r w:rsidRPr="005435A3">
        <w:t>rocedures</w:t>
      </w:r>
      <w:r>
        <w:t>, and r</w:t>
      </w:r>
      <w:r w:rsidRPr="005435A3">
        <w:t>eceives instruction from health professionals such as nurses, medical practitioners and paramedics in the delivery of care to patients and provides information to health professionals as required.</w:t>
      </w:r>
      <w:r>
        <w:t xml:space="preserve"> </w:t>
      </w:r>
    </w:p>
    <w:p w14:paraId="2C439BA5" w14:textId="07034A49" w:rsidR="00EA2BCB" w:rsidRPr="005435A3" w:rsidRDefault="00EA2BCB" w:rsidP="00EA2BCB">
      <w:pPr>
        <w:spacing w:before="120" w:after="120"/>
      </w:pPr>
      <w:r>
        <w:t xml:space="preserve">The Patient Transport Officer is responsible for: </w:t>
      </w:r>
    </w:p>
    <w:p w14:paraId="38B6DEE3" w14:textId="53ACCA90" w:rsidR="00EA2BCB" w:rsidRPr="005435A3" w:rsidRDefault="00EA2BCB" w:rsidP="00EA2BCB">
      <w:pPr>
        <w:pStyle w:val="ListParagraph"/>
        <w:spacing w:before="120" w:after="120"/>
      </w:pPr>
      <w:r>
        <w:t>Taking</w:t>
      </w:r>
      <w:r w:rsidRPr="005435A3">
        <w:t xml:space="preserve"> any reasonable action necessary to achieve the requirements of the position specifications, provided such is within the framework of policies and procedures and other specific directives given by their manager.</w:t>
      </w:r>
    </w:p>
    <w:p w14:paraId="5A916B0D" w14:textId="701FCD76" w:rsidR="00EA2BCB" w:rsidRPr="005435A3" w:rsidRDefault="00EA2BCB" w:rsidP="00EA2BCB">
      <w:pPr>
        <w:pStyle w:val="ListParagraph"/>
        <w:spacing w:before="120" w:after="120"/>
      </w:pPr>
      <w:r>
        <w:t>T</w:t>
      </w:r>
      <w:r w:rsidRPr="005435A3">
        <w:t>he safe and efficient transport of low acuity, medically stable patients (stretcher, wheelchair).</w:t>
      </w:r>
    </w:p>
    <w:p w14:paraId="17C4C198" w14:textId="0F08128D" w:rsidR="00EA2BCB" w:rsidRPr="005435A3" w:rsidRDefault="00EA2BCB" w:rsidP="00EA2BCB">
      <w:pPr>
        <w:pStyle w:val="ListParagraph"/>
        <w:spacing w:before="120" w:after="120"/>
      </w:pPr>
      <w:r>
        <w:t>T</w:t>
      </w:r>
      <w:r w:rsidRPr="005435A3">
        <w:t>he safe handling of the vehicle and equipment in operation and compliance with all Tasmanian and National traffic code regulations and Agency policies.</w:t>
      </w:r>
    </w:p>
    <w:p w14:paraId="72439EF6" w14:textId="65B25A3D" w:rsidR="00EA2BCB" w:rsidRPr="005435A3" w:rsidRDefault="00EA2BCB" w:rsidP="00EA2BCB">
      <w:pPr>
        <w:pStyle w:val="ListParagraph"/>
        <w:spacing w:before="120" w:after="120"/>
      </w:pPr>
      <w:r w:rsidRPr="005435A3">
        <w:t>Ensur</w:t>
      </w:r>
      <w:r>
        <w:t xml:space="preserve">ing </w:t>
      </w:r>
      <w:r w:rsidRPr="005435A3">
        <w:t>that the vehicle and associated equipment are in a safe condition and are appropriately maintaine</w:t>
      </w:r>
      <w:r>
        <w:t xml:space="preserve">d </w:t>
      </w:r>
      <w:r w:rsidRPr="005435A3">
        <w:t>and serviced. Maintain a high standard of cleanliness for infection control standards.</w:t>
      </w:r>
    </w:p>
    <w:p w14:paraId="27362CCB" w14:textId="3C6D4F53" w:rsidR="00EA2BCB" w:rsidRPr="005435A3" w:rsidRDefault="00EA2BCB" w:rsidP="00EA2BCB">
      <w:pPr>
        <w:pStyle w:val="ListParagraph"/>
        <w:spacing w:before="120" w:after="120"/>
      </w:pPr>
      <w:r w:rsidRPr="005435A3">
        <w:t>Exercis</w:t>
      </w:r>
      <w:r>
        <w:t>ing</w:t>
      </w:r>
      <w:r w:rsidRPr="005435A3">
        <w:t xml:space="preserve"> reasonable care in the performance of duties consistent with patient care standards and the relevant </w:t>
      </w:r>
      <w:r>
        <w:t>W</w:t>
      </w:r>
      <w:r w:rsidRPr="005435A3">
        <w:t>H&amp;S legislation.</w:t>
      </w:r>
    </w:p>
    <w:p w14:paraId="7FA5859D" w14:textId="2A23A780" w:rsidR="00EA2BCB" w:rsidRPr="005435A3" w:rsidRDefault="00EA2BCB" w:rsidP="00EA2BCB">
      <w:pPr>
        <w:pStyle w:val="ListParagraph"/>
        <w:spacing w:before="120" w:after="120"/>
      </w:pPr>
      <w:r>
        <w:t>M</w:t>
      </w:r>
      <w:r w:rsidRPr="005435A3">
        <w:t>aintaining confidentiality as per policies and procedures.</w:t>
      </w:r>
    </w:p>
    <w:p w14:paraId="0C03C9B4" w14:textId="248B9B57" w:rsidR="00EA2BCB" w:rsidRDefault="00EA2BCB" w:rsidP="00EA2BCB">
      <w:pPr>
        <w:pStyle w:val="ListParagraph"/>
        <w:spacing w:before="120" w:after="120"/>
      </w:pPr>
      <w:r>
        <w:t>P</w:t>
      </w:r>
      <w:r w:rsidRPr="005435A3">
        <w:t>articipat</w:t>
      </w:r>
      <w:r>
        <w:t>ing</w:t>
      </w:r>
      <w:r w:rsidRPr="005435A3">
        <w:t xml:space="preserve"> in maintaining a supportive and positive workplace culture.</w:t>
      </w:r>
    </w:p>
    <w:p w14:paraId="0739D20C" w14:textId="58787344" w:rsidR="00B06EDE" w:rsidRDefault="00EA2BCB" w:rsidP="00EA2BCB">
      <w:pPr>
        <w:pStyle w:val="ListParagraph"/>
        <w:spacing w:before="120" w:after="120"/>
      </w:pPr>
      <w:r>
        <w:t>Performing the duties allocated consistent with AT’s organisational values and will promote, rol</w:t>
      </w:r>
      <w:r w:rsidRPr="00DE2DF1">
        <w:t>e model and support those values in the workplace.</w:t>
      </w:r>
    </w:p>
    <w:p w14:paraId="5F7D6A04" w14:textId="73271E2C" w:rsidR="00DB2338" w:rsidRDefault="00EE1C89" w:rsidP="00EA2BCB">
      <w:pPr>
        <w:pStyle w:val="ListParagraph"/>
        <w:spacing w:before="120" w:after="120"/>
      </w:pPr>
      <w:r>
        <w:t>Where applicable, e</w:t>
      </w:r>
      <w:r w:rsidR="00DB2338" w:rsidRPr="004B0994">
        <w:t>xercis</w:t>
      </w:r>
      <w:r w:rsidR="00EA2BCB">
        <w:t xml:space="preserve">ing </w:t>
      </w:r>
      <w:r w:rsidR="00DB2338" w:rsidRPr="004B0994">
        <w:t xml:space="preserve">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379FD95" w14:textId="32D3E4E3" w:rsidR="00B06EDE" w:rsidRDefault="003C43E7" w:rsidP="00EA2BCB">
      <w:pPr>
        <w:pStyle w:val="ListParagraph"/>
        <w:spacing w:before="120" w:after="120"/>
      </w:pPr>
      <w:r w:rsidRPr="008803FC">
        <w:t>Comply</w:t>
      </w:r>
      <w:r w:rsidR="00EA2BC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65B5F72B" w14:textId="09B9422E" w:rsidR="00512B29" w:rsidRPr="008803FC" w:rsidRDefault="00512B29" w:rsidP="00EA2BCB">
      <w:pPr>
        <w:pStyle w:val="ListParagraph"/>
        <w:spacing w:before="120" w:after="240"/>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EA2BCB">
        <w:t xml:space="preserve">A </w:t>
      </w:r>
      <w:r w:rsidRPr="008803FC">
        <w:t>position.</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65BA3B9"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34A4E120" w14:textId="345D5846" w:rsidR="00EA2BCB" w:rsidRDefault="00EA2BCB" w:rsidP="00B06EDE">
      <w:pPr>
        <w:spacing w:line="280" w:lineRule="atLeast"/>
      </w:pPr>
    </w:p>
    <w:p w14:paraId="7C10527D" w14:textId="1939762E" w:rsidR="00EA2BCB" w:rsidRDefault="00EA2BCB" w:rsidP="00B06EDE">
      <w:pPr>
        <w:spacing w:line="280" w:lineRule="atLeast"/>
      </w:pPr>
    </w:p>
    <w:p w14:paraId="4C77846C" w14:textId="01EA2BFA" w:rsidR="00EA2BCB" w:rsidRDefault="00EA2BCB" w:rsidP="00B06EDE">
      <w:pPr>
        <w:spacing w:line="280" w:lineRule="atLeast"/>
      </w:pPr>
    </w:p>
    <w:p w14:paraId="0FA5BD3C" w14:textId="77777777" w:rsidR="00EA2BCB" w:rsidRDefault="00EA2BCB" w:rsidP="00B06EDE">
      <w:pPr>
        <w:spacing w:line="280" w:lineRule="atLeast"/>
      </w:pPr>
    </w:p>
    <w:p w14:paraId="2DCFB5C4" w14:textId="77777777" w:rsidR="00E91AB6" w:rsidRDefault="00E91AB6" w:rsidP="00B06EDE">
      <w:pPr>
        <w:pStyle w:val="ListNumbered"/>
        <w:numPr>
          <w:ilvl w:val="0"/>
          <w:numId w:val="16"/>
        </w:numPr>
        <w:spacing w:line="280" w:lineRule="atLeast"/>
      </w:pPr>
      <w:r>
        <w:lastRenderedPageBreak/>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32250CB7" w14:textId="5929B1C2" w:rsidR="00E91AB6" w:rsidRPr="00405739" w:rsidRDefault="00E91AB6" w:rsidP="00B06EDE">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C872633" w14:textId="77777777" w:rsidR="00EA2BCB" w:rsidRPr="00EA2BCB" w:rsidRDefault="00EA2BCB" w:rsidP="00EA2BCB">
      <w:pPr>
        <w:pStyle w:val="ListNumbered"/>
        <w:widowControl w:val="0"/>
        <w:numPr>
          <w:ilvl w:val="0"/>
          <w:numId w:val="15"/>
        </w:numPr>
        <w:spacing w:after="120" w:line="280" w:lineRule="atLeast"/>
        <w:rPr>
          <w:rFonts w:ascii="Gill Sans MT" w:hAnsi="Gill Sans MT"/>
        </w:rPr>
      </w:pPr>
      <w:r w:rsidRPr="00EA2BCB">
        <w:rPr>
          <w:rFonts w:ascii="Gill Sans MT" w:hAnsi="Gill Sans MT"/>
        </w:rPr>
        <w:t xml:space="preserve">Senior level first aid certificate (or equivalent) or demonstrated ability to obtain the same. </w:t>
      </w:r>
    </w:p>
    <w:p w14:paraId="77D14C83" w14:textId="77777777" w:rsidR="00EA2BCB" w:rsidRPr="00EA2BCB" w:rsidRDefault="00EA2BCB" w:rsidP="00EA2BCB">
      <w:pPr>
        <w:pStyle w:val="ListNumbered"/>
        <w:widowControl w:val="0"/>
        <w:numPr>
          <w:ilvl w:val="0"/>
          <w:numId w:val="15"/>
        </w:numPr>
        <w:spacing w:after="120" w:line="280" w:lineRule="atLeast"/>
        <w:rPr>
          <w:rFonts w:ascii="Gill Sans MT" w:hAnsi="Gill Sans MT"/>
        </w:rPr>
      </w:pPr>
      <w:r w:rsidRPr="00EA2BCB">
        <w:rPr>
          <w:rFonts w:ascii="Gill Sans MT" w:hAnsi="Gill Sans MT"/>
        </w:rPr>
        <w:t>Demonstrated ability and capacity to undertake and successfully complete Certificate 3 in non emergency patient transport (or equivalent as determined by the Chief Executive Officer of Ambulance Tasmania in accordance with standards set by Ambulance Tasmania).</w:t>
      </w:r>
    </w:p>
    <w:p w14:paraId="33714390" w14:textId="77777777" w:rsidR="00EA2BCB" w:rsidRPr="00EA2BCB" w:rsidRDefault="00EA2BCB" w:rsidP="00EA2BCB">
      <w:pPr>
        <w:pStyle w:val="ListNumbered"/>
        <w:widowControl w:val="0"/>
        <w:numPr>
          <w:ilvl w:val="0"/>
          <w:numId w:val="15"/>
        </w:numPr>
        <w:spacing w:after="120" w:line="280" w:lineRule="atLeast"/>
        <w:rPr>
          <w:rFonts w:ascii="Gill Sans MT" w:hAnsi="Gill Sans MT"/>
        </w:rPr>
      </w:pPr>
      <w:r w:rsidRPr="00EA2BCB">
        <w:rPr>
          <w:rFonts w:ascii="Gill Sans MT" w:hAnsi="Gill Sans MT"/>
        </w:rPr>
        <w:t>Ability to communicate effectively with patients, Patient Transport Dispatchers and other members of the health care team coupled with good conflict resolution skills.</w:t>
      </w:r>
    </w:p>
    <w:p w14:paraId="1B39BC76" w14:textId="77777777" w:rsidR="00EA2BCB" w:rsidRPr="00EA2BCB" w:rsidRDefault="00EA2BCB" w:rsidP="00EA2BCB">
      <w:pPr>
        <w:pStyle w:val="ListNumbered"/>
        <w:widowControl w:val="0"/>
        <w:numPr>
          <w:ilvl w:val="0"/>
          <w:numId w:val="15"/>
        </w:numPr>
        <w:spacing w:after="120" w:line="280" w:lineRule="atLeast"/>
        <w:rPr>
          <w:rFonts w:ascii="Gill Sans MT" w:hAnsi="Gill Sans MT"/>
        </w:rPr>
      </w:pPr>
      <w:r w:rsidRPr="00EA2BCB">
        <w:rPr>
          <w:rFonts w:ascii="Gill Sans MT" w:hAnsi="Gill Sans MT"/>
        </w:rPr>
        <w:t>Ability to work productively as a member of a small team.</w:t>
      </w:r>
    </w:p>
    <w:p w14:paraId="10FFC9D8" w14:textId="77777777" w:rsidR="00EA2BCB" w:rsidRPr="00EA2BCB" w:rsidRDefault="00EA2BCB" w:rsidP="00EA2BCB">
      <w:pPr>
        <w:pStyle w:val="ListNumbered"/>
        <w:widowControl w:val="0"/>
        <w:numPr>
          <w:ilvl w:val="0"/>
          <w:numId w:val="15"/>
        </w:numPr>
        <w:spacing w:after="120" w:line="280" w:lineRule="atLeast"/>
        <w:rPr>
          <w:rFonts w:ascii="Gill Sans MT" w:hAnsi="Gill Sans MT"/>
        </w:rPr>
      </w:pPr>
      <w:r w:rsidRPr="00EA2BCB">
        <w:rPr>
          <w:rFonts w:ascii="Gill Sans MT" w:hAnsi="Gill Sans MT"/>
        </w:rPr>
        <w:t>Demonstrated proficiency in driving vehicles and ability to participate in driving courses when necessary.</w:t>
      </w:r>
    </w:p>
    <w:p w14:paraId="3FEF282E" w14:textId="77777777" w:rsidR="00EA2BCB" w:rsidRPr="00EA2BCB" w:rsidRDefault="00EA2BCB" w:rsidP="00EA2BCB">
      <w:pPr>
        <w:pStyle w:val="ListNumbered"/>
        <w:widowControl w:val="0"/>
        <w:numPr>
          <w:ilvl w:val="0"/>
          <w:numId w:val="15"/>
        </w:numPr>
        <w:spacing w:after="120" w:line="280" w:lineRule="atLeast"/>
        <w:rPr>
          <w:rFonts w:ascii="Gill Sans MT" w:hAnsi="Gill Sans MT"/>
        </w:rPr>
      </w:pPr>
      <w:r w:rsidRPr="00EA2BCB">
        <w:rPr>
          <w:rFonts w:ascii="Gill Sans MT" w:hAnsi="Gill Sans MT"/>
        </w:rPr>
        <w:t>Ability to work unsupervised to execute assigned duties and work under pressure individually or as part of a crew, showing initiative and judgment.</w:t>
      </w:r>
    </w:p>
    <w:p w14:paraId="1D1DB96D" w14:textId="01C1AECB" w:rsidR="00E91AB6" w:rsidRPr="00EA2BCB" w:rsidRDefault="00EA2BCB" w:rsidP="00EA2BCB">
      <w:pPr>
        <w:pStyle w:val="ListNumbered"/>
        <w:widowControl w:val="0"/>
        <w:numPr>
          <w:ilvl w:val="0"/>
          <w:numId w:val="15"/>
        </w:numPr>
        <w:spacing w:after="240" w:line="280" w:lineRule="atLeast"/>
        <w:rPr>
          <w:rFonts w:ascii="Gill Sans MT" w:hAnsi="Gill Sans MT"/>
        </w:rPr>
      </w:pPr>
      <w:r w:rsidRPr="00EA2BCB">
        <w:rPr>
          <w:rFonts w:ascii="Gill Sans MT" w:hAnsi="Gill Sans MT"/>
        </w:rPr>
        <w:t>Well developed knowledge and understanding of manual handling techniques, ability to apply those techniques along with the ability to safely adhere to a demanding driving schedule.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51A27"/>
    <w:multiLevelType w:val="hybridMultilevel"/>
    <w:tmpl w:val="123E5BE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7D5774"/>
    <w:multiLevelType w:val="hybridMultilevel"/>
    <w:tmpl w:val="A784FA6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425811"/>
    <w:multiLevelType w:val="hybridMultilevel"/>
    <w:tmpl w:val="8C3C562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CA93AF7"/>
    <w:multiLevelType w:val="hybridMultilevel"/>
    <w:tmpl w:val="A3C42B2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20"/>
  </w:num>
  <w:num w:numId="2">
    <w:abstractNumId w:val="3"/>
  </w:num>
  <w:num w:numId="3">
    <w:abstractNumId w:val="1"/>
  </w:num>
  <w:num w:numId="4">
    <w:abstractNumId w:val="6"/>
  </w:num>
  <w:num w:numId="5">
    <w:abstractNumId w:val="13"/>
  </w:num>
  <w:num w:numId="6">
    <w:abstractNumId w:val="9"/>
  </w:num>
  <w:num w:numId="7">
    <w:abstractNumId w:val="17"/>
  </w:num>
  <w:num w:numId="8">
    <w:abstractNumId w:val="0"/>
  </w:num>
  <w:num w:numId="9">
    <w:abstractNumId w:val="18"/>
  </w:num>
  <w:num w:numId="10">
    <w:abstractNumId w:val="15"/>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6"/>
  </w:num>
  <w:num w:numId="21">
    <w:abstractNumId w:val="12"/>
  </w:num>
  <w:num w:numId="22">
    <w:abstractNumId w:val="19"/>
  </w:num>
  <w:num w:numId="23">
    <w:abstractNumId w:val="7"/>
  </w:num>
  <w:num w:numId="24">
    <w:abstractNumId w:val="21"/>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4B6D"/>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2BCB"/>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2021-08-17T22:57:00Z</cp:lastPrinted>
  <dcterms:created xsi:type="dcterms:W3CDTF">2021-08-17T22:46:00Z</dcterms:created>
  <dcterms:modified xsi:type="dcterms:W3CDTF">2021-08-17T22:57:00Z</dcterms:modified>
</cp:coreProperties>
</file>