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26B4" w14:textId="77777777" w:rsidR="00CA2FD0" w:rsidRPr="00CA2FD0" w:rsidRDefault="00CA2FD0" w:rsidP="00CA2FD0">
      <w:pPr>
        <w:spacing w:after="0"/>
        <w:rPr>
          <w:rFonts w:ascii="Arial" w:hAnsi="Arial" w:cs="Arial"/>
          <w:sz w:val="32"/>
          <w:szCs w:val="32"/>
        </w:rPr>
      </w:pPr>
      <w:r w:rsidRPr="00CA2FD0">
        <w:rPr>
          <w:rFonts w:ascii="Arial" w:hAnsi="Arial" w:cs="Arial"/>
          <w:sz w:val="32"/>
          <w:szCs w:val="32"/>
        </w:rPr>
        <w:t>Position description</w:t>
      </w:r>
    </w:p>
    <w:p w14:paraId="117C7134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FD0" w14:paraId="74912026" w14:textId="77777777" w:rsidTr="00E93BAD">
        <w:tc>
          <w:tcPr>
            <w:tcW w:w="2263" w:type="dxa"/>
          </w:tcPr>
          <w:p w14:paraId="6E0F9901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Date of creation</w:t>
            </w:r>
          </w:p>
        </w:tc>
        <w:tc>
          <w:tcPr>
            <w:tcW w:w="6753" w:type="dxa"/>
          </w:tcPr>
          <w:p w14:paraId="676DA649" w14:textId="77777777" w:rsidR="00CA2FD0" w:rsidRDefault="00BA2A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CA2FD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A2FD0" w14:paraId="32E4EA4D" w14:textId="77777777" w:rsidTr="00E93BAD">
        <w:tc>
          <w:tcPr>
            <w:tcW w:w="2263" w:type="dxa"/>
          </w:tcPr>
          <w:p w14:paraId="7E8B45A4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6753" w:type="dxa"/>
          </w:tcPr>
          <w:p w14:paraId="3FFB9DE3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Consultant</w:t>
            </w:r>
          </w:p>
        </w:tc>
      </w:tr>
      <w:tr w:rsidR="00CA2FD0" w14:paraId="7A91383B" w14:textId="77777777" w:rsidTr="00E93BAD">
        <w:tc>
          <w:tcPr>
            <w:tcW w:w="2263" w:type="dxa"/>
          </w:tcPr>
          <w:p w14:paraId="12FD67D6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6753" w:type="dxa"/>
          </w:tcPr>
          <w:p w14:paraId="1E854ABF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</w:p>
        </w:tc>
      </w:tr>
      <w:tr w:rsidR="00CA2FD0" w14:paraId="2EE3E4EA" w14:textId="77777777" w:rsidTr="00E93BAD">
        <w:tc>
          <w:tcPr>
            <w:tcW w:w="2263" w:type="dxa"/>
          </w:tcPr>
          <w:p w14:paraId="30272E23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  <w:tc>
          <w:tcPr>
            <w:tcW w:w="6753" w:type="dxa"/>
          </w:tcPr>
          <w:p w14:paraId="6A21D48C" w14:textId="6B3EF991" w:rsidR="00CA2FD0" w:rsidRDefault="008B7726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</w:t>
            </w:r>
            <w:r w:rsidR="00CA2FD0">
              <w:rPr>
                <w:rFonts w:ascii="Arial" w:hAnsi="Arial" w:cs="Arial"/>
                <w:sz w:val="20"/>
                <w:szCs w:val="20"/>
              </w:rPr>
              <w:t xml:space="preserve"> Connection Fulfilment</w:t>
            </w:r>
          </w:p>
        </w:tc>
      </w:tr>
      <w:tr w:rsidR="00CA2FD0" w14:paraId="5B0C6025" w14:textId="77777777" w:rsidTr="00E93BAD">
        <w:tc>
          <w:tcPr>
            <w:tcW w:w="2263" w:type="dxa"/>
          </w:tcPr>
          <w:p w14:paraId="77D1A79E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753" w:type="dxa"/>
          </w:tcPr>
          <w:p w14:paraId="41184498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Ipswich/Adelaide</w:t>
            </w:r>
          </w:p>
        </w:tc>
      </w:tr>
      <w:tr w:rsidR="00CA2FD0" w14:paraId="7759FAE6" w14:textId="77777777" w:rsidTr="00E93BAD">
        <w:tc>
          <w:tcPr>
            <w:tcW w:w="2263" w:type="dxa"/>
          </w:tcPr>
          <w:p w14:paraId="04D15EFC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Reports to position</w:t>
            </w:r>
          </w:p>
        </w:tc>
        <w:tc>
          <w:tcPr>
            <w:tcW w:w="6753" w:type="dxa"/>
          </w:tcPr>
          <w:p w14:paraId="6F35A077" w14:textId="77777777" w:rsidR="00CA2FD0" w:rsidRDefault="00CA2FD0" w:rsidP="00C84F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C84FAC">
              <w:rPr>
                <w:rFonts w:ascii="Arial" w:hAnsi="Arial" w:cs="Arial"/>
                <w:sz w:val="20"/>
                <w:szCs w:val="20"/>
              </w:rPr>
              <w:t>Leader</w:t>
            </w:r>
          </w:p>
        </w:tc>
      </w:tr>
      <w:tr w:rsidR="00CA2FD0" w14:paraId="61F07D70" w14:textId="77777777" w:rsidTr="00E93BAD">
        <w:tc>
          <w:tcPr>
            <w:tcW w:w="2263" w:type="dxa"/>
          </w:tcPr>
          <w:p w14:paraId="51FB4B8E" w14:textId="77777777" w:rsidR="00CA2FD0" w:rsidRPr="00CA2FD0" w:rsidRDefault="00CA2FD0" w:rsidP="00CA2FD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Direct reports</w:t>
            </w:r>
          </w:p>
        </w:tc>
        <w:tc>
          <w:tcPr>
            <w:tcW w:w="6753" w:type="dxa"/>
          </w:tcPr>
          <w:p w14:paraId="308E661F" w14:textId="77777777" w:rsidR="00CA2FD0" w:rsidRDefault="00CA2FD0" w:rsidP="00CA2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</w:tbl>
    <w:p w14:paraId="62092B25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14C91524" w14:textId="77777777" w:rsidR="00CA2FD0" w:rsidRPr="00CA2FD0" w:rsidRDefault="00CA2FD0" w:rsidP="00485720">
      <w:pPr>
        <w:spacing w:after="120"/>
        <w:rPr>
          <w:rFonts w:ascii="Arial" w:hAnsi="Arial" w:cs="Arial"/>
          <w:sz w:val="24"/>
          <w:szCs w:val="24"/>
        </w:rPr>
      </w:pPr>
      <w:r w:rsidRPr="00CA2FD0">
        <w:rPr>
          <w:rFonts w:ascii="Arial" w:hAnsi="Arial" w:cs="Arial"/>
          <w:sz w:val="24"/>
          <w:szCs w:val="24"/>
        </w:rPr>
        <w:t>Organisational overview</w:t>
      </w:r>
    </w:p>
    <w:p w14:paraId="013CD2BC" w14:textId="77777777" w:rsidR="00B570FC" w:rsidRDefault="00B570FC" w:rsidP="004857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B570FC">
        <w:rPr>
          <w:rFonts w:ascii="Arial" w:hAnsi="Arial" w:cs="Arial"/>
          <w:sz w:val="20"/>
          <w:szCs w:val="20"/>
        </w:rPr>
        <w:t>For more than 150 years, Bendigo and</w:t>
      </w:r>
      <w:r>
        <w:rPr>
          <w:rFonts w:ascii="Arial" w:hAnsi="Arial" w:cs="Arial"/>
          <w:sz w:val="20"/>
          <w:szCs w:val="20"/>
        </w:rPr>
        <w:t xml:space="preserve"> Adelaide Bank has been helping </w:t>
      </w:r>
      <w:r w:rsidRPr="00B570FC">
        <w:rPr>
          <w:rFonts w:ascii="Arial" w:hAnsi="Arial" w:cs="Arial"/>
          <w:sz w:val="20"/>
          <w:szCs w:val="20"/>
        </w:rPr>
        <w:t>people. So it’s only natural we’ve made it</w:t>
      </w:r>
      <w:r>
        <w:rPr>
          <w:rFonts w:ascii="Arial" w:hAnsi="Arial" w:cs="Arial"/>
          <w:sz w:val="20"/>
          <w:szCs w:val="20"/>
        </w:rPr>
        <w:t xml:space="preserve"> our strategy to be Australia’s </w:t>
      </w:r>
      <w:r w:rsidRPr="00B570FC">
        <w:rPr>
          <w:rFonts w:ascii="Arial" w:hAnsi="Arial" w:cs="Arial"/>
          <w:sz w:val="20"/>
          <w:szCs w:val="20"/>
        </w:rPr>
        <w:t>most customer-connected bank</w:t>
      </w:r>
      <w:r>
        <w:rPr>
          <w:rFonts w:ascii="Arial" w:hAnsi="Arial" w:cs="Arial"/>
          <w:sz w:val="20"/>
          <w:szCs w:val="20"/>
        </w:rPr>
        <w:t>.</w:t>
      </w:r>
    </w:p>
    <w:p w14:paraId="156D22CF" w14:textId="1422455B" w:rsidR="00B570FC" w:rsidRDefault="00485720" w:rsidP="0048572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570FC">
        <w:rPr>
          <w:rFonts w:ascii="Arial" w:hAnsi="Arial" w:cs="Arial"/>
          <w:sz w:val="20"/>
          <w:szCs w:val="20"/>
        </w:rPr>
        <w:t>n an increasingly ‘virtual’</w:t>
      </w:r>
      <w:r>
        <w:rPr>
          <w:rFonts w:ascii="Arial" w:hAnsi="Arial" w:cs="Arial"/>
          <w:sz w:val="20"/>
          <w:szCs w:val="20"/>
        </w:rPr>
        <w:t xml:space="preserve"> world – </w:t>
      </w:r>
      <w:r w:rsidR="00B570FC">
        <w:rPr>
          <w:rFonts w:ascii="Arial" w:hAnsi="Arial" w:cs="Arial"/>
          <w:sz w:val="20"/>
          <w:szCs w:val="20"/>
        </w:rPr>
        <w:t xml:space="preserve">where customers </w:t>
      </w:r>
      <w:r>
        <w:rPr>
          <w:rFonts w:ascii="Arial" w:hAnsi="Arial" w:cs="Arial"/>
          <w:sz w:val="20"/>
          <w:szCs w:val="20"/>
        </w:rPr>
        <w:t>want</w:t>
      </w:r>
      <w:r w:rsidR="00B570FC">
        <w:rPr>
          <w:rFonts w:ascii="Arial" w:hAnsi="Arial" w:cs="Arial"/>
          <w:sz w:val="20"/>
          <w:szCs w:val="20"/>
        </w:rPr>
        <w:t xml:space="preserve"> to connect with </w:t>
      </w:r>
      <w:r>
        <w:rPr>
          <w:rFonts w:ascii="Arial" w:hAnsi="Arial" w:cs="Arial"/>
          <w:sz w:val="20"/>
          <w:szCs w:val="20"/>
        </w:rPr>
        <w:t>us</w:t>
      </w:r>
      <w:r w:rsidR="00B570FC">
        <w:rPr>
          <w:rFonts w:ascii="Arial" w:hAnsi="Arial" w:cs="Arial"/>
          <w:sz w:val="20"/>
          <w:szCs w:val="20"/>
        </w:rPr>
        <w:t xml:space="preserve"> over the phone, through their mo</w:t>
      </w:r>
      <w:r>
        <w:rPr>
          <w:rFonts w:ascii="Arial" w:hAnsi="Arial" w:cs="Arial"/>
          <w:sz w:val="20"/>
          <w:szCs w:val="20"/>
        </w:rPr>
        <w:t>bile device, online or by email –</w:t>
      </w:r>
      <w:r w:rsidR="00B570FC">
        <w:rPr>
          <w:rFonts w:ascii="Arial" w:hAnsi="Arial" w:cs="Arial"/>
          <w:sz w:val="20"/>
          <w:szCs w:val="20"/>
        </w:rPr>
        <w:t xml:space="preserve"> it</w:t>
      </w:r>
      <w:r>
        <w:rPr>
          <w:rFonts w:ascii="Arial" w:hAnsi="Arial" w:cs="Arial"/>
          <w:sz w:val="20"/>
          <w:szCs w:val="20"/>
        </w:rPr>
        <w:t>’</w:t>
      </w:r>
      <w:r w:rsidR="00B570FC">
        <w:rPr>
          <w:rFonts w:ascii="Arial" w:hAnsi="Arial" w:cs="Arial"/>
          <w:sz w:val="20"/>
          <w:szCs w:val="20"/>
        </w:rPr>
        <w:t xml:space="preserve">s </w:t>
      </w:r>
      <w:r w:rsidR="008B7726">
        <w:rPr>
          <w:rFonts w:ascii="Arial" w:hAnsi="Arial" w:cs="Arial"/>
          <w:sz w:val="20"/>
          <w:szCs w:val="20"/>
        </w:rPr>
        <w:t xml:space="preserve">Consumer </w:t>
      </w:r>
      <w:r w:rsidR="00B570FC">
        <w:rPr>
          <w:rFonts w:ascii="Arial" w:hAnsi="Arial" w:cs="Arial"/>
          <w:sz w:val="20"/>
          <w:szCs w:val="20"/>
        </w:rPr>
        <w:t xml:space="preserve">Connection that brings the </w:t>
      </w:r>
      <w:r>
        <w:rPr>
          <w:rFonts w:ascii="Arial" w:hAnsi="Arial" w:cs="Arial"/>
          <w:sz w:val="20"/>
          <w:szCs w:val="20"/>
        </w:rPr>
        <w:t>‘</w:t>
      </w:r>
      <w:r w:rsidR="00B570FC">
        <w:rPr>
          <w:rFonts w:ascii="Arial" w:hAnsi="Arial" w:cs="Arial"/>
          <w:sz w:val="20"/>
          <w:szCs w:val="20"/>
        </w:rPr>
        <w:t>human</w:t>
      </w:r>
      <w:r>
        <w:rPr>
          <w:rFonts w:ascii="Arial" w:hAnsi="Arial" w:cs="Arial"/>
          <w:sz w:val="20"/>
          <w:szCs w:val="20"/>
        </w:rPr>
        <w:t xml:space="preserve"> element’ to these transactions.</w:t>
      </w:r>
    </w:p>
    <w:p w14:paraId="16DD0EA2" w14:textId="73F95CCF" w:rsidR="00485720" w:rsidRDefault="00485720" w:rsidP="0048572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8B7726">
        <w:rPr>
          <w:rFonts w:ascii="Arial" w:hAnsi="Arial" w:cs="Arial"/>
          <w:sz w:val="20"/>
          <w:szCs w:val="20"/>
        </w:rPr>
        <w:t>Consumer</w:t>
      </w:r>
      <w:r>
        <w:rPr>
          <w:rFonts w:ascii="Arial" w:hAnsi="Arial" w:cs="Arial"/>
          <w:sz w:val="20"/>
          <w:szCs w:val="20"/>
        </w:rPr>
        <w:t xml:space="preserve"> Connection we aim to create service excellence for our customers. We deliver product and service solutions, sales and service that helps acquire and retain customers – and encourages them to do more with us.</w:t>
      </w:r>
    </w:p>
    <w:p w14:paraId="39871B01" w14:textId="77777777" w:rsidR="00B570FC" w:rsidRDefault="00485720" w:rsidP="00B57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team, we support one another and lead by example. Our strong customer commitment is underpinned by our values and the expectations we have of each other.</w:t>
      </w:r>
    </w:p>
    <w:p w14:paraId="0F23D5C3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FD0" w14:paraId="75CA4211" w14:textId="77777777" w:rsidTr="002D6A4D">
        <w:tc>
          <w:tcPr>
            <w:tcW w:w="9016" w:type="dxa"/>
            <w:shd w:val="clear" w:color="auto" w:fill="D9D9D9" w:themeFill="background1" w:themeFillShade="D9"/>
          </w:tcPr>
          <w:p w14:paraId="6CCC5448" w14:textId="77777777" w:rsidR="00CA2FD0" w:rsidRPr="002D6A4D" w:rsidRDefault="00CA2FD0" w:rsidP="00CA2FD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A4D">
              <w:rPr>
                <w:rFonts w:ascii="Arial" w:hAnsi="Arial" w:cs="Arial"/>
                <w:b/>
                <w:sz w:val="24"/>
                <w:szCs w:val="24"/>
              </w:rPr>
              <w:t>Part A: Job specification</w:t>
            </w:r>
          </w:p>
        </w:tc>
      </w:tr>
    </w:tbl>
    <w:p w14:paraId="6B558660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4B1108FC" w14:textId="77777777" w:rsidR="00CA2FD0" w:rsidRPr="00CA2FD0" w:rsidRDefault="00CA2FD0" w:rsidP="00CA2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purpose</w:t>
      </w:r>
    </w:p>
    <w:p w14:paraId="67928BFA" w14:textId="4C8ADC51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Customer Consultant is the voice of </w:t>
      </w:r>
      <w:r w:rsidR="008B7726">
        <w:rPr>
          <w:rFonts w:ascii="Arial" w:hAnsi="Arial" w:cs="Arial"/>
          <w:sz w:val="20"/>
          <w:szCs w:val="20"/>
        </w:rPr>
        <w:t xml:space="preserve">Consumer </w:t>
      </w:r>
      <w:r>
        <w:rPr>
          <w:rFonts w:ascii="Arial" w:hAnsi="Arial" w:cs="Arial"/>
          <w:sz w:val="20"/>
          <w:szCs w:val="20"/>
        </w:rPr>
        <w:t>Connection in both call and digital interactions with our customers. The role connects customers with products and services, making their interaction with our business easy and seamless.</w:t>
      </w:r>
    </w:p>
    <w:p w14:paraId="7C10ED41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306AC4FC" w14:textId="77777777" w:rsidR="00CA2FD0" w:rsidRPr="00CA2FD0" w:rsidRDefault="00CA2FD0" w:rsidP="00CA2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and relationships</w:t>
      </w:r>
    </w:p>
    <w:p w14:paraId="0B13C075" w14:textId="427BB882" w:rsidR="00CA2FD0" w:rsidRPr="00CA2FD0" w:rsidRDefault="00CA2FD0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A2FD0">
        <w:rPr>
          <w:rFonts w:ascii="Arial" w:hAnsi="Arial" w:cs="Arial"/>
          <w:sz w:val="20"/>
          <w:szCs w:val="20"/>
        </w:rPr>
        <w:t>Peer relationships in C</w:t>
      </w:r>
      <w:r w:rsidR="008B7726">
        <w:rPr>
          <w:rFonts w:ascii="Arial" w:hAnsi="Arial" w:cs="Arial"/>
          <w:sz w:val="20"/>
          <w:szCs w:val="20"/>
        </w:rPr>
        <w:t>onsumer</w:t>
      </w:r>
      <w:r w:rsidRPr="00CA2FD0">
        <w:rPr>
          <w:rFonts w:ascii="Arial" w:hAnsi="Arial" w:cs="Arial"/>
          <w:sz w:val="20"/>
          <w:szCs w:val="20"/>
        </w:rPr>
        <w:t xml:space="preserve"> Connection</w:t>
      </w:r>
    </w:p>
    <w:p w14:paraId="0FCAF1DE" w14:textId="77777777" w:rsidR="00CA2FD0" w:rsidRPr="00CA2FD0" w:rsidRDefault="008549BE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</w:t>
      </w:r>
      <w:r w:rsidR="009333DE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Consultants</w:t>
      </w:r>
    </w:p>
    <w:p w14:paraId="77AD8F50" w14:textId="77777777" w:rsidR="00CA2FD0" w:rsidRPr="00CA2FD0" w:rsidRDefault="00CA2FD0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CA2FD0">
        <w:rPr>
          <w:rFonts w:ascii="Arial" w:hAnsi="Arial" w:cs="Arial"/>
          <w:sz w:val="20"/>
          <w:szCs w:val="20"/>
        </w:rPr>
        <w:t xml:space="preserve">Reports to Team </w:t>
      </w:r>
      <w:r w:rsidR="00C84FAC">
        <w:rPr>
          <w:rFonts w:ascii="Arial" w:hAnsi="Arial" w:cs="Arial"/>
          <w:sz w:val="20"/>
          <w:szCs w:val="20"/>
        </w:rPr>
        <w:t>Leader</w:t>
      </w:r>
    </w:p>
    <w:p w14:paraId="585FDCB5" w14:textId="77777777" w:rsidR="00CA2FD0" w:rsidRDefault="00CA2FD0" w:rsidP="00CA2FD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 xml:space="preserve">Works across the Customer division </w:t>
      </w:r>
    </w:p>
    <w:p w14:paraId="70A2F447" w14:textId="77777777" w:rsidR="00D611F6" w:rsidRPr="00D611F6" w:rsidRDefault="00D611F6" w:rsidP="00D611F6">
      <w:pPr>
        <w:pStyle w:val="ListParagraph"/>
        <w:spacing w:after="0"/>
        <w:ind w:left="426"/>
        <w:rPr>
          <w:rFonts w:ascii="Arial" w:hAnsi="Arial" w:cs="Arial"/>
          <w:sz w:val="20"/>
          <w:szCs w:val="20"/>
        </w:rPr>
      </w:pPr>
    </w:p>
    <w:p w14:paraId="3682308B" w14:textId="77777777" w:rsidR="00CA2FD0" w:rsidRPr="00CA2FD0" w:rsidRDefault="00CA2FD0" w:rsidP="00CA2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accountabilities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A2FD0" w14:paraId="4E639FE5" w14:textId="77777777" w:rsidTr="00E93BAD">
        <w:tc>
          <w:tcPr>
            <w:tcW w:w="2263" w:type="dxa"/>
          </w:tcPr>
          <w:p w14:paraId="3B8D1BF0" w14:textId="77777777" w:rsidR="00CA2FD0" w:rsidRPr="00CA2FD0" w:rsidRDefault="00CA2FD0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Key result area</w:t>
            </w:r>
          </w:p>
        </w:tc>
        <w:tc>
          <w:tcPr>
            <w:tcW w:w="6753" w:type="dxa"/>
          </w:tcPr>
          <w:p w14:paraId="2F759F0E" w14:textId="77777777" w:rsidR="00CA2FD0" w:rsidRPr="00CA2FD0" w:rsidRDefault="00CA2FD0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2FD0">
              <w:rPr>
                <w:rFonts w:ascii="Arial" w:hAnsi="Arial" w:cs="Arial"/>
                <w:b/>
                <w:sz w:val="20"/>
                <w:szCs w:val="20"/>
              </w:rPr>
              <w:t>Accountability</w:t>
            </w:r>
          </w:p>
        </w:tc>
      </w:tr>
      <w:tr w:rsidR="00CA2FD0" w14:paraId="57EA96EC" w14:textId="77777777" w:rsidTr="00E93BAD">
        <w:tc>
          <w:tcPr>
            <w:tcW w:w="2263" w:type="dxa"/>
          </w:tcPr>
          <w:p w14:paraId="5EF9FCCA" w14:textId="77777777" w:rsidR="00CA2FD0" w:rsidRPr="001D39CE" w:rsidRDefault="00CA2FD0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Customer</w:t>
            </w:r>
          </w:p>
        </w:tc>
        <w:tc>
          <w:tcPr>
            <w:tcW w:w="6753" w:type="dxa"/>
          </w:tcPr>
          <w:p w14:paraId="3763C11A" w14:textId="77777777" w:rsidR="00CA2FD0" w:rsidRPr="00D611F6" w:rsidRDefault="00CA2FD0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611F6">
              <w:rPr>
                <w:rFonts w:ascii="Arial" w:hAnsi="Arial" w:cs="Arial"/>
                <w:sz w:val="20"/>
                <w:szCs w:val="20"/>
              </w:rPr>
              <w:t>Respond to customer phone calls</w:t>
            </w:r>
            <w:r w:rsidR="0058639E" w:rsidRPr="00D611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58639E" w:rsidRPr="00D611F6">
              <w:rPr>
                <w:rFonts w:ascii="Arial" w:hAnsi="Arial" w:cs="Arial"/>
                <w:sz w:val="20"/>
                <w:szCs w:val="20"/>
              </w:rPr>
              <w:t>emails</w:t>
            </w:r>
            <w:proofErr w:type="gramEnd"/>
            <w:r w:rsidR="0058639E" w:rsidRPr="00D611F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03EAE" w:rsidRPr="00D611F6">
              <w:rPr>
                <w:rFonts w:ascii="Arial" w:hAnsi="Arial" w:cs="Arial"/>
                <w:sz w:val="20"/>
                <w:szCs w:val="20"/>
              </w:rPr>
              <w:t xml:space="preserve"> online</w:t>
            </w:r>
            <w:r w:rsidR="0058639E" w:rsidRPr="00D61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EAE" w:rsidRPr="00D611F6">
              <w:rPr>
                <w:rFonts w:ascii="Arial" w:hAnsi="Arial" w:cs="Arial"/>
                <w:sz w:val="20"/>
                <w:szCs w:val="20"/>
              </w:rPr>
              <w:t>web messaging</w:t>
            </w:r>
            <w:r w:rsidRPr="00D611F6">
              <w:rPr>
                <w:rFonts w:ascii="Arial" w:hAnsi="Arial" w:cs="Arial"/>
                <w:sz w:val="20"/>
                <w:szCs w:val="20"/>
              </w:rPr>
              <w:t xml:space="preserve"> within acceptable timeframes, delivering service excellence for each and every customer.</w:t>
            </w:r>
          </w:p>
          <w:p w14:paraId="08F3D59F" w14:textId="22B8357A" w:rsidR="00CA2FD0" w:rsidRPr="00D611F6" w:rsidRDefault="00CA2FD0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611F6">
              <w:rPr>
                <w:rFonts w:ascii="Arial" w:hAnsi="Arial" w:cs="Arial"/>
                <w:sz w:val="20"/>
                <w:szCs w:val="20"/>
              </w:rPr>
              <w:t>Use the C</w:t>
            </w:r>
            <w:r w:rsidR="008B7726">
              <w:rPr>
                <w:rFonts w:ascii="Arial" w:hAnsi="Arial" w:cs="Arial"/>
                <w:sz w:val="20"/>
                <w:szCs w:val="20"/>
              </w:rPr>
              <w:t>onsumer</w:t>
            </w:r>
            <w:r w:rsidRPr="00D611F6">
              <w:rPr>
                <w:rFonts w:ascii="Arial" w:hAnsi="Arial" w:cs="Arial"/>
                <w:sz w:val="20"/>
                <w:szCs w:val="20"/>
              </w:rPr>
              <w:t xml:space="preserve"> Connection quality guidelines to build rapport with customers. Demonstrate empathy and professionalism and reflect the bank’s customer-connectedness.</w:t>
            </w:r>
          </w:p>
          <w:p w14:paraId="0D56D9B4" w14:textId="77777777" w:rsidR="00CA2FD0" w:rsidRPr="00E93BAD" w:rsidRDefault="00CA2FD0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D611F6">
              <w:rPr>
                <w:rFonts w:ascii="Arial" w:hAnsi="Arial" w:cs="Arial"/>
                <w:sz w:val="20"/>
                <w:szCs w:val="20"/>
              </w:rPr>
              <w:t>Listen to</w:t>
            </w:r>
            <w:r w:rsidR="000C3B4F" w:rsidRPr="00D611F6">
              <w:rPr>
                <w:rFonts w:ascii="Arial" w:hAnsi="Arial" w:cs="Arial"/>
                <w:sz w:val="20"/>
                <w:szCs w:val="20"/>
              </w:rPr>
              <w:t xml:space="preserve"> and understand</w:t>
            </w:r>
            <w:r w:rsidRPr="00D611F6">
              <w:rPr>
                <w:rFonts w:ascii="Arial" w:hAnsi="Arial" w:cs="Arial"/>
                <w:sz w:val="20"/>
                <w:szCs w:val="20"/>
              </w:rPr>
              <w:t xml:space="preserve"> our customers’ needs and present solution</w:t>
            </w:r>
            <w:r w:rsidR="0097098B" w:rsidRPr="00D611F6">
              <w:rPr>
                <w:rFonts w:ascii="Arial" w:hAnsi="Arial" w:cs="Arial"/>
                <w:sz w:val="20"/>
                <w:szCs w:val="20"/>
              </w:rPr>
              <w:t>s and identifying opportunities for growth and follow-up until enquiry is fully closed.</w:t>
            </w:r>
          </w:p>
        </w:tc>
      </w:tr>
      <w:tr w:rsidR="00E93BAD" w14:paraId="5FB27687" w14:textId="77777777" w:rsidTr="00E93BAD">
        <w:tc>
          <w:tcPr>
            <w:tcW w:w="2263" w:type="dxa"/>
          </w:tcPr>
          <w:p w14:paraId="5DACAEFA" w14:textId="77777777" w:rsidR="00E93BAD" w:rsidRPr="001D39CE" w:rsidRDefault="00E93BAD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</w:tc>
        <w:tc>
          <w:tcPr>
            <w:tcW w:w="6753" w:type="dxa"/>
          </w:tcPr>
          <w:p w14:paraId="44C1A574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look for ways to improve the customer service you deliver.</w:t>
            </w:r>
          </w:p>
          <w:p w14:paraId="53F53DEA" w14:textId="64D1CA95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Care about the </w:t>
            </w:r>
            <w:r w:rsidR="008B7726">
              <w:rPr>
                <w:rFonts w:ascii="Arial" w:hAnsi="Arial" w:cs="Arial"/>
                <w:sz w:val="20"/>
                <w:szCs w:val="20"/>
              </w:rPr>
              <w:t xml:space="preserve">Consumer </w:t>
            </w:r>
            <w:r>
              <w:rPr>
                <w:rFonts w:ascii="Arial" w:hAnsi="Arial" w:cs="Arial"/>
                <w:sz w:val="20"/>
                <w:szCs w:val="20"/>
              </w:rPr>
              <w:t>Connection team and the people you work with.</w:t>
            </w:r>
          </w:p>
          <w:p w14:paraId="02550DA2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your knowledge and skills up-to-date through ongoing learning and development.</w:t>
            </w:r>
          </w:p>
          <w:p w14:paraId="13F8A83E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positively to quality and performance feedback.</w:t>
            </w:r>
          </w:p>
          <w:p w14:paraId="455B0254" w14:textId="544565F2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8B7726">
              <w:rPr>
                <w:rFonts w:ascii="Arial" w:hAnsi="Arial" w:cs="Arial"/>
                <w:sz w:val="20"/>
                <w:szCs w:val="20"/>
              </w:rPr>
              <w:t xml:space="preserve">Consumer </w:t>
            </w:r>
            <w:r>
              <w:rPr>
                <w:rFonts w:ascii="Arial" w:hAnsi="Arial" w:cs="Arial"/>
                <w:sz w:val="20"/>
                <w:szCs w:val="20"/>
              </w:rPr>
              <w:t>Connection’s career progression and development opportunities.</w:t>
            </w:r>
          </w:p>
          <w:p w14:paraId="4F753D03" w14:textId="77777777" w:rsidR="00E93BAD" w:rsidRP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team members by listening to ideas and encouraging others to share and develop ideas.</w:t>
            </w:r>
          </w:p>
        </w:tc>
      </w:tr>
      <w:tr w:rsidR="00E93BAD" w14:paraId="495DEDB9" w14:textId="77777777" w:rsidTr="00E93BAD">
        <w:tc>
          <w:tcPr>
            <w:tcW w:w="2263" w:type="dxa"/>
          </w:tcPr>
          <w:p w14:paraId="5C79FC19" w14:textId="77777777" w:rsidR="00E93BAD" w:rsidRPr="001D39CE" w:rsidRDefault="00E93BAD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lastRenderedPageBreak/>
              <w:t>Process</w:t>
            </w:r>
          </w:p>
        </w:tc>
        <w:tc>
          <w:tcPr>
            <w:tcW w:w="6753" w:type="dxa"/>
          </w:tcPr>
          <w:p w14:paraId="4EC929DE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 better ways to do things. Identify process improvements that make it easier for our customers to deal with us.</w:t>
            </w:r>
          </w:p>
          <w:p w14:paraId="1657FAE0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are on time, ready and available to respond to customers.</w:t>
            </w:r>
          </w:p>
          <w:p w14:paraId="484012F4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relevant policies and processes to</w:t>
            </w:r>
            <w:r w:rsidR="00E459F5">
              <w:rPr>
                <w:rFonts w:ascii="Arial" w:hAnsi="Arial" w:cs="Arial"/>
                <w:sz w:val="20"/>
                <w:szCs w:val="20"/>
              </w:rPr>
              <w:t xml:space="preserve"> complete all outstanding work.</w:t>
            </w:r>
          </w:p>
          <w:p w14:paraId="5D240197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Strive to always deliver quality work that’s free of errors.</w:t>
            </w:r>
          </w:p>
        </w:tc>
      </w:tr>
      <w:tr w:rsidR="00E93BAD" w14:paraId="63B15B80" w14:textId="77777777" w:rsidTr="00E93BAD">
        <w:tc>
          <w:tcPr>
            <w:tcW w:w="2263" w:type="dxa"/>
          </w:tcPr>
          <w:p w14:paraId="3375B351" w14:textId="77777777" w:rsidR="00E93BAD" w:rsidRPr="001D39CE" w:rsidRDefault="00E93BAD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6753" w:type="dxa"/>
          </w:tcPr>
          <w:p w14:paraId="456CED7D" w14:textId="77777777" w:rsidR="00E93BAD" w:rsidRDefault="00E93BAD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mandatory training</w:t>
            </w:r>
            <w:r w:rsidR="00247D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DF9DB0" w14:textId="77777777" w:rsidR="00E93BAD" w:rsidRDefault="001D39CE" w:rsidP="00247DD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Operate within personal approved limits at all times. Where </w:t>
            </w:r>
            <w:r w:rsidR="00247DDE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seek authorisation from the appropriate oversight body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Delegated Lending Authority).</w:t>
            </w:r>
          </w:p>
        </w:tc>
      </w:tr>
      <w:tr w:rsidR="001D39CE" w14:paraId="11107AD2" w14:textId="77777777" w:rsidTr="00E93BAD">
        <w:tc>
          <w:tcPr>
            <w:tcW w:w="2263" w:type="dxa"/>
          </w:tcPr>
          <w:p w14:paraId="2610335D" w14:textId="77777777" w:rsidR="001D39CE" w:rsidRPr="001D39CE" w:rsidRDefault="001D39CE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39CE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</w:tc>
        <w:tc>
          <w:tcPr>
            <w:tcW w:w="6753" w:type="dxa"/>
          </w:tcPr>
          <w:p w14:paraId="568F45E9" w14:textId="77777777" w:rsidR="001D39CE" w:rsidRPr="001D39CE" w:rsidRDefault="001D39CE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relevant products and initiate referrals in order to achieve monthly targets for:</w:t>
            </w:r>
          </w:p>
          <w:p w14:paraId="5179CE4A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cards</w:t>
            </w:r>
          </w:p>
          <w:p w14:paraId="48EBD422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loans</w:t>
            </w:r>
          </w:p>
          <w:p w14:paraId="1A3601BB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loans</w:t>
            </w:r>
          </w:p>
          <w:p w14:paraId="24ED338F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Insurance </w:t>
            </w:r>
          </w:p>
          <w:p w14:paraId="3ADFB982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Deposits</w:t>
            </w:r>
          </w:p>
          <w:p w14:paraId="33DC91C9" w14:textId="77777777" w:rsidR="001D39CE" w:rsidRDefault="001D39CE" w:rsidP="001D39CE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LINX activity</w:t>
            </w:r>
          </w:p>
          <w:p w14:paraId="2FD19287" w14:textId="77777777" w:rsidR="001D39CE" w:rsidRDefault="001D39CE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D39CE">
              <w:rPr>
                <w:rFonts w:ascii="Arial" w:hAnsi="Arial" w:cs="Arial"/>
                <w:sz w:val="20"/>
                <w:szCs w:val="20"/>
              </w:rPr>
              <w:t>Monitor your performance against your Individual Measurement Plan</w:t>
            </w:r>
            <w:r w:rsidR="00247DDE">
              <w:rPr>
                <w:rFonts w:ascii="Arial" w:hAnsi="Arial" w:cs="Arial"/>
                <w:sz w:val="20"/>
                <w:szCs w:val="20"/>
              </w:rPr>
              <w:t>. S</w:t>
            </w:r>
            <w:r w:rsidRPr="001D39CE">
              <w:rPr>
                <w:rFonts w:ascii="Arial" w:hAnsi="Arial" w:cs="Arial"/>
                <w:sz w:val="20"/>
                <w:szCs w:val="20"/>
              </w:rPr>
              <w:t xml:space="preserve">eek feedback from your Team </w:t>
            </w:r>
            <w:r w:rsidR="00C84FAC">
              <w:rPr>
                <w:rFonts w:ascii="Arial" w:hAnsi="Arial" w:cs="Arial"/>
                <w:sz w:val="20"/>
                <w:szCs w:val="20"/>
              </w:rPr>
              <w:t>Leader</w:t>
            </w:r>
            <w:r w:rsidRPr="001D39CE">
              <w:rPr>
                <w:rFonts w:ascii="Arial" w:hAnsi="Arial" w:cs="Arial"/>
                <w:sz w:val="20"/>
                <w:szCs w:val="20"/>
              </w:rPr>
              <w:t xml:space="preserve"> during regular meetings.</w:t>
            </w:r>
          </w:p>
          <w:p w14:paraId="15EF1BF6" w14:textId="77777777" w:rsidR="001D39CE" w:rsidRPr="001D39CE" w:rsidRDefault="001D39CE" w:rsidP="001D39CE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all fees are applied to accounts as per the bank’s fee collection policy. </w:t>
            </w:r>
          </w:p>
        </w:tc>
      </w:tr>
      <w:tr w:rsidR="001D39CE" w14:paraId="1E7152E2" w14:textId="77777777" w:rsidTr="00944032">
        <w:trPr>
          <w:trHeight w:val="905"/>
        </w:trPr>
        <w:tc>
          <w:tcPr>
            <w:tcW w:w="2263" w:type="dxa"/>
          </w:tcPr>
          <w:p w14:paraId="40448495" w14:textId="77777777" w:rsidR="001D39CE" w:rsidRPr="001D39CE" w:rsidRDefault="001D39CE" w:rsidP="001D39C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Values</w:t>
            </w:r>
          </w:p>
        </w:tc>
        <w:tc>
          <w:tcPr>
            <w:tcW w:w="6753" w:type="dxa"/>
          </w:tcPr>
          <w:p w14:paraId="1F9F2E1C" w14:textId="77777777" w:rsidR="001D39CE" w:rsidRDefault="001D39CE" w:rsidP="00247DD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="00247DDE">
              <w:rPr>
                <w:rFonts w:ascii="Arial" w:hAnsi="Arial" w:cs="Arial"/>
                <w:sz w:val="20"/>
                <w:szCs w:val="20"/>
              </w:rPr>
              <w:t>behaviour that’s consistent with the Bendigo and Adelaide Bank values (teamwork, integrity, performance, engagement, leadership and passion).</w:t>
            </w:r>
          </w:p>
          <w:p w14:paraId="38B8A3D1" w14:textId="6E421171" w:rsidR="00247DDE" w:rsidRDefault="00247DDE" w:rsidP="00247DDE">
            <w:pPr>
              <w:pStyle w:val="ListParagraph"/>
              <w:numPr>
                <w:ilvl w:val="0"/>
                <w:numId w:val="3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</w:t>
            </w:r>
            <w:r w:rsidR="008B7726">
              <w:rPr>
                <w:rFonts w:ascii="Arial" w:hAnsi="Arial" w:cs="Arial"/>
                <w:sz w:val="20"/>
                <w:szCs w:val="20"/>
              </w:rPr>
              <w:t>Consumer</w:t>
            </w:r>
            <w:r>
              <w:rPr>
                <w:rFonts w:ascii="Arial" w:hAnsi="Arial" w:cs="Arial"/>
                <w:sz w:val="20"/>
                <w:szCs w:val="20"/>
              </w:rPr>
              <w:t xml:space="preserve"> Connection’s team expectations front of mind in everything you do.</w:t>
            </w:r>
          </w:p>
        </w:tc>
      </w:tr>
    </w:tbl>
    <w:p w14:paraId="7C85664A" w14:textId="77777777" w:rsidR="00247DDE" w:rsidRDefault="00247DDE" w:rsidP="00247DD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DDE" w14:paraId="5FE6DE84" w14:textId="77777777" w:rsidTr="002D6A4D">
        <w:tc>
          <w:tcPr>
            <w:tcW w:w="9016" w:type="dxa"/>
            <w:shd w:val="clear" w:color="auto" w:fill="D9D9D9" w:themeFill="background1" w:themeFillShade="D9"/>
          </w:tcPr>
          <w:p w14:paraId="24B21BF2" w14:textId="77777777" w:rsidR="00247DDE" w:rsidRPr="002D6A4D" w:rsidRDefault="00247DDE" w:rsidP="00247DD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6A4D">
              <w:rPr>
                <w:rFonts w:ascii="Arial" w:hAnsi="Arial" w:cs="Arial"/>
                <w:b/>
                <w:sz w:val="24"/>
                <w:szCs w:val="24"/>
              </w:rPr>
              <w:t>Part B: Person specification (minimum requirements)</w:t>
            </w:r>
          </w:p>
        </w:tc>
      </w:tr>
    </w:tbl>
    <w:p w14:paraId="36F3525C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2FAB562F" w14:textId="77777777" w:rsidR="00D037B6" w:rsidRPr="00CA2FD0" w:rsidRDefault="00D037B6" w:rsidP="00D037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Qualifications, knowledge and experience</w:t>
      </w:r>
    </w:p>
    <w:p w14:paraId="5B161CD8" w14:textId="77777777" w:rsidR="00D037B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 experience in a retail or sales environment is preferred.</w:t>
      </w:r>
    </w:p>
    <w:p w14:paraId="7A5D6727" w14:textId="77777777" w:rsidR="00D037B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experience in a performance-focussed environment.</w:t>
      </w:r>
    </w:p>
    <w:p w14:paraId="6C4B3774" w14:textId="77777777" w:rsidR="00D037B6" w:rsidRPr="00CA2FD0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navigating and operating multiple systems.</w:t>
      </w:r>
    </w:p>
    <w:p w14:paraId="1C9B59C0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0ECED0ED" w14:textId="77777777" w:rsidR="00D037B6" w:rsidRPr="00CA2FD0" w:rsidRDefault="00D037B6" w:rsidP="00D037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and business skills</w:t>
      </w:r>
    </w:p>
    <w:p w14:paraId="2F31D416" w14:textId="77777777" w:rsidR="00DA2A14" w:rsidRPr="00D611F6" w:rsidRDefault="00DA2A14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Strong communication skills</w:t>
      </w:r>
      <w:r w:rsidR="009F5E86" w:rsidRPr="00D611F6">
        <w:rPr>
          <w:rFonts w:ascii="Arial" w:hAnsi="Arial" w:cs="Arial"/>
          <w:sz w:val="20"/>
          <w:szCs w:val="20"/>
        </w:rPr>
        <w:t xml:space="preserve"> </w:t>
      </w:r>
    </w:p>
    <w:p w14:paraId="25A22E7B" w14:textId="77777777" w:rsidR="00DA2A14" w:rsidRPr="00D611F6" w:rsidRDefault="00103EAE" w:rsidP="00DA2A14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trike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Interpersonal skills</w:t>
      </w:r>
    </w:p>
    <w:p w14:paraId="59DDDA08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communicate using verbal queues.</w:t>
      </w:r>
    </w:p>
    <w:p w14:paraId="2F024B56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Customer resolution skills.</w:t>
      </w:r>
    </w:p>
    <w:p w14:paraId="0610E156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connect with customers and identify opportunities to suit their needs.</w:t>
      </w:r>
    </w:p>
    <w:p w14:paraId="50A15178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build rapport with customers.</w:t>
      </w:r>
    </w:p>
    <w:p w14:paraId="57BF4F65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Attention to detail</w:t>
      </w:r>
      <w:r w:rsidR="00DA2A14" w:rsidRPr="00D611F6">
        <w:rPr>
          <w:rFonts w:ascii="Arial" w:hAnsi="Arial" w:cs="Arial"/>
          <w:sz w:val="20"/>
          <w:szCs w:val="20"/>
        </w:rPr>
        <w:t>.</w:t>
      </w:r>
    </w:p>
    <w:p w14:paraId="6155B79F" w14:textId="77777777" w:rsidR="00D037B6" w:rsidRPr="00D611F6" w:rsidRDefault="00D037B6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Ability to follow procedure.</w:t>
      </w:r>
    </w:p>
    <w:p w14:paraId="3072381D" w14:textId="77777777" w:rsidR="00DA2A14" w:rsidRPr="00D611F6" w:rsidRDefault="00DA2A14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t>Strong typing skills.</w:t>
      </w:r>
    </w:p>
    <w:p w14:paraId="28DF72D9" w14:textId="77777777" w:rsidR="00DA2A14" w:rsidRPr="00D611F6" w:rsidRDefault="00DA2A14" w:rsidP="00D037B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D611F6">
        <w:rPr>
          <w:rFonts w:ascii="Arial" w:hAnsi="Arial" w:cs="Arial"/>
          <w:sz w:val="20"/>
          <w:szCs w:val="20"/>
        </w:rPr>
        <w:lastRenderedPageBreak/>
        <w:t xml:space="preserve">High level of computer </w:t>
      </w:r>
      <w:r w:rsidR="009F5E86" w:rsidRPr="00D611F6">
        <w:rPr>
          <w:rFonts w:ascii="Arial" w:hAnsi="Arial" w:cs="Arial"/>
          <w:sz w:val="20"/>
          <w:szCs w:val="20"/>
        </w:rPr>
        <w:t>literacy.</w:t>
      </w:r>
    </w:p>
    <w:p w14:paraId="149400D1" w14:textId="77777777" w:rsidR="00944032" w:rsidRDefault="00944032" w:rsidP="00D611F6">
      <w:pPr>
        <w:rPr>
          <w:rFonts w:ascii="Arial" w:hAnsi="Arial" w:cs="Arial"/>
          <w:sz w:val="24"/>
          <w:szCs w:val="24"/>
        </w:rPr>
      </w:pPr>
    </w:p>
    <w:p w14:paraId="1F45BF28" w14:textId="6C203298" w:rsidR="00B570FC" w:rsidRPr="00CA2FD0" w:rsidRDefault="00944032" w:rsidP="00944032">
      <w:pPr>
        <w:tabs>
          <w:tab w:val="left" w:pos="20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70FC">
        <w:rPr>
          <w:rFonts w:ascii="Arial" w:hAnsi="Arial" w:cs="Arial"/>
          <w:sz w:val="24"/>
          <w:szCs w:val="24"/>
        </w:rPr>
        <w:t>Assessment required</w:t>
      </w:r>
    </w:p>
    <w:p w14:paraId="51C33094" w14:textId="77777777" w:rsidR="00B570FC" w:rsidRDefault="00B570FC" w:rsidP="00B570F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 check.</w:t>
      </w:r>
    </w:p>
    <w:p w14:paraId="482B8FCE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4A38BD35" w14:textId="77777777" w:rsidR="00CA2FD0" w:rsidRPr="00D037B6" w:rsidRDefault="00D037B6" w:rsidP="00CA2FD0">
      <w:pPr>
        <w:spacing w:after="0"/>
        <w:rPr>
          <w:rFonts w:ascii="Arial" w:hAnsi="Arial" w:cs="Arial"/>
          <w:sz w:val="24"/>
          <w:szCs w:val="24"/>
        </w:rPr>
      </w:pPr>
      <w:r w:rsidRPr="00D037B6">
        <w:rPr>
          <w:rFonts w:ascii="Arial" w:hAnsi="Arial" w:cs="Arial"/>
          <w:sz w:val="24"/>
          <w:szCs w:val="24"/>
        </w:rPr>
        <w:t>Organisation chart</w:t>
      </w:r>
    </w:p>
    <w:p w14:paraId="7DBF7F41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p w14:paraId="3681DB1F" w14:textId="77777777" w:rsidR="00CA2FD0" w:rsidRDefault="008549BE" w:rsidP="00CA2FD0">
      <w:pPr>
        <w:spacing w:after="0"/>
        <w:rPr>
          <w:rFonts w:ascii="Arial" w:hAnsi="Arial" w:cs="Arial"/>
          <w:sz w:val="20"/>
          <w:szCs w:val="20"/>
        </w:rPr>
      </w:pPr>
      <w:r w:rsidRPr="008549BE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18D2CE28" wp14:editId="6A3B8229">
            <wp:extent cx="3619500" cy="214122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EC00D81" w14:textId="77777777" w:rsidR="00CA2FD0" w:rsidRDefault="00CA2FD0" w:rsidP="00CA2FD0">
      <w:pPr>
        <w:spacing w:after="0"/>
        <w:rPr>
          <w:rFonts w:ascii="Arial" w:hAnsi="Arial" w:cs="Arial"/>
          <w:sz w:val="20"/>
          <w:szCs w:val="20"/>
        </w:rPr>
      </w:pPr>
    </w:p>
    <w:sectPr w:rsidR="00CA2FD0" w:rsidSect="00CA2FD0"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F427" w14:textId="77777777" w:rsidR="003D159B" w:rsidRDefault="003D159B" w:rsidP="00CA2FD0">
      <w:pPr>
        <w:spacing w:after="0" w:line="240" w:lineRule="auto"/>
      </w:pPr>
      <w:r>
        <w:separator/>
      </w:r>
    </w:p>
  </w:endnote>
  <w:endnote w:type="continuationSeparator" w:id="0">
    <w:p w14:paraId="64044391" w14:textId="77777777" w:rsidR="003D159B" w:rsidRDefault="003D159B" w:rsidP="00CA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507D" w14:textId="77777777" w:rsidR="003D159B" w:rsidRDefault="003D159B" w:rsidP="00CA2FD0">
      <w:pPr>
        <w:spacing w:after="0" w:line="240" w:lineRule="auto"/>
      </w:pPr>
      <w:r>
        <w:separator/>
      </w:r>
    </w:p>
  </w:footnote>
  <w:footnote w:type="continuationSeparator" w:id="0">
    <w:p w14:paraId="1BFE03D3" w14:textId="77777777" w:rsidR="003D159B" w:rsidRDefault="003D159B" w:rsidP="00CA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A092" w14:textId="77777777" w:rsidR="00CA2FD0" w:rsidRDefault="00CA2FD0">
    <w:pPr>
      <w:pStyle w:val="Header"/>
    </w:pPr>
  </w:p>
  <w:p w14:paraId="2EB2DB2E" w14:textId="77777777" w:rsidR="00CA2FD0" w:rsidRDefault="00CA2FD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B4F8ACD" wp14:editId="358CE4DE">
          <wp:simplePos x="0" y="0"/>
          <wp:positionH relativeFrom="column">
            <wp:posOffset>4446270</wp:posOffset>
          </wp:positionH>
          <wp:positionV relativeFrom="paragraph">
            <wp:posOffset>-175895</wp:posOffset>
          </wp:positionV>
          <wp:extent cx="1590675" cy="637540"/>
          <wp:effectExtent l="0" t="0" r="9525" b="0"/>
          <wp:wrapNone/>
          <wp:docPr id="1" name="Picture 1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304"/>
    <w:multiLevelType w:val="hybridMultilevel"/>
    <w:tmpl w:val="36DE74EE"/>
    <w:lvl w:ilvl="0" w:tplc="CE60B152">
      <w:numFmt w:val="bullet"/>
      <w:lvlText w:val="-"/>
      <w:lvlJc w:val="left"/>
      <w:pPr>
        <w:ind w:left="67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135314CE"/>
    <w:multiLevelType w:val="hybridMultilevel"/>
    <w:tmpl w:val="B38EBC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D85"/>
    <w:multiLevelType w:val="hybridMultilevel"/>
    <w:tmpl w:val="86E0A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032"/>
    <w:multiLevelType w:val="hybridMultilevel"/>
    <w:tmpl w:val="8DB044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6905"/>
    <w:multiLevelType w:val="hybridMultilevel"/>
    <w:tmpl w:val="607A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D0"/>
    <w:rsid w:val="000C3B4F"/>
    <w:rsid w:val="000C43E8"/>
    <w:rsid w:val="00103EAE"/>
    <w:rsid w:val="001A66F7"/>
    <w:rsid w:val="001D39CE"/>
    <w:rsid w:val="00247DDE"/>
    <w:rsid w:val="00273AF2"/>
    <w:rsid w:val="002D6A4D"/>
    <w:rsid w:val="0033184C"/>
    <w:rsid w:val="003D159B"/>
    <w:rsid w:val="00485720"/>
    <w:rsid w:val="00491BF1"/>
    <w:rsid w:val="0058639E"/>
    <w:rsid w:val="008549BE"/>
    <w:rsid w:val="008B7726"/>
    <w:rsid w:val="0091077E"/>
    <w:rsid w:val="009333DE"/>
    <w:rsid w:val="00944032"/>
    <w:rsid w:val="0097098B"/>
    <w:rsid w:val="009F5E86"/>
    <w:rsid w:val="00B570FC"/>
    <w:rsid w:val="00BA2AD0"/>
    <w:rsid w:val="00C84FAC"/>
    <w:rsid w:val="00CA2FD0"/>
    <w:rsid w:val="00D037B6"/>
    <w:rsid w:val="00D611F6"/>
    <w:rsid w:val="00DA2A14"/>
    <w:rsid w:val="00E459F5"/>
    <w:rsid w:val="00E879D8"/>
    <w:rsid w:val="00E93BAD"/>
    <w:rsid w:val="00E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11C14"/>
  <w15:chartTrackingRefBased/>
  <w15:docId w15:val="{8A9DB2B0-1416-4529-870E-64C0B5F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2FD0"/>
  </w:style>
  <w:style w:type="paragraph" w:styleId="Footer">
    <w:name w:val="footer"/>
    <w:basedOn w:val="Normal"/>
    <w:link w:val="FooterChar"/>
    <w:uiPriority w:val="99"/>
    <w:unhideWhenUsed/>
    <w:rsid w:val="00CA2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D0"/>
  </w:style>
  <w:style w:type="table" w:styleId="TableGrid">
    <w:name w:val="Table Grid"/>
    <w:basedOn w:val="TableNormal"/>
    <w:uiPriority w:val="39"/>
    <w:rsid w:val="00CA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FD0"/>
    <w:pPr>
      <w:ind w:left="720"/>
      <w:contextualSpacing/>
    </w:pPr>
  </w:style>
  <w:style w:type="paragraph" w:customStyle="1" w:styleId="Default">
    <w:name w:val="Default"/>
    <w:rsid w:val="00B57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BB3EB-F5DE-4323-B9EA-8A482C1025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D26889B4-6C06-4F51-A6E4-CE6365BAD8F8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1200" dirty="0">
              <a:latin typeface="Arial" panose="020B0604020202020204" pitchFamily="34" charset="0"/>
              <a:cs typeface="Arial" panose="020B0604020202020204" pitchFamily="34" charset="0"/>
            </a:rPr>
            <a:t>Team Leader</a:t>
          </a:r>
        </a:p>
      </dgm:t>
    </dgm:pt>
    <dgm:pt modelId="{7F648440-993C-4B20-A498-37E58C4D10B9}" type="parTrans" cxnId="{0D581C88-341A-4A70-B271-E41259F83B0D}">
      <dgm:prSet/>
      <dgm:spPr/>
      <dgm:t>
        <a:bodyPr/>
        <a:lstStyle/>
        <a:p>
          <a:endParaRPr lang="en-AU"/>
        </a:p>
      </dgm:t>
    </dgm:pt>
    <dgm:pt modelId="{E7CBAFD7-4FEE-4446-AE9F-BC96CDFC2E0A}" type="sibTrans" cxnId="{0D581C88-341A-4A70-B271-E41259F83B0D}">
      <dgm:prSet/>
      <dgm:spPr/>
      <dgm:t>
        <a:bodyPr/>
        <a:lstStyle/>
        <a:p>
          <a:endParaRPr lang="en-AU"/>
        </a:p>
      </dgm:t>
    </dgm:pt>
    <dgm:pt modelId="{96479771-0CB2-41CA-8FD1-AD66E564EA10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1200" dirty="0">
              <a:latin typeface="Arial" panose="020B0604020202020204" pitchFamily="34" charset="0"/>
              <a:cs typeface="Arial" panose="020B0604020202020204" pitchFamily="34" charset="0"/>
            </a:rPr>
            <a:t>Customer Consultant</a:t>
          </a:r>
        </a:p>
      </dgm:t>
    </dgm:pt>
    <dgm:pt modelId="{F1C79569-95A4-49E4-958F-BC4E6ECA54E6}" type="parTrans" cxnId="{62ADCC49-7B17-4C64-98E3-5C6CA8557542}">
      <dgm:prSet/>
      <dgm:spPr>
        <a:ln>
          <a:headEnd type="none" w="med" len="med"/>
          <a:tailEnd type="none" w="med" len="med"/>
        </a:ln>
      </dgm:spPr>
      <dgm:t>
        <a:bodyPr/>
        <a:lstStyle/>
        <a:p>
          <a:endParaRPr lang="en-AU">
            <a:solidFill>
              <a:schemeClr val="tx1"/>
            </a:solidFill>
          </a:endParaRPr>
        </a:p>
      </dgm:t>
    </dgm:pt>
    <dgm:pt modelId="{578BBD66-84B5-4B1E-B733-1761200F504B}" type="sibTrans" cxnId="{62ADCC49-7B17-4C64-98E3-5C6CA8557542}">
      <dgm:prSet/>
      <dgm:spPr/>
      <dgm:t>
        <a:bodyPr/>
        <a:lstStyle/>
        <a:p>
          <a:endParaRPr lang="en-AU"/>
        </a:p>
      </dgm:t>
    </dgm:pt>
    <dgm:pt modelId="{ABA7E3C0-8873-4BB2-9930-731DA3F16F9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AU" sz="1200" dirty="0">
              <a:latin typeface="Arial" panose="020B0604020202020204" pitchFamily="34" charset="0"/>
              <a:cs typeface="Arial" panose="020B0604020202020204" pitchFamily="34" charset="0"/>
            </a:rPr>
            <a:t>Senior Customer Consultant</a:t>
          </a:r>
        </a:p>
      </dgm:t>
    </dgm:pt>
    <dgm:pt modelId="{724BB31C-6DF3-4914-905F-042B07DE8FD3}" type="parTrans" cxnId="{7DAE4AA6-9A24-45DC-8C65-872F76180B45}">
      <dgm:prSet/>
      <dgm:spPr>
        <a:ln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C7616CF9-3DB6-4AA7-8585-3461AEFB9EB9}" type="sibTrans" cxnId="{7DAE4AA6-9A24-45DC-8C65-872F76180B45}">
      <dgm:prSet/>
      <dgm:spPr/>
      <dgm:t>
        <a:bodyPr/>
        <a:lstStyle/>
        <a:p>
          <a:endParaRPr lang="en-AU"/>
        </a:p>
      </dgm:t>
    </dgm:pt>
    <dgm:pt modelId="{93BC7037-CF2A-45E8-AEB6-AD5392BC79BA}" type="pres">
      <dgm:prSet presAssocID="{492BB3EB-F5DE-4323-B9EA-8A482C1025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9521EF-B9C9-4B9C-B1EE-9BFCCF419B49}" type="pres">
      <dgm:prSet presAssocID="{D26889B4-6C06-4F51-A6E4-CE6365BAD8F8}" presName="hierRoot1" presStyleCnt="0">
        <dgm:presLayoutVars>
          <dgm:hierBranch val="init"/>
        </dgm:presLayoutVars>
      </dgm:prSet>
      <dgm:spPr/>
    </dgm:pt>
    <dgm:pt modelId="{B94E14E0-4554-4368-9356-164B01A2ABA8}" type="pres">
      <dgm:prSet presAssocID="{D26889B4-6C06-4F51-A6E4-CE6365BAD8F8}" presName="rootComposite1" presStyleCnt="0"/>
      <dgm:spPr/>
    </dgm:pt>
    <dgm:pt modelId="{FC3E5A45-6A67-4347-B155-F94EB40B3DA5}" type="pres">
      <dgm:prSet presAssocID="{D26889B4-6C06-4F51-A6E4-CE6365BAD8F8}" presName="rootText1" presStyleLbl="node0" presStyleIdx="0" presStyleCnt="1">
        <dgm:presLayoutVars>
          <dgm:chPref val="3"/>
        </dgm:presLayoutVars>
      </dgm:prSet>
      <dgm:spPr/>
    </dgm:pt>
    <dgm:pt modelId="{2BE31E36-6C22-49DE-958D-4AF9FB69B58F}" type="pres">
      <dgm:prSet presAssocID="{D26889B4-6C06-4F51-A6E4-CE6365BAD8F8}" presName="rootConnector1" presStyleLbl="node1" presStyleIdx="0" presStyleCnt="0"/>
      <dgm:spPr/>
    </dgm:pt>
    <dgm:pt modelId="{8DE8C2B3-7084-4ADD-A0EC-F34F1B55323D}" type="pres">
      <dgm:prSet presAssocID="{D26889B4-6C06-4F51-A6E4-CE6365BAD8F8}" presName="hierChild2" presStyleCnt="0"/>
      <dgm:spPr/>
    </dgm:pt>
    <dgm:pt modelId="{4ECFEE20-C127-44A2-80D3-54126F5C7BA5}" type="pres">
      <dgm:prSet presAssocID="{F1C79569-95A4-49E4-958F-BC4E6ECA54E6}" presName="Name37" presStyleLbl="parChTrans1D2" presStyleIdx="0" presStyleCnt="2"/>
      <dgm:spPr/>
    </dgm:pt>
    <dgm:pt modelId="{7D8D8E59-EA3B-441C-9CC6-3D1F8EC1ADDB}" type="pres">
      <dgm:prSet presAssocID="{96479771-0CB2-41CA-8FD1-AD66E564EA10}" presName="hierRoot2" presStyleCnt="0">
        <dgm:presLayoutVars>
          <dgm:hierBranch val="init"/>
        </dgm:presLayoutVars>
      </dgm:prSet>
      <dgm:spPr/>
    </dgm:pt>
    <dgm:pt modelId="{4AEE127C-A852-4C91-B501-0A86F7F8C603}" type="pres">
      <dgm:prSet presAssocID="{96479771-0CB2-41CA-8FD1-AD66E564EA10}" presName="rootComposite" presStyleCnt="0"/>
      <dgm:spPr/>
    </dgm:pt>
    <dgm:pt modelId="{7A94F435-5A34-489E-931E-EEF75AC20F34}" type="pres">
      <dgm:prSet presAssocID="{96479771-0CB2-41CA-8FD1-AD66E564EA10}" presName="rootText" presStyleLbl="node2" presStyleIdx="0" presStyleCnt="2">
        <dgm:presLayoutVars>
          <dgm:chPref val="3"/>
        </dgm:presLayoutVars>
      </dgm:prSet>
      <dgm:spPr/>
    </dgm:pt>
    <dgm:pt modelId="{F3451674-D0D9-4192-82A9-31B2E245E13B}" type="pres">
      <dgm:prSet presAssocID="{96479771-0CB2-41CA-8FD1-AD66E564EA10}" presName="rootConnector" presStyleLbl="node2" presStyleIdx="0" presStyleCnt="2"/>
      <dgm:spPr/>
    </dgm:pt>
    <dgm:pt modelId="{D3AD1B7D-C8DF-42DE-98AC-08A4D23FB2C1}" type="pres">
      <dgm:prSet presAssocID="{96479771-0CB2-41CA-8FD1-AD66E564EA10}" presName="hierChild4" presStyleCnt="0"/>
      <dgm:spPr/>
    </dgm:pt>
    <dgm:pt modelId="{DF20C546-DC69-4D8D-BC97-C877EAEC9A1F}" type="pres">
      <dgm:prSet presAssocID="{96479771-0CB2-41CA-8FD1-AD66E564EA10}" presName="hierChild5" presStyleCnt="0"/>
      <dgm:spPr/>
    </dgm:pt>
    <dgm:pt modelId="{BDC2F783-330C-4791-8FC2-69093D04AE68}" type="pres">
      <dgm:prSet presAssocID="{724BB31C-6DF3-4914-905F-042B07DE8FD3}" presName="Name37" presStyleLbl="parChTrans1D2" presStyleIdx="1" presStyleCnt="2"/>
      <dgm:spPr/>
    </dgm:pt>
    <dgm:pt modelId="{36C98B8C-035E-4E1A-A0B8-80ED97347C16}" type="pres">
      <dgm:prSet presAssocID="{ABA7E3C0-8873-4BB2-9930-731DA3F16F9E}" presName="hierRoot2" presStyleCnt="0">
        <dgm:presLayoutVars>
          <dgm:hierBranch val="init"/>
        </dgm:presLayoutVars>
      </dgm:prSet>
      <dgm:spPr/>
    </dgm:pt>
    <dgm:pt modelId="{FF669068-6D92-4B52-9A8C-82CCE066C661}" type="pres">
      <dgm:prSet presAssocID="{ABA7E3C0-8873-4BB2-9930-731DA3F16F9E}" presName="rootComposite" presStyleCnt="0"/>
      <dgm:spPr/>
    </dgm:pt>
    <dgm:pt modelId="{27E83ACD-A945-46B4-AEE5-3533A2476807}" type="pres">
      <dgm:prSet presAssocID="{ABA7E3C0-8873-4BB2-9930-731DA3F16F9E}" presName="rootText" presStyleLbl="node2" presStyleIdx="1" presStyleCnt="2">
        <dgm:presLayoutVars>
          <dgm:chPref val="3"/>
        </dgm:presLayoutVars>
      </dgm:prSet>
      <dgm:spPr/>
    </dgm:pt>
    <dgm:pt modelId="{6036C100-6455-4E18-9A6B-D151C5C38C85}" type="pres">
      <dgm:prSet presAssocID="{ABA7E3C0-8873-4BB2-9930-731DA3F16F9E}" presName="rootConnector" presStyleLbl="node2" presStyleIdx="1" presStyleCnt="2"/>
      <dgm:spPr/>
    </dgm:pt>
    <dgm:pt modelId="{E8F94EAC-EE60-4315-9357-ED0AD7E48A83}" type="pres">
      <dgm:prSet presAssocID="{ABA7E3C0-8873-4BB2-9930-731DA3F16F9E}" presName="hierChild4" presStyleCnt="0"/>
      <dgm:spPr/>
    </dgm:pt>
    <dgm:pt modelId="{158372AB-AC0D-4E25-A67B-11D731DAF574}" type="pres">
      <dgm:prSet presAssocID="{ABA7E3C0-8873-4BB2-9930-731DA3F16F9E}" presName="hierChild5" presStyleCnt="0"/>
      <dgm:spPr/>
    </dgm:pt>
    <dgm:pt modelId="{97C2195C-A9CA-4ACD-8089-B665CDD2C315}" type="pres">
      <dgm:prSet presAssocID="{D26889B4-6C06-4F51-A6E4-CE6365BAD8F8}" presName="hierChild3" presStyleCnt="0"/>
      <dgm:spPr/>
    </dgm:pt>
  </dgm:ptLst>
  <dgm:cxnLst>
    <dgm:cxn modelId="{120F6B38-6525-4875-9E43-C6F65ABE4911}" type="presOf" srcId="{724BB31C-6DF3-4914-905F-042B07DE8FD3}" destId="{BDC2F783-330C-4791-8FC2-69093D04AE68}" srcOrd="0" destOrd="0" presId="urn:microsoft.com/office/officeart/2005/8/layout/orgChart1"/>
    <dgm:cxn modelId="{D3989565-99D4-4F5A-85E9-A4BC23A40741}" type="presOf" srcId="{D26889B4-6C06-4F51-A6E4-CE6365BAD8F8}" destId="{2BE31E36-6C22-49DE-958D-4AF9FB69B58F}" srcOrd="1" destOrd="0" presId="urn:microsoft.com/office/officeart/2005/8/layout/orgChart1"/>
    <dgm:cxn modelId="{62ADCC49-7B17-4C64-98E3-5C6CA8557542}" srcId="{D26889B4-6C06-4F51-A6E4-CE6365BAD8F8}" destId="{96479771-0CB2-41CA-8FD1-AD66E564EA10}" srcOrd="0" destOrd="0" parTransId="{F1C79569-95A4-49E4-958F-BC4E6ECA54E6}" sibTransId="{578BBD66-84B5-4B1E-B733-1761200F504B}"/>
    <dgm:cxn modelId="{454AE06C-70C5-43D2-9AB8-8CC5325AC5EA}" type="presOf" srcId="{96479771-0CB2-41CA-8FD1-AD66E564EA10}" destId="{7A94F435-5A34-489E-931E-EEF75AC20F34}" srcOrd="0" destOrd="0" presId="urn:microsoft.com/office/officeart/2005/8/layout/orgChart1"/>
    <dgm:cxn modelId="{25024D76-9721-4C43-9034-A1B98F483403}" type="presOf" srcId="{D26889B4-6C06-4F51-A6E4-CE6365BAD8F8}" destId="{FC3E5A45-6A67-4347-B155-F94EB40B3DA5}" srcOrd="0" destOrd="0" presId="urn:microsoft.com/office/officeart/2005/8/layout/orgChart1"/>
    <dgm:cxn modelId="{0D581C88-341A-4A70-B271-E41259F83B0D}" srcId="{492BB3EB-F5DE-4323-B9EA-8A482C102529}" destId="{D26889B4-6C06-4F51-A6E4-CE6365BAD8F8}" srcOrd="0" destOrd="0" parTransId="{7F648440-993C-4B20-A498-37E58C4D10B9}" sibTransId="{E7CBAFD7-4FEE-4446-AE9F-BC96CDFC2E0A}"/>
    <dgm:cxn modelId="{024C4190-BD83-47E0-B2EE-AC97E1FFE9A3}" type="presOf" srcId="{ABA7E3C0-8873-4BB2-9930-731DA3F16F9E}" destId="{6036C100-6455-4E18-9A6B-D151C5C38C85}" srcOrd="1" destOrd="0" presId="urn:microsoft.com/office/officeart/2005/8/layout/orgChart1"/>
    <dgm:cxn modelId="{7DAE4AA6-9A24-45DC-8C65-872F76180B45}" srcId="{D26889B4-6C06-4F51-A6E4-CE6365BAD8F8}" destId="{ABA7E3C0-8873-4BB2-9930-731DA3F16F9E}" srcOrd="1" destOrd="0" parTransId="{724BB31C-6DF3-4914-905F-042B07DE8FD3}" sibTransId="{C7616CF9-3DB6-4AA7-8585-3461AEFB9EB9}"/>
    <dgm:cxn modelId="{4127FEB3-D918-4704-A6ED-915628B4DFE3}" type="presOf" srcId="{F1C79569-95A4-49E4-958F-BC4E6ECA54E6}" destId="{4ECFEE20-C127-44A2-80D3-54126F5C7BA5}" srcOrd="0" destOrd="0" presId="urn:microsoft.com/office/officeart/2005/8/layout/orgChart1"/>
    <dgm:cxn modelId="{47FE15CD-F9F9-438D-92F1-F58749185AB9}" type="presOf" srcId="{96479771-0CB2-41CA-8FD1-AD66E564EA10}" destId="{F3451674-D0D9-4192-82A9-31B2E245E13B}" srcOrd="1" destOrd="0" presId="urn:microsoft.com/office/officeart/2005/8/layout/orgChart1"/>
    <dgm:cxn modelId="{1AC599F8-B97F-45F5-A358-35DE5C51AE26}" type="presOf" srcId="{492BB3EB-F5DE-4323-B9EA-8A482C102529}" destId="{93BC7037-CF2A-45E8-AEB6-AD5392BC79BA}" srcOrd="0" destOrd="0" presId="urn:microsoft.com/office/officeart/2005/8/layout/orgChart1"/>
    <dgm:cxn modelId="{EA5DE4FC-F8EB-42CE-A7F1-034276E68112}" type="presOf" srcId="{ABA7E3C0-8873-4BB2-9930-731DA3F16F9E}" destId="{27E83ACD-A945-46B4-AEE5-3533A2476807}" srcOrd="0" destOrd="0" presId="urn:microsoft.com/office/officeart/2005/8/layout/orgChart1"/>
    <dgm:cxn modelId="{50627960-B5FF-4B87-BE02-7A6CD86FA939}" type="presParOf" srcId="{93BC7037-CF2A-45E8-AEB6-AD5392BC79BA}" destId="{FA9521EF-B9C9-4B9C-B1EE-9BFCCF419B49}" srcOrd="0" destOrd="0" presId="urn:microsoft.com/office/officeart/2005/8/layout/orgChart1"/>
    <dgm:cxn modelId="{C3B6CA27-7432-4C88-A169-BAABA9BA7B43}" type="presParOf" srcId="{FA9521EF-B9C9-4B9C-B1EE-9BFCCF419B49}" destId="{B94E14E0-4554-4368-9356-164B01A2ABA8}" srcOrd="0" destOrd="0" presId="urn:microsoft.com/office/officeart/2005/8/layout/orgChart1"/>
    <dgm:cxn modelId="{1DAFC512-DC26-41A0-A139-E97A4FCAC25E}" type="presParOf" srcId="{B94E14E0-4554-4368-9356-164B01A2ABA8}" destId="{FC3E5A45-6A67-4347-B155-F94EB40B3DA5}" srcOrd="0" destOrd="0" presId="urn:microsoft.com/office/officeart/2005/8/layout/orgChart1"/>
    <dgm:cxn modelId="{A61555FB-4E3F-4424-BC4C-12EE9686D0D4}" type="presParOf" srcId="{B94E14E0-4554-4368-9356-164B01A2ABA8}" destId="{2BE31E36-6C22-49DE-958D-4AF9FB69B58F}" srcOrd="1" destOrd="0" presId="urn:microsoft.com/office/officeart/2005/8/layout/orgChart1"/>
    <dgm:cxn modelId="{404AE9A5-3B9E-4155-B52E-96EC5E463FED}" type="presParOf" srcId="{FA9521EF-B9C9-4B9C-B1EE-9BFCCF419B49}" destId="{8DE8C2B3-7084-4ADD-A0EC-F34F1B55323D}" srcOrd="1" destOrd="0" presId="urn:microsoft.com/office/officeart/2005/8/layout/orgChart1"/>
    <dgm:cxn modelId="{16DBA0DB-AB28-4333-A44E-6794BA7E8678}" type="presParOf" srcId="{8DE8C2B3-7084-4ADD-A0EC-F34F1B55323D}" destId="{4ECFEE20-C127-44A2-80D3-54126F5C7BA5}" srcOrd="0" destOrd="0" presId="urn:microsoft.com/office/officeart/2005/8/layout/orgChart1"/>
    <dgm:cxn modelId="{83FC8E4F-D941-46F4-9AA0-1F4897F88414}" type="presParOf" srcId="{8DE8C2B3-7084-4ADD-A0EC-F34F1B55323D}" destId="{7D8D8E59-EA3B-441C-9CC6-3D1F8EC1ADDB}" srcOrd="1" destOrd="0" presId="urn:microsoft.com/office/officeart/2005/8/layout/orgChart1"/>
    <dgm:cxn modelId="{EE71A17A-58D2-4E4C-9F5C-72C038E1EF98}" type="presParOf" srcId="{7D8D8E59-EA3B-441C-9CC6-3D1F8EC1ADDB}" destId="{4AEE127C-A852-4C91-B501-0A86F7F8C603}" srcOrd="0" destOrd="0" presId="urn:microsoft.com/office/officeart/2005/8/layout/orgChart1"/>
    <dgm:cxn modelId="{456C859E-262C-4329-8383-E2E40DD14637}" type="presParOf" srcId="{4AEE127C-A852-4C91-B501-0A86F7F8C603}" destId="{7A94F435-5A34-489E-931E-EEF75AC20F34}" srcOrd="0" destOrd="0" presId="urn:microsoft.com/office/officeart/2005/8/layout/orgChart1"/>
    <dgm:cxn modelId="{F11BB44C-B9A6-48BB-842B-CBB30A8E6DB8}" type="presParOf" srcId="{4AEE127C-A852-4C91-B501-0A86F7F8C603}" destId="{F3451674-D0D9-4192-82A9-31B2E245E13B}" srcOrd="1" destOrd="0" presId="urn:microsoft.com/office/officeart/2005/8/layout/orgChart1"/>
    <dgm:cxn modelId="{1396FF46-AB04-4BD9-A385-7EAE8A8153B6}" type="presParOf" srcId="{7D8D8E59-EA3B-441C-9CC6-3D1F8EC1ADDB}" destId="{D3AD1B7D-C8DF-42DE-98AC-08A4D23FB2C1}" srcOrd="1" destOrd="0" presId="urn:microsoft.com/office/officeart/2005/8/layout/orgChart1"/>
    <dgm:cxn modelId="{5FFC5F0C-85D4-4C5D-A353-2D530342770F}" type="presParOf" srcId="{7D8D8E59-EA3B-441C-9CC6-3D1F8EC1ADDB}" destId="{DF20C546-DC69-4D8D-BC97-C877EAEC9A1F}" srcOrd="2" destOrd="0" presId="urn:microsoft.com/office/officeart/2005/8/layout/orgChart1"/>
    <dgm:cxn modelId="{C7827D46-9A45-498F-B2CB-BFA28D778E16}" type="presParOf" srcId="{8DE8C2B3-7084-4ADD-A0EC-F34F1B55323D}" destId="{BDC2F783-330C-4791-8FC2-69093D04AE68}" srcOrd="2" destOrd="0" presId="urn:microsoft.com/office/officeart/2005/8/layout/orgChart1"/>
    <dgm:cxn modelId="{892F7283-204D-49B2-9F0F-E22DAB90BC27}" type="presParOf" srcId="{8DE8C2B3-7084-4ADD-A0EC-F34F1B55323D}" destId="{36C98B8C-035E-4E1A-A0B8-80ED97347C16}" srcOrd="3" destOrd="0" presId="urn:microsoft.com/office/officeart/2005/8/layout/orgChart1"/>
    <dgm:cxn modelId="{8815A76D-09D4-4C4A-9090-55AB4EDE6EC7}" type="presParOf" srcId="{36C98B8C-035E-4E1A-A0B8-80ED97347C16}" destId="{FF669068-6D92-4B52-9A8C-82CCE066C661}" srcOrd="0" destOrd="0" presId="urn:microsoft.com/office/officeart/2005/8/layout/orgChart1"/>
    <dgm:cxn modelId="{8E119DD4-80C7-48A8-9939-8973081E130A}" type="presParOf" srcId="{FF669068-6D92-4B52-9A8C-82CCE066C661}" destId="{27E83ACD-A945-46B4-AEE5-3533A2476807}" srcOrd="0" destOrd="0" presId="urn:microsoft.com/office/officeart/2005/8/layout/orgChart1"/>
    <dgm:cxn modelId="{A54AD9A0-EAAD-4402-9FC5-74C0215168F7}" type="presParOf" srcId="{FF669068-6D92-4B52-9A8C-82CCE066C661}" destId="{6036C100-6455-4E18-9A6B-D151C5C38C85}" srcOrd="1" destOrd="0" presId="urn:microsoft.com/office/officeart/2005/8/layout/orgChart1"/>
    <dgm:cxn modelId="{608F6E79-2A50-4CC0-A097-3203CB27D243}" type="presParOf" srcId="{36C98B8C-035E-4E1A-A0B8-80ED97347C16}" destId="{E8F94EAC-EE60-4315-9357-ED0AD7E48A83}" srcOrd="1" destOrd="0" presId="urn:microsoft.com/office/officeart/2005/8/layout/orgChart1"/>
    <dgm:cxn modelId="{2BD0313A-93CC-40CE-A43E-9D4FE95BA46D}" type="presParOf" srcId="{36C98B8C-035E-4E1A-A0B8-80ED97347C16}" destId="{158372AB-AC0D-4E25-A67B-11D731DAF574}" srcOrd="2" destOrd="0" presId="urn:microsoft.com/office/officeart/2005/8/layout/orgChart1"/>
    <dgm:cxn modelId="{73AF93E7-7361-4006-9ECF-754867675460}" type="presParOf" srcId="{FA9521EF-B9C9-4B9C-B1EE-9BFCCF419B49}" destId="{97C2195C-A9CA-4ACD-8089-B665CDD2C3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2F783-330C-4791-8FC2-69093D04AE68}">
      <dsp:nvSpPr>
        <dsp:cNvPr id="0" name=""/>
        <dsp:cNvSpPr/>
      </dsp:nvSpPr>
      <dsp:spPr>
        <a:xfrm>
          <a:off x="1809750" y="898725"/>
          <a:ext cx="990380" cy="343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84"/>
              </a:lnTo>
              <a:lnTo>
                <a:pt x="990380" y="171884"/>
              </a:lnTo>
              <a:lnTo>
                <a:pt x="990380" y="3437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FEE20-C127-44A2-80D3-54126F5C7BA5}">
      <dsp:nvSpPr>
        <dsp:cNvPr id="0" name=""/>
        <dsp:cNvSpPr/>
      </dsp:nvSpPr>
      <dsp:spPr>
        <a:xfrm>
          <a:off x="819369" y="898725"/>
          <a:ext cx="990380" cy="343768"/>
        </a:xfrm>
        <a:custGeom>
          <a:avLst/>
          <a:gdLst/>
          <a:ahLst/>
          <a:cxnLst/>
          <a:rect l="0" t="0" r="0" b="0"/>
          <a:pathLst>
            <a:path>
              <a:moveTo>
                <a:pt x="990380" y="0"/>
              </a:moveTo>
              <a:lnTo>
                <a:pt x="990380" y="171884"/>
              </a:lnTo>
              <a:lnTo>
                <a:pt x="0" y="171884"/>
              </a:lnTo>
              <a:lnTo>
                <a:pt x="0" y="34376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non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E5A45-6A67-4347-B155-F94EB40B3DA5}">
      <dsp:nvSpPr>
        <dsp:cNvPr id="0" name=""/>
        <dsp:cNvSpPr/>
      </dsp:nvSpPr>
      <dsp:spPr>
        <a:xfrm>
          <a:off x="991253" y="80229"/>
          <a:ext cx="1636993" cy="8184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 dirty="0">
              <a:latin typeface="Arial" panose="020B0604020202020204" pitchFamily="34" charset="0"/>
              <a:cs typeface="Arial" panose="020B0604020202020204" pitchFamily="34" charset="0"/>
            </a:rPr>
            <a:t>Team Leader</a:t>
          </a:r>
        </a:p>
      </dsp:txBody>
      <dsp:txXfrm>
        <a:off x="991253" y="80229"/>
        <a:ext cx="1636993" cy="818496"/>
      </dsp:txXfrm>
    </dsp:sp>
    <dsp:sp modelId="{7A94F435-5A34-489E-931E-EEF75AC20F34}">
      <dsp:nvSpPr>
        <dsp:cNvPr id="0" name=""/>
        <dsp:cNvSpPr/>
      </dsp:nvSpPr>
      <dsp:spPr>
        <a:xfrm>
          <a:off x="872" y="1242494"/>
          <a:ext cx="1636993" cy="8184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 dirty="0">
              <a:latin typeface="Arial" panose="020B0604020202020204" pitchFamily="34" charset="0"/>
              <a:cs typeface="Arial" panose="020B0604020202020204" pitchFamily="34" charset="0"/>
            </a:rPr>
            <a:t>Customer Consultant</a:t>
          </a:r>
        </a:p>
      </dsp:txBody>
      <dsp:txXfrm>
        <a:off x="872" y="1242494"/>
        <a:ext cx="1636993" cy="818496"/>
      </dsp:txXfrm>
    </dsp:sp>
    <dsp:sp modelId="{27E83ACD-A945-46B4-AEE5-3533A2476807}">
      <dsp:nvSpPr>
        <dsp:cNvPr id="0" name=""/>
        <dsp:cNvSpPr/>
      </dsp:nvSpPr>
      <dsp:spPr>
        <a:xfrm>
          <a:off x="1981634" y="1242494"/>
          <a:ext cx="1636993" cy="818496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 dirty="0">
              <a:latin typeface="Arial" panose="020B0604020202020204" pitchFamily="34" charset="0"/>
              <a:cs typeface="Arial" panose="020B0604020202020204" pitchFamily="34" charset="0"/>
            </a:rPr>
            <a:t>Senior Customer Consultant</a:t>
          </a:r>
        </a:p>
      </dsp:txBody>
      <dsp:txXfrm>
        <a:off x="1981634" y="1242494"/>
        <a:ext cx="1636993" cy="818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and Adelaide Bank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McEwan</dc:creator>
  <cp:keywords/>
  <dc:description/>
  <cp:lastModifiedBy>Narelle Kinsman</cp:lastModifiedBy>
  <cp:revision>2</cp:revision>
  <cp:lastPrinted>2016-05-05T03:14:00Z</cp:lastPrinted>
  <dcterms:created xsi:type="dcterms:W3CDTF">2021-01-11T03:49:00Z</dcterms:created>
  <dcterms:modified xsi:type="dcterms:W3CDTF">2021-01-11T03:49:00Z</dcterms:modified>
</cp:coreProperties>
</file>