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728" w14:textId="77777777" w:rsidR="00CB4638" w:rsidRPr="00FC7216" w:rsidRDefault="00CB4638" w:rsidP="00CB4638">
      <w:pPr>
        <w:pStyle w:val="Heading1"/>
        <w:rPr>
          <w:rFonts w:ascii="Arial" w:hAnsi="Arial" w:cs="Arial"/>
          <w:bCs/>
        </w:rPr>
      </w:pPr>
      <w:r w:rsidRPr="00FC7216">
        <w:rPr>
          <w:rFonts w:ascii="Arial" w:hAnsi="Arial" w:cs="Arial"/>
        </w:rPr>
        <w:t>The Department of Justice</w:t>
      </w:r>
    </w:p>
    <w:p w14:paraId="2793CA32" w14:textId="77777777" w:rsidR="00CB4638" w:rsidRPr="00FC7216" w:rsidRDefault="00CB4638" w:rsidP="00CB4638">
      <w:pPr>
        <w:pStyle w:val="Heading2"/>
        <w:rPr>
          <w:rFonts w:ascii="Arial" w:hAnsi="Arial"/>
        </w:rPr>
      </w:pPr>
      <w:r w:rsidRPr="00FC7216">
        <w:rPr>
          <w:rFonts w:ascii="Arial" w:hAnsi="Arial"/>
        </w:rPr>
        <w:t xml:space="preserve">Aim </w:t>
      </w:r>
    </w:p>
    <w:p w14:paraId="6BC0B0A2" w14:textId="77777777" w:rsidR="00CB4638" w:rsidRPr="00FC7216" w:rsidRDefault="00CB4638" w:rsidP="00CB4638">
      <w:pPr>
        <w:tabs>
          <w:tab w:val="left" w:pos="3750"/>
        </w:tabs>
        <w:rPr>
          <w:rFonts w:ascii="Arial" w:hAnsi="Arial" w:cs="Arial"/>
        </w:rPr>
      </w:pPr>
      <w:r w:rsidRPr="00FC7216">
        <w:rPr>
          <w:rFonts w:ascii="Arial" w:hAnsi="Arial" w:cs="Arial"/>
        </w:rPr>
        <w:t>A safe, fair and just Tasmania.</w:t>
      </w:r>
    </w:p>
    <w:p w14:paraId="5A453A33" w14:textId="77777777" w:rsidR="00CB4638" w:rsidRPr="00FC7216" w:rsidRDefault="00CB4638" w:rsidP="00CB4638">
      <w:pPr>
        <w:pStyle w:val="Heading2"/>
        <w:rPr>
          <w:rFonts w:ascii="Arial" w:hAnsi="Arial"/>
        </w:rPr>
      </w:pPr>
      <w:r w:rsidRPr="00FC7216">
        <w:rPr>
          <w:rFonts w:ascii="Arial" w:hAnsi="Arial"/>
        </w:rPr>
        <w:t>Purpose</w:t>
      </w:r>
    </w:p>
    <w:p w14:paraId="2CD6A067" w14:textId="77777777" w:rsidR="00CB4638" w:rsidRPr="00FC7216" w:rsidRDefault="00CB4638" w:rsidP="00CB4638">
      <w:pPr>
        <w:rPr>
          <w:rFonts w:ascii="Arial" w:hAnsi="Arial" w:cs="Arial"/>
        </w:rPr>
      </w:pPr>
      <w:r w:rsidRPr="00FC7216">
        <w:rPr>
          <w:rFonts w:ascii="Arial" w:hAnsi="Arial" w:cs="Arial"/>
        </w:rPr>
        <w:t>To support the Tasmanian Government to promote the rule of law by</w:t>
      </w:r>
    </w:p>
    <w:p w14:paraId="40D45C25" w14:textId="77777777" w:rsidR="00CB4638" w:rsidRPr="00FC7216" w:rsidRDefault="00CB4638" w:rsidP="00CB4638">
      <w:pPr>
        <w:pStyle w:val="ListBullet"/>
        <w:rPr>
          <w:rFonts w:ascii="Arial" w:hAnsi="Arial"/>
          <w:szCs w:val="24"/>
        </w:rPr>
      </w:pPr>
      <w:r w:rsidRPr="00FC7216">
        <w:rPr>
          <w:rFonts w:ascii="Arial" w:hAnsi="Arial"/>
          <w:szCs w:val="24"/>
        </w:rPr>
        <w:t>ensuring an effective, efficient and accessible justice system</w:t>
      </w:r>
    </w:p>
    <w:p w14:paraId="2DDFD148" w14:textId="77777777" w:rsidR="00CB4638" w:rsidRPr="00FC7216" w:rsidRDefault="00CB4638" w:rsidP="00CB4638">
      <w:pPr>
        <w:pStyle w:val="ListBullet"/>
        <w:rPr>
          <w:rFonts w:ascii="Arial" w:hAnsi="Arial"/>
          <w:szCs w:val="24"/>
        </w:rPr>
      </w:pPr>
      <w:r w:rsidRPr="00FC7216">
        <w:rPr>
          <w:rFonts w:ascii="Arial" w:hAnsi="Arial"/>
          <w:szCs w:val="24"/>
        </w:rPr>
        <w:t>protecting and respecting rights</w:t>
      </w:r>
    </w:p>
    <w:p w14:paraId="7E6C88D3" w14:textId="77777777" w:rsidR="00CB4638" w:rsidRPr="00FC7216" w:rsidRDefault="00CB4638" w:rsidP="00CB4638">
      <w:pPr>
        <w:pStyle w:val="ListBullet"/>
        <w:rPr>
          <w:rFonts w:ascii="Arial" w:hAnsi="Arial"/>
          <w:szCs w:val="24"/>
        </w:rPr>
      </w:pPr>
      <w:r w:rsidRPr="00FC7216">
        <w:rPr>
          <w:rFonts w:ascii="Arial" w:hAnsi="Arial"/>
          <w:szCs w:val="24"/>
        </w:rPr>
        <w:t>improving laws</w:t>
      </w:r>
    </w:p>
    <w:p w14:paraId="24CA0668" w14:textId="77777777" w:rsidR="00CB4638" w:rsidRPr="00FC7216" w:rsidRDefault="00CB4638" w:rsidP="00CB4638">
      <w:pPr>
        <w:pStyle w:val="ListBullet"/>
        <w:rPr>
          <w:rFonts w:ascii="Arial" w:hAnsi="Arial"/>
          <w:szCs w:val="24"/>
        </w:rPr>
      </w:pPr>
      <w:r w:rsidRPr="00FC7216">
        <w:rPr>
          <w:rFonts w:ascii="Arial" w:hAnsi="Arial"/>
          <w:szCs w:val="24"/>
        </w:rPr>
        <w:t>influencing positive behaviour and enforcing responsibilities</w:t>
      </w:r>
    </w:p>
    <w:p w14:paraId="75649214" w14:textId="1A1B9AE6" w:rsidR="00CB4638" w:rsidRPr="00FC7216" w:rsidRDefault="00CB4638" w:rsidP="00CB4638">
      <w:pPr>
        <w:rPr>
          <w:rFonts w:ascii="Arial" w:hAnsi="Arial" w:cs="Arial"/>
        </w:rPr>
      </w:pPr>
      <w:r w:rsidRPr="00FC7216">
        <w:rPr>
          <w:rFonts w:ascii="Arial" w:hAnsi="Arial" w:cs="Arial"/>
        </w:rPr>
        <w:t xml:space="preserve">Visit the </w:t>
      </w:r>
      <w:hyperlink r:id="rId7" w:history="1">
        <w:r w:rsidRPr="00FC7216">
          <w:rPr>
            <w:rStyle w:val="Hyperlink"/>
            <w:rFonts w:ascii="Arial" w:hAnsi="Arial" w:cs="Arial"/>
          </w:rPr>
          <w:t>Department of Justice website</w:t>
        </w:r>
      </w:hyperlink>
      <w:r w:rsidRPr="00FC7216">
        <w:rPr>
          <w:rFonts w:ascii="Arial" w:hAnsi="Arial" w:cs="Arial"/>
        </w:rPr>
        <w:t xml:space="preserve"> for more information. </w:t>
      </w:r>
    </w:p>
    <w:p w14:paraId="30122965" w14:textId="77777777" w:rsidR="009919DA" w:rsidRPr="00FC7216" w:rsidRDefault="009919DA" w:rsidP="00CB4638">
      <w:pPr>
        <w:rPr>
          <w:rFonts w:ascii="Arial" w:hAnsi="Arial" w:cs="Arial"/>
          <w:sz w:val="16"/>
          <w:szCs w:val="16"/>
        </w:rPr>
      </w:pPr>
    </w:p>
    <w:p w14:paraId="2E45025A" w14:textId="77777777" w:rsidR="00CB4638" w:rsidRPr="00FC7216" w:rsidRDefault="00CB4638" w:rsidP="00CB4638">
      <w:pPr>
        <w:pStyle w:val="Heading2"/>
        <w:rPr>
          <w:rFonts w:ascii="Arial" w:hAnsi="Arial"/>
        </w:rPr>
      </w:pPr>
      <w:r w:rsidRPr="00FC7216">
        <w:rPr>
          <w:rFonts w:ascii="Arial" w:hAnsi="Arial"/>
        </w:rPr>
        <w:t>Working at Justice</w:t>
      </w:r>
    </w:p>
    <w:p w14:paraId="2877FE8E" w14:textId="77777777" w:rsidR="00CB4638" w:rsidRPr="00FC7216" w:rsidRDefault="00CB4638" w:rsidP="00CB4638">
      <w:pPr>
        <w:pStyle w:val="Heading3"/>
        <w:rPr>
          <w:rFonts w:ascii="Arial" w:hAnsi="Arial" w:cs="Arial"/>
          <w:sz w:val="28"/>
          <w:szCs w:val="28"/>
        </w:rPr>
      </w:pPr>
      <w:r w:rsidRPr="00FC7216">
        <w:rPr>
          <w:rFonts w:ascii="Arial" w:hAnsi="Arial" w:cs="Arial"/>
          <w:sz w:val="28"/>
          <w:szCs w:val="28"/>
        </w:rPr>
        <w:t>State Service Principles and Code of Conduct</w:t>
      </w:r>
    </w:p>
    <w:p w14:paraId="1E6D487B" w14:textId="79B3103A" w:rsidR="00CB4638" w:rsidRPr="00FC7216" w:rsidRDefault="00CB4638" w:rsidP="00CB4638">
      <w:pPr>
        <w:rPr>
          <w:rFonts w:ascii="Arial" w:hAnsi="Arial" w:cs="Arial"/>
        </w:rPr>
      </w:pPr>
      <w:r w:rsidRPr="00FC7216">
        <w:rPr>
          <w:rFonts w:ascii="Arial" w:hAnsi="Arial" w:cs="Arial"/>
        </w:rPr>
        <w:t xml:space="preserve">Employment in the State Service is governed by the </w:t>
      </w:r>
      <w:hyperlink r:id="rId8" w:history="1">
        <w:r w:rsidRPr="00FC7216">
          <w:rPr>
            <w:rStyle w:val="Hyperlink"/>
            <w:rFonts w:ascii="Arial" w:hAnsi="Arial" w:cs="Arial"/>
            <w:i/>
          </w:rPr>
          <w:t>State Service Act 2000</w:t>
        </w:r>
      </w:hyperlink>
      <w:r w:rsidRPr="00FC7216">
        <w:rPr>
          <w:rFonts w:ascii="Arial" w:hAnsi="Arial" w:cs="Arial"/>
        </w:rPr>
        <w:t xml:space="preserve">. Both employees and officers are required to uphold and comply with the </w:t>
      </w:r>
      <w:hyperlink r:id="rId9" w:anchor="GS7@EN" w:history="1">
        <w:r w:rsidRPr="00FC7216">
          <w:rPr>
            <w:rStyle w:val="Hyperlink"/>
            <w:rFonts w:ascii="Arial" w:hAnsi="Arial" w:cs="Arial"/>
          </w:rPr>
          <w:t>State Service Principles (Section 7)</w:t>
        </w:r>
      </w:hyperlink>
      <w:r w:rsidRPr="00FC7216">
        <w:rPr>
          <w:rFonts w:ascii="Arial" w:hAnsi="Arial" w:cs="Arial"/>
        </w:rPr>
        <w:t xml:space="preserve"> and the </w:t>
      </w:r>
      <w:hyperlink r:id="rId10" w:anchor="GS9@EN" w:history="1">
        <w:r w:rsidRPr="00FC7216">
          <w:rPr>
            <w:rStyle w:val="Hyperlink"/>
            <w:rFonts w:ascii="Arial" w:hAnsi="Arial" w:cs="Arial"/>
          </w:rPr>
          <w:t>Code of Conduct (section 9)</w:t>
        </w:r>
      </w:hyperlink>
      <w:r w:rsidRPr="00FC7216">
        <w:rPr>
          <w:rFonts w:ascii="Arial" w:hAnsi="Arial" w:cs="Arial"/>
          <w:color w:val="000000"/>
        </w:rPr>
        <w:t xml:space="preserve">. </w:t>
      </w:r>
      <w:r w:rsidRPr="00FC7216">
        <w:rPr>
          <w:rFonts w:ascii="Arial" w:hAnsi="Arial" w:cs="Arial"/>
        </w:rPr>
        <w:t xml:space="preserve">Officers and Employees who are found to have breached the Code of Conduct may have sanctions imposed. </w:t>
      </w:r>
    </w:p>
    <w:p w14:paraId="65826BB1" w14:textId="77777777" w:rsidR="00016F42" w:rsidRPr="00FC7216" w:rsidRDefault="00016F42" w:rsidP="00CB4638">
      <w:pPr>
        <w:rPr>
          <w:rFonts w:ascii="Arial" w:hAnsi="Arial" w:cs="Arial"/>
          <w:sz w:val="16"/>
          <w:szCs w:val="16"/>
        </w:rPr>
      </w:pPr>
    </w:p>
    <w:p w14:paraId="618267AE" w14:textId="023FA907" w:rsidR="00CB4638" w:rsidRPr="00FC7216" w:rsidRDefault="001D20DF" w:rsidP="00CB4638">
      <w:pPr>
        <w:pStyle w:val="Heading3"/>
        <w:rPr>
          <w:rFonts w:ascii="Arial" w:hAnsi="Arial" w:cs="Arial"/>
          <w:sz w:val="28"/>
          <w:szCs w:val="28"/>
        </w:rPr>
      </w:pPr>
      <w:r w:rsidRPr="00FC7216">
        <w:rPr>
          <w:rFonts w:ascii="Arial" w:hAnsi="Arial" w:cs="Arial"/>
          <w:sz w:val="28"/>
          <w:szCs w:val="28"/>
        </w:rPr>
        <w:t>Our</w:t>
      </w:r>
      <w:r w:rsidR="00CB4638" w:rsidRPr="00FC7216">
        <w:rPr>
          <w:rFonts w:ascii="Arial" w:hAnsi="Arial" w:cs="Arial"/>
          <w:sz w:val="28"/>
          <w:szCs w:val="28"/>
        </w:rPr>
        <w:t xml:space="preserve"> Values </w:t>
      </w:r>
    </w:p>
    <w:p w14:paraId="62D0659C" w14:textId="77777777" w:rsidR="00CB4638" w:rsidRPr="00FC7216" w:rsidRDefault="00CB4638" w:rsidP="00CB4638">
      <w:pPr>
        <w:rPr>
          <w:rFonts w:ascii="Arial" w:hAnsi="Arial" w:cs="Arial"/>
          <w:szCs w:val="28"/>
        </w:rPr>
      </w:pPr>
      <w:r w:rsidRPr="00FC7216">
        <w:rPr>
          <w:rFonts w:ascii="Arial" w:hAnsi="Arial" w:cs="Arial"/>
          <w:szCs w:val="28"/>
        </w:rPr>
        <w:t>At DoJ we are a values based Agency. We aim to attract, recruit and retain people who uphold our values. We actively work each day to support and encourage our people to uphold our values.</w:t>
      </w:r>
    </w:p>
    <w:p w14:paraId="6FD704FC" w14:textId="576A516C" w:rsidR="00CB4638" w:rsidRPr="00FC7216" w:rsidRDefault="003134BA" w:rsidP="00CB4638">
      <w:pPr>
        <w:rPr>
          <w:rFonts w:ascii="Arial" w:hAnsi="Arial" w:cs="Arial"/>
          <w:sz w:val="22"/>
        </w:rPr>
      </w:pPr>
      <w:r w:rsidRPr="00FC7216">
        <w:rPr>
          <w:rFonts w:ascii="Arial" w:hAnsi="Arial" w:cs="Arial"/>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4C27A32" w14:textId="77777777" w:rsidR="00016F42" w:rsidRPr="00FC7216" w:rsidRDefault="00016F42" w:rsidP="00CB4638">
      <w:pPr>
        <w:rPr>
          <w:rFonts w:ascii="Arial" w:hAnsi="Arial" w:cs="Arial"/>
          <w:sz w:val="16"/>
          <w:szCs w:val="18"/>
        </w:rPr>
      </w:pPr>
    </w:p>
    <w:p w14:paraId="26E7264B" w14:textId="77777777" w:rsidR="00CB4638" w:rsidRPr="00FC7216" w:rsidRDefault="00CB4638" w:rsidP="00CB4638">
      <w:pPr>
        <w:pStyle w:val="Heading3"/>
        <w:rPr>
          <w:rFonts w:ascii="Arial" w:hAnsi="Arial" w:cs="Arial"/>
          <w:sz w:val="28"/>
          <w:szCs w:val="28"/>
        </w:rPr>
      </w:pPr>
      <w:r w:rsidRPr="00FC7216">
        <w:rPr>
          <w:rFonts w:ascii="Arial" w:hAnsi="Arial" w:cs="Arial"/>
          <w:sz w:val="28"/>
          <w:szCs w:val="28"/>
        </w:rPr>
        <w:t>Safe Workplaces</w:t>
      </w:r>
    </w:p>
    <w:p w14:paraId="0CB4D0B5" w14:textId="77777777" w:rsidR="00CB4638" w:rsidRPr="00FC7216" w:rsidRDefault="00CB4638" w:rsidP="00CB4638">
      <w:pPr>
        <w:rPr>
          <w:rFonts w:ascii="Arial" w:hAnsi="Arial" w:cs="Arial"/>
        </w:rPr>
      </w:pPr>
      <w:r w:rsidRPr="00FC7216">
        <w:rPr>
          <w:rFonts w:ascii="Arial" w:hAnsi="Arial" w:cs="Arial"/>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FC7216">
          <w:rPr>
            <w:rStyle w:val="Hyperlink"/>
            <w:rFonts w:ascii="Arial" w:hAnsi="Arial" w:cs="Arial"/>
            <w:i/>
            <w:iCs/>
          </w:rPr>
          <w:t>Anti-Discrimination Act 1998</w:t>
        </w:r>
      </w:hyperlink>
      <w:r w:rsidRPr="00FC7216">
        <w:rPr>
          <w:rFonts w:ascii="Arial" w:hAnsi="Arial" w:cs="Arial"/>
          <w:i/>
          <w:iCs/>
        </w:rPr>
        <w:t xml:space="preserve"> </w:t>
      </w:r>
      <w:r w:rsidRPr="00FC7216">
        <w:rPr>
          <w:rFonts w:ascii="Arial" w:hAnsi="Arial" w:cs="Arial"/>
        </w:rPr>
        <w:t xml:space="preserve">and contribute to the elimination of workplace harassment and discrimination. </w:t>
      </w:r>
    </w:p>
    <w:p w14:paraId="0FB771D8" w14:textId="6FF43961" w:rsidR="00CB4638" w:rsidRPr="00FC7216" w:rsidRDefault="000E0ACE" w:rsidP="00CB4638">
      <w:pPr>
        <w:rPr>
          <w:rFonts w:ascii="Arial" w:hAnsi="Arial" w:cs="Arial"/>
        </w:rPr>
      </w:pPr>
      <w:r w:rsidRPr="00FC7216">
        <w:rPr>
          <w:rFonts w:ascii="Arial" w:hAnsi="Arial" w:cs="Arial"/>
        </w:rPr>
        <w:t>We have a</w:t>
      </w:r>
      <w:r w:rsidR="00CB4638" w:rsidRPr="00FC7216">
        <w:rPr>
          <w:rFonts w:ascii="Arial" w:hAnsi="Arial" w:cs="Arial"/>
        </w:rPr>
        <w:t xml:space="preserve"> zero tolerance to violence, including violence against women and any form of family violence. We take an active role in supporting employees and their families and </w:t>
      </w:r>
      <w:r w:rsidR="00CB4638" w:rsidRPr="00FC7216">
        <w:rPr>
          <w:rFonts w:ascii="Arial" w:hAnsi="Arial" w:cs="Arial"/>
        </w:rPr>
        <w:lastRenderedPageBreak/>
        <w:t xml:space="preserve">are committed to providing a workplace that promotes their safety and provide the flexibility to support employees to live free from violence. </w:t>
      </w:r>
    </w:p>
    <w:p w14:paraId="0B9726E4" w14:textId="5AFDBE36" w:rsidR="00CB4638" w:rsidRPr="00FC7216" w:rsidRDefault="00CB4638" w:rsidP="00CB4638">
      <w:pPr>
        <w:rPr>
          <w:rFonts w:ascii="Arial" w:hAnsi="Arial" w:cs="Arial"/>
        </w:rPr>
      </w:pPr>
      <w:r w:rsidRPr="00FC7216">
        <w:rPr>
          <w:rFonts w:ascii="Arial" w:hAnsi="Arial" w:cs="Arial"/>
        </w:rPr>
        <w:t>Smoking is prohibited in State Government workplaces and vehicles.</w:t>
      </w:r>
    </w:p>
    <w:p w14:paraId="53770A1D" w14:textId="77777777" w:rsidR="009919DA" w:rsidRPr="00FC7216" w:rsidRDefault="009919DA" w:rsidP="00CB4638">
      <w:pPr>
        <w:rPr>
          <w:rFonts w:ascii="Arial" w:hAnsi="Arial" w:cs="Arial"/>
          <w:sz w:val="16"/>
          <w:szCs w:val="16"/>
        </w:rPr>
      </w:pPr>
    </w:p>
    <w:p w14:paraId="40BBADE1" w14:textId="77777777" w:rsidR="00CB4638" w:rsidRPr="00FC7216" w:rsidRDefault="00CB4638" w:rsidP="00CB4638">
      <w:pPr>
        <w:pStyle w:val="Heading3"/>
        <w:rPr>
          <w:rFonts w:ascii="Arial" w:hAnsi="Arial" w:cs="Arial"/>
          <w:sz w:val="28"/>
          <w:szCs w:val="28"/>
        </w:rPr>
      </w:pPr>
      <w:r w:rsidRPr="00FC7216">
        <w:rPr>
          <w:rFonts w:ascii="Arial" w:hAnsi="Arial" w:cs="Arial"/>
          <w:sz w:val="28"/>
          <w:szCs w:val="28"/>
        </w:rPr>
        <w:t>Health, Safety and Wellbeing</w:t>
      </w:r>
    </w:p>
    <w:p w14:paraId="7B0A5B4A" w14:textId="257BA0C5" w:rsidR="00CB4638" w:rsidRPr="00FC7216" w:rsidRDefault="00CB4638" w:rsidP="00CB4638">
      <w:pPr>
        <w:rPr>
          <w:rFonts w:ascii="Arial" w:hAnsi="Arial" w:cs="Arial"/>
        </w:rPr>
      </w:pPr>
      <w:r w:rsidRPr="00FC7216">
        <w:rPr>
          <w:rFonts w:ascii="Arial" w:hAnsi="Arial" w:cs="Arial"/>
        </w:rPr>
        <w:t xml:space="preserve">We are committed to promoting, achieving and maintaining the highest level of health, safety and wellbeing for our people. Every one of us is responsible for health and safety. We must work safely, protect the safety of other people and think about how our </w:t>
      </w:r>
      <w:r w:rsidR="00914428" w:rsidRPr="00FC7216">
        <w:rPr>
          <w:rFonts w:ascii="Arial" w:hAnsi="Arial" w:cs="Arial"/>
        </w:rPr>
        <w:t>actions affect</w:t>
      </w:r>
      <w:r w:rsidRPr="00FC7216">
        <w:rPr>
          <w:rFonts w:ascii="Arial" w:hAnsi="Arial" w:cs="Arial"/>
        </w:rPr>
        <w:t xml:space="preserve"> the safety and wellbeing of others</w:t>
      </w:r>
      <w:r w:rsidR="00914428" w:rsidRPr="00FC7216">
        <w:rPr>
          <w:rFonts w:ascii="Arial" w:hAnsi="Arial" w:cs="Arial"/>
        </w:rPr>
        <w:t xml:space="preserve"> in the workplace</w:t>
      </w:r>
      <w:r w:rsidRPr="00FC7216">
        <w:rPr>
          <w:rFonts w:ascii="Arial" w:hAnsi="Arial" w:cs="Arial"/>
        </w:rPr>
        <w:t>.</w:t>
      </w:r>
    </w:p>
    <w:p w14:paraId="575D1BD2" w14:textId="77777777" w:rsidR="00CB4638" w:rsidRPr="00FC7216" w:rsidRDefault="00CB4638" w:rsidP="00CB4638">
      <w:pPr>
        <w:rPr>
          <w:rFonts w:ascii="Arial" w:hAnsi="Arial" w:cs="Arial"/>
        </w:rPr>
      </w:pPr>
      <w:r w:rsidRPr="00FC7216">
        <w:rPr>
          <w:rFonts w:ascii="Arial" w:hAnsi="Arial" w:cs="Arial"/>
        </w:rPr>
        <w:t xml:space="preserve">All employees are expected to participate in maintaining safe working conditions and practices in accordance with the </w:t>
      </w:r>
      <w:hyperlink r:id="rId13" w:history="1">
        <w:r w:rsidRPr="00FC7216">
          <w:rPr>
            <w:rStyle w:val="Hyperlink"/>
            <w:rFonts w:ascii="Arial" w:hAnsi="Arial" w:cs="Arial"/>
            <w:i/>
          </w:rPr>
          <w:t>Work Health and Safety Act 2012</w:t>
        </w:r>
      </w:hyperlink>
      <w:r w:rsidRPr="00FC7216">
        <w:rPr>
          <w:rFonts w:ascii="Arial" w:hAnsi="Arial" w:cs="Arial"/>
        </w:rPr>
        <w:t xml:space="preserve">. </w:t>
      </w:r>
    </w:p>
    <w:p w14:paraId="2A011D88" w14:textId="18CBD4FA" w:rsidR="00CB4638" w:rsidRPr="00FC7216" w:rsidRDefault="00CB4638" w:rsidP="00CB4638">
      <w:pPr>
        <w:rPr>
          <w:rFonts w:ascii="Arial" w:hAnsi="Arial" w:cs="Arial"/>
        </w:rPr>
      </w:pPr>
      <w:r w:rsidRPr="00FC7216">
        <w:rPr>
          <w:rFonts w:ascii="Arial" w:hAnsi="Arial" w:cs="Arial"/>
        </w:rPr>
        <w:t xml:space="preserve">We recognise the benefits of a healthy workplace. Our Wellbeing Program has been implemented to improve and support the wellbeing of our people. The </w:t>
      </w:r>
      <w:r w:rsidR="000C6480" w:rsidRPr="00FC7216">
        <w:rPr>
          <w:rFonts w:ascii="Arial" w:hAnsi="Arial" w:cs="Arial"/>
        </w:rPr>
        <w:t>program</w:t>
      </w:r>
      <w:r w:rsidRPr="00FC7216">
        <w:rPr>
          <w:rFonts w:ascii="Arial" w:hAnsi="Arial" w:cs="Arial"/>
        </w:rPr>
        <w:t xml:space="preserve"> consists of a range of initiatives and activities which support wellbeing, including: health checks, online health assessments, flu vaccinations, step challenges and training.</w:t>
      </w:r>
    </w:p>
    <w:p w14:paraId="5EB63783" w14:textId="77777777" w:rsidR="009919DA" w:rsidRPr="00FC7216" w:rsidRDefault="009919DA" w:rsidP="00CB4638">
      <w:pPr>
        <w:rPr>
          <w:rFonts w:ascii="Arial" w:hAnsi="Arial" w:cs="Arial"/>
          <w:sz w:val="16"/>
          <w:szCs w:val="16"/>
        </w:rPr>
      </w:pPr>
    </w:p>
    <w:p w14:paraId="07D6C6DF" w14:textId="77777777" w:rsidR="00CB4638" w:rsidRPr="00FC7216" w:rsidRDefault="00CB4638" w:rsidP="00CB4638">
      <w:pPr>
        <w:pStyle w:val="Heading3"/>
        <w:rPr>
          <w:rFonts w:ascii="Arial" w:hAnsi="Arial" w:cs="Arial"/>
          <w:sz w:val="28"/>
          <w:szCs w:val="28"/>
        </w:rPr>
      </w:pPr>
      <w:r w:rsidRPr="00FC7216">
        <w:rPr>
          <w:rFonts w:ascii="Arial" w:hAnsi="Arial" w:cs="Arial"/>
          <w:sz w:val="28"/>
          <w:szCs w:val="28"/>
        </w:rPr>
        <w:t>Diversity and Inclusion</w:t>
      </w:r>
    </w:p>
    <w:p w14:paraId="3A647FA3" w14:textId="7A532511" w:rsidR="009864DD" w:rsidRPr="00FC7216" w:rsidRDefault="000E0ACE" w:rsidP="00CB4638">
      <w:pPr>
        <w:rPr>
          <w:rFonts w:ascii="Arial" w:hAnsi="Arial" w:cs="Arial"/>
          <w:szCs w:val="28"/>
        </w:rPr>
      </w:pPr>
      <w:r w:rsidRPr="00FC7216">
        <w:rPr>
          <w:rFonts w:ascii="Arial" w:hAnsi="Arial" w:cs="Arial"/>
          <w:szCs w:val="28"/>
        </w:rPr>
        <w:t>We are</w:t>
      </w:r>
      <w:r w:rsidR="00CB4638" w:rsidRPr="00FC7216">
        <w:rPr>
          <w:rFonts w:ascii="Arial" w:hAnsi="Arial" w:cs="Arial"/>
          <w:szCs w:val="28"/>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0F7C7B61" w:rsidR="00CB4638" w:rsidRPr="00FC7216" w:rsidRDefault="000E0ACE" w:rsidP="00CB4638">
      <w:pPr>
        <w:rPr>
          <w:rFonts w:ascii="Arial" w:hAnsi="Arial" w:cs="Arial"/>
          <w:szCs w:val="28"/>
        </w:rPr>
      </w:pPr>
      <w:r w:rsidRPr="00FC7216">
        <w:rPr>
          <w:rFonts w:ascii="Arial" w:hAnsi="Arial" w:cs="Arial"/>
          <w:szCs w:val="28"/>
        </w:rPr>
        <w:t>Our Agency offers</w:t>
      </w:r>
      <w:r w:rsidR="00CB4638" w:rsidRPr="00FC7216">
        <w:rPr>
          <w:rFonts w:ascii="Arial" w:hAnsi="Arial" w:cs="Arial"/>
          <w:szCs w:val="28"/>
        </w:rPr>
        <w:t xml:space="preserve"> inclusive and flexible work options including workplace adjustments to enable every employee to fully engage and excel in their role.</w:t>
      </w:r>
    </w:p>
    <w:p w14:paraId="3595E319" w14:textId="77777777" w:rsidR="009919DA" w:rsidRPr="00FC7216" w:rsidRDefault="009919DA" w:rsidP="00CB4638">
      <w:pPr>
        <w:rPr>
          <w:rFonts w:ascii="Arial" w:hAnsi="Arial" w:cs="Arial"/>
          <w:b/>
          <w:bCs/>
          <w:sz w:val="16"/>
          <w:szCs w:val="18"/>
        </w:rPr>
      </w:pPr>
    </w:p>
    <w:p w14:paraId="45F89F83" w14:textId="77777777" w:rsidR="00CB4638" w:rsidRPr="00FC7216" w:rsidRDefault="00CB4638" w:rsidP="00CB4638">
      <w:pPr>
        <w:pStyle w:val="Heading3"/>
        <w:rPr>
          <w:rFonts w:ascii="Arial" w:hAnsi="Arial" w:cs="Arial"/>
          <w:sz w:val="28"/>
          <w:szCs w:val="28"/>
        </w:rPr>
      </w:pPr>
      <w:r w:rsidRPr="00FC7216">
        <w:rPr>
          <w:rFonts w:ascii="Arial" w:hAnsi="Arial" w:cs="Arial"/>
          <w:sz w:val="28"/>
          <w:szCs w:val="28"/>
        </w:rPr>
        <w:t>Developing our People</w:t>
      </w:r>
    </w:p>
    <w:p w14:paraId="2DF407F3" w14:textId="52360C06" w:rsidR="00AE4038" w:rsidRPr="00FC7216" w:rsidRDefault="00CB4638" w:rsidP="0001281D">
      <w:pPr>
        <w:rPr>
          <w:rFonts w:ascii="Arial" w:hAnsi="Arial" w:cs="Arial"/>
        </w:rPr>
      </w:pPr>
      <w:r w:rsidRPr="00FC7216">
        <w:rPr>
          <w:rFonts w:ascii="Arial" w:hAnsi="Arial" w:cs="Arial"/>
        </w:rPr>
        <w:t>Our people are expected to participate actively and constructively in perform</w:t>
      </w:r>
      <w:r w:rsidR="00851DE4" w:rsidRPr="00FC7216">
        <w:rPr>
          <w:rFonts w:ascii="Arial" w:hAnsi="Arial" w:cs="Arial"/>
        </w:rPr>
        <w:t>ance development conversations. 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7E782921" w14:textId="62CEC6DB" w:rsidR="009919DA" w:rsidRPr="00FC7216" w:rsidRDefault="009919DA">
      <w:pPr>
        <w:spacing w:after="200" w:line="276" w:lineRule="auto"/>
        <w:rPr>
          <w:rFonts w:ascii="Arial" w:hAnsi="Arial" w:cs="Arial"/>
        </w:rPr>
      </w:pPr>
      <w:r w:rsidRPr="00FC7216">
        <w:rPr>
          <w:rFonts w:ascii="Arial" w:hAnsi="Arial" w:cs="Arial"/>
        </w:rPr>
        <w:br w:type="page"/>
      </w:r>
    </w:p>
    <w:p w14:paraId="3AAD570C" w14:textId="30DD1ED1" w:rsidR="005E3AEA" w:rsidRPr="00FC7216" w:rsidRDefault="005E3AEA" w:rsidP="005E3AEA">
      <w:pPr>
        <w:pStyle w:val="Heading2"/>
        <w:rPr>
          <w:rFonts w:ascii="Arial" w:hAnsi="Arial"/>
          <w:b/>
          <w:bCs w:val="0"/>
          <w:i/>
          <w:color w:val="76923C" w:themeColor="accent3" w:themeShade="BF"/>
          <w:sz w:val="24"/>
        </w:rPr>
      </w:pPr>
      <w:r w:rsidRPr="00FC7216">
        <w:rPr>
          <w:rFonts w:ascii="Arial" w:hAnsi="Arial"/>
          <w:b/>
          <w:bCs w:val="0"/>
          <w:color w:val="76923C" w:themeColor="accent3" w:themeShade="BF"/>
          <w:sz w:val="32"/>
          <w:szCs w:val="28"/>
        </w:rPr>
        <w:lastRenderedPageBreak/>
        <w:t>Divisional Information –</w:t>
      </w:r>
      <w:r w:rsidR="005F7221" w:rsidRPr="00FC7216">
        <w:rPr>
          <w:rFonts w:ascii="Arial" w:hAnsi="Arial"/>
          <w:b/>
          <w:bCs w:val="0"/>
          <w:color w:val="76923C" w:themeColor="accent3" w:themeShade="BF"/>
          <w:sz w:val="32"/>
          <w:szCs w:val="28"/>
        </w:rPr>
        <w:t xml:space="preserve"> </w:t>
      </w:r>
      <w:r w:rsidR="0009309F" w:rsidRPr="00FC7216">
        <w:rPr>
          <w:rFonts w:ascii="Arial" w:hAnsi="Arial"/>
          <w:b/>
          <w:bCs w:val="0"/>
          <w:color w:val="76923C" w:themeColor="accent3" w:themeShade="BF"/>
          <w:sz w:val="32"/>
          <w:szCs w:val="28"/>
        </w:rPr>
        <w:t>Tasmanian Electoral Commission</w:t>
      </w:r>
    </w:p>
    <w:p w14:paraId="388C6D53" w14:textId="67DCCF79" w:rsidR="00F81244" w:rsidRPr="00FC7216" w:rsidRDefault="00734E62" w:rsidP="00F81244">
      <w:pPr>
        <w:rPr>
          <w:rFonts w:ascii="Arial" w:hAnsi="Arial" w:cs="Arial"/>
          <w:lang w:val="en-US"/>
        </w:rPr>
      </w:pPr>
      <w:r w:rsidRPr="00FC7216">
        <w:rPr>
          <w:rFonts w:ascii="Arial" w:hAnsi="Arial" w:cs="Arial"/>
          <w:lang w:val="en-US"/>
        </w:rPr>
        <w:t>The Tasmanian Electoral Commission</w:t>
      </w:r>
      <w:r w:rsidR="00AE4038" w:rsidRPr="00FC7216">
        <w:rPr>
          <w:rFonts w:ascii="Arial" w:hAnsi="Arial" w:cs="Arial"/>
          <w:lang w:val="en-US"/>
        </w:rPr>
        <w:t xml:space="preserve"> (TEC)</w:t>
      </w:r>
      <w:r w:rsidRPr="00FC7216">
        <w:rPr>
          <w:rFonts w:ascii="Arial" w:hAnsi="Arial" w:cs="Arial"/>
          <w:lang w:val="en-US"/>
        </w:rPr>
        <w:t xml:space="preserve"> is an </w:t>
      </w:r>
      <w:r w:rsidR="00AE4038" w:rsidRPr="00FC7216">
        <w:rPr>
          <w:rFonts w:ascii="Arial" w:hAnsi="Arial" w:cs="Arial"/>
          <w:lang w:val="en-US"/>
        </w:rPr>
        <w:t>i</w:t>
      </w:r>
      <w:r w:rsidRPr="00FC7216">
        <w:rPr>
          <w:rFonts w:ascii="Arial" w:hAnsi="Arial" w:cs="Arial"/>
          <w:lang w:val="en-US"/>
        </w:rPr>
        <w:t xml:space="preserve">ndependent </w:t>
      </w:r>
      <w:r w:rsidR="00AE4038" w:rsidRPr="00FC7216">
        <w:rPr>
          <w:rFonts w:ascii="Arial" w:hAnsi="Arial" w:cs="Arial"/>
          <w:lang w:val="en-US"/>
        </w:rPr>
        <w:t>s</w:t>
      </w:r>
      <w:r w:rsidRPr="00FC7216">
        <w:rPr>
          <w:rFonts w:ascii="Arial" w:hAnsi="Arial" w:cs="Arial"/>
          <w:lang w:val="en-US"/>
        </w:rPr>
        <w:t xml:space="preserve">tatutory </w:t>
      </w:r>
      <w:r w:rsidR="00AE4038" w:rsidRPr="00FC7216">
        <w:rPr>
          <w:rFonts w:ascii="Arial" w:hAnsi="Arial" w:cs="Arial"/>
          <w:lang w:val="en-US"/>
        </w:rPr>
        <w:t>b</w:t>
      </w:r>
      <w:r w:rsidRPr="00FC7216">
        <w:rPr>
          <w:rFonts w:ascii="Arial" w:hAnsi="Arial" w:cs="Arial"/>
          <w:lang w:val="en-US"/>
        </w:rPr>
        <w:t xml:space="preserve">ody </w:t>
      </w:r>
      <w:r w:rsidR="00EB331B" w:rsidRPr="00FC7216">
        <w:rPr>
          <w:rFonts w:ascii="Arial" w:hAnsi="Arial" w:cs="Arial"/>
          <w:lang w:val="en-US"/>
        </w:rPr>
        <w:t xml:space="preserve">established under the </w:t>
      </w:r>
      <w:r w:rsidR="00EB331B" w:rsidRPr="00FC7216">
        <w:rPr>
          <w:rFonts w:ascii="Arial" w:hAnsi="Arial" w:cs="Arial"/>
          <w:i/>
          <w:iCs/>
          <w:lang w:val="en-US"/>
        </w:rPr>
        <w:t>Electoral Act 2004</w:t>
      </w:r>
      <w:r w:rsidR="00EB331B" w:rsidRPr="00FC7216">
        <w:rPr>
          <w:rFonts w:ascii="Arial" w:hAnsi="Arial" w:cs="Arial"/>
          <w:lang w:val="en-US"/>
        </w:rPr>
        <w:t>.</w:t>
      </w:r>
      <w:r w:rsidR="00C54B63" w:rsidRPr="00FC7216">
        <w:rPr>
          <w:rFonts w:ascii="Arial" w:hAnsi="Arial" w:cs="Arial"/>
          <w:lang w:val="en-US"/>
        </w:rPr>
        <w:t xml:space="preserve"> </w:t>
      </w:r>
      <w:r w:rsidR="00F81244" w:rsidRPr="00FC7216">
        <w:rPr>
          <w:rFonts w:ascii="Arial" w:hAnsi="Arial" w:cs="Arial"/>
          <w:lang w:val="en-US"/>
        </w:rPr>
        <w:t>The TEC is overseen by a 3 person Commission consisting of the Electoral Commissioner and two other members. The day-to-day management of the TEC is overseen directly by the Electoral Commissioner.</w:t>
      </w:r>
    </w:p>
    <w:p w14:paraId="7DEC25E0" w14:textId="2502D53F" w:rsidR="00F81244" w:rsidRPr="00FC7216" w:rsidRDefault="00EB331B" w:rsidP="0009309F">
      <w:pPr>
        <w:rPr>
          <w:rFonts w:ascii="Arial" w:hAnsi="Arial" w:cs="Arial"/>
          <w:lang w:val="en-US"/>
        </w:rPr>
      </w:pPr>
      <w:r w:rsidRPr="00FC7216">
        <w:rPr>
          <w:rFonts w:ascii="Arial" w:hAnsi="Arial" w:cs="Arial"/>
          <w:lang w:val="en-US"/>
        </w:rPr>
        <w:t>The TEC</w:t>
      </w:r>
      <w:r w:rsidR="00734E62" w:rsidRPr="00FC7216">
        <w:rPr>
          <w:rFonts w:ascii="Arial" w:hAnsi="Arial" w:cs="Arial"/>
          <w:lang w:val="en-US"/>
        </w:rPr>
        <w:t xml:space="preserve"> </w:t>
      </w:r>
      <w:r w:rsidRPr="00FC7216">
        <w:rPr>
          <w:rFonts w:ascii="Arial" w:hAnsi="Arial" w:cs="Arial"/>
          <w:lang w:val="en-US"/>
        </w:rPr>
        <w:t xml:space="preserve">is linked to </w:t>
      </w:r>
      <w:r w:rsidR="00734E62" w:rsidRPr="00FC7216">
        <w:rPr>
          <w:rFonts w:ascii="Arial" w:hAnsi="Arial" w:cs="Arial"/>
          <w:lang w:val="en-US"/>
        </w:rPr>
        <w:t>the Department of Justice</w:t>
      </w:r>
      <w:r w:rsidRPr="00FC7216">
        <w:rPr>
          <w:rFonts w:ascii="Arial" w:hAnsi="Arial" w:cs="Arial"/>
          <w:lang w:val="en-US"/>
        </w:rPr>
        <w:t xml:space="preserve"> through their provision of administrative support.</w:t>
      </w:r>
      <w:r w:rsidR="00734E62" w:rsidRPr="00FC7216">
        <w:rPr>
          <w:rFonts w:ascii="Arial" w:hAnsi="Arial" w:cs="Arial"/>
          <w:lang w:val="en-US"/>
        </w:rPr>
        <w:t xml:space="preserve"> </w:t>
      </w:r>
      <w:r w:rsidRPr="00FC7216">
        <w:rPr>
          <w:rFonts w:ascii="Arial" w:hAnsi="Arial" w:cs="Arial"/>
          <w:lang w:val="en-US"/>
        </w:rPr>
        <w:t>As such, staff of</w:t>
      </w:r>
      <w:r w:rsidR="00AE4038" w:rsidRPr="00FC7216">
        <w:rPr>
          <w:rFonts w:ascii="Arial" w:hAnsi="Arial" w:cs="Arial"/>
          <w:lang w:val="en-US"/>
        </w:rPr>
        <w:t xml:space="preserve"> the TEC</w:t>
      </w:r>
      <w:r w:rsidR="00D02A2A" w:rsidRPr="00FC7216">
        <w:rPr>
          <w:rFonts w:ascii="Arial" w:hAnsi="Arial" w:cs="Arial"/>
          <w:lang w:val="en-US"/>
        </w:rPr>
        <w:t xml:space="preserve"> are employees of the Department of Justice.</w:t>
      </w:r>
    </w:p>
    <w:p w14:paraId="78BB9E76" w14:textId="77777777" w:rsidR="009919DA" w:rsidRPr="00FC7216" w:rsidRDefault="009919DA" w:rsidP="0009309F">
      <w:pPr>
        <w:rPr>
          <w:rFonts w:ascii="Arial" w:hAnsi="Arial" w:cs="Arial"/>
          <w:sz w:val="16"/>
          <w:szCs w:val="16"/>
          <w:lang w:val="en-US"/>
        </w:rPr>
      </w:pPr>
    </w:p>
    <w:p w14:paraId="4E2CE216" w14:textId="57E3F991" w:rsidR="00F81244" w:rsidRPr="00FC7216" w:rsidRDefault="00F81244"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Our Purpose</w:t>
      </w:r>
      <w:r w:rsidR="00C54B63" w:rsidRPr="00FC7216">
        <w:rPr>
          <w:rFonts w:ascii="Arial" w:hAnsi="Arial" w:cs="Arial"/>
          <w:b/>
          <w:bCs/>
          <w:color w:val="76923C" w:themeColor="accent3" w:themeShade="BF"/>
          <w:sz w:val="28"/>
          <w:szCs w:val="28"/>
          <w:lang w:val="en-US"/>
        </w:rPr>
        <w:t xml:space="preserve"> and Vision</w:t>
      </w:r>
    </w:p>
    <w:p w14:paraId="10C4BDAB" w14:textId="7891152F" w:rsidR="0009309F" w:rsidRPr="00FC7216" w:rsidRDefault="0009309F" w:rsidP="0009309F">
      <w:pPr>
        <w:rPr>
          <w:rFonts w:ascii="Arial" w:hAnsi="Arial" w:cs="Arial"/>
          <w:lang w:val="en-US"/>
        </w:rPr>
      </w:pPr>
      <w:r w:rsidRPr="00FC7216">
        <w:rPr>
          <w:rFonts w:ascii="Arial" w:hAnsi="Arial" w:cs="Arial"/>
          <w:lang w:val="en-US"/>
        </w:rPr>
        <w:t>The purpose of the Tasmanian Electoral Commission is to provide independent, impartial and high-quality electoral services to the people of Tasmania.</w:t>
      </w:r>
    </w:p>
    <w:p w14:paraId="42F0417E" w14:textId="16C48BA8" w:rsidR="00F81244" w:rsidRPr="00FC7216" w:rsidRDefault="002975FF" w:rsidP="0009309F">
      <w:pPr>
        <w:rPr>
          <w:rFonts w:ascii="Arial" w:hAnsi="Arial" w:cs="Arial"/>
          <w:lang w:val="en-US"/>
        </w:rPr>
      </w:pPr>
      <w:r w:rsidRPr="00FC7216">
        <w:rPr>
          <w:rFonts w:ascii="Arial" w:hAnsi="Arial" w:cs="Arial"/>
          <w:lang w:val="en-US"/>
        </w:rPr>
        <w:t>The TEC’s</w:t>
      </w:r>
      <w:r w:rsidR="0009309F" w:rsidRPr="00FC7216">
        <w:rPr>
          <w:rFonts w:ascii="Arial" w:hAnsi="Arial" w:cs="Arial"/>
          <w:lang w:val="en-US"/>
        </w:rPr>
        <w:t xml:space="preserve"> vision is to maintain confidence in the integrity of Tasmania’s electoral processes and make it simple for people to understand and participate.</w:t>
      </w:r>
    </w:p>
    <w:p w14:paraId="07F68C15" w14:textId="2EE92D5E" w:rsidR="00210081" w:rsidRPr="00FC7216" w:rsidRDefault="00210081" w:rsidP="00210081">
      <w:pPr>
        <w:rPr>
          <w:rFonts w:ascii="Arial" w:hAnsi="Arial" w:cs="Arial"/>
          <w:lang w:val="en-US"/>
        </w:rPr>
      </w:pPr>
      <w:r w:rsidRPr="00FC7216">
        <w:rPr>
          <w:rFonts w:ascii="Arial" w:hAnsi="Arial" w:cs="Arial"/>
          <w:lang w:val="en-US"/>
        </w:rPr>
        <w:t xml:space="preserve">Further information on </w:t>
      </w:r>
      <w:r w:rsidR="002975FF" w:rsidRPr="00FC7216">
        <w:rPr>
          <w:rFonts w:ascii="Arial" w:hAnsi="Arial" w:cs="Arial"/>
          <w:lang w:val="en-US"/>
        </w:rPr>
        <w:t>the TEC’s</w:t>
      </w:r>
      <w:r w:rsidRPr="00FC7216">
        <w:rPr>
          <w:rFonts w:ascii="Arial" w:hAnsi="Arial" w:cs="Arial"/>
          <w:lang w:val="en-US"/>
        </w:rPr>
        <w:t xml:space="preserve"> Purpose, Vision and Values can be found </w:t>
      </w:r>
      <w:hyperlink r:id="rId14" w:history="1">
        <w:r w:rsidRPr="00FC7216">
          <w:rPr>
            <w:rStyle w:val="Hyperlink"/>
            <w:rFonts w:ascii="Arial" w:hAnsi="Arial" w:cs="Arial"/>
            <w:lang w:val="en-US"/>
          </w:rPr>
          <w:t>Here</w:t>
        </w:r>
      </w:hyperlink>
    </w:p>
    <w:p w14:paraId="320D7D57" w14:textId="77777777" w:rsidR="009919DA" w:rsidRPr="00FC7216" w:rsidRDefault="009919DA" w:rsidP="0009309F">
      <w:pPr>
        <w:rPr>
          <w:rFonts w:ascii="Arial" w:hAnsi="Arial" w:cs="Arial"/>
          <w:sz w:val="16"/>
          <w:szCs w:val="16"/>
          <w:lang w:val="en-US"/>
        </w:rPr>
      </w:pPr>
    </w:p>
    <w:p w14:paraId="1A100512" w14:textId="0E139A37" w:rsidR="00F81244" w:rsidRPr="00FC7216" w:rsidRDefault="00F81244"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Our Culture and our Values</w:t>
      </w:r>
    </w:p>
    <w:p w14:paraId="16F5B927" w14:textId="516C9CFF" w:rsidR="0009309F" w:rsidRPr="00FC7216" w:rsidRDefault="002975FF" w:rsidP="0009309F">
      <w:pPr>
        <w:rPr>
          <w:rFonts w:ascii="Arial" w:hAnsi="Arial" w:cs="Arial"/>
          <w:lang w:val="en-US"/>
        </w:rPr>
      </w:pPr>
      <w:r w:rsidRPr="00FC7216">
        <w:rPr>
          <w:rFonts w:ascii="Arial" w:hAnsi="Arial" w:cs="Arial"/>
          <w:lang w:val="en-US"/>
        </w:rPr>
        <w:t>The TEC is</w:t>
      </w:r>
      <w:r w:rsidR="00210081" w:rsidRPr="00FC7216">
        <w:rPr>
          <w:rFonts w:ascii="Arial" w:hAnsi="Arial" w:cs="Arial"/>
          <w:lang w:val="en-US"/>
        </w:rPr>
        <w:t xml:space="preserve"> a values driven workplace with</w:t>
      </w:r>
      <w:r w:rsidR="0009309F" w:rsidRPr="00FC7216">
        <w:rPr>
          <w:rFonts w:ascii="Arial" w:hAnsi="Arial" w:cs="Arial"/>
          <w:lang w:val="en-US"/>
        </w:rPr>
        <w:t xml:space="preserve"> a strong culture of respect, collaboration and integrity</w:t>
      </w:r>
      <w:r w:rsidRPr="00FC7216">
        <w:rPr>
          <w:rFonts w:ascii="Arial" w:hAnsi="Arial" w:cs="Arial"/>
          <w:lang w:val="en-US"/>
        </w:rPr>
        <w:t>,</w:t>
      </w:r>
      <w:r w:rsidR="0009309F" w:rsidRPr="00FC7216">
        <w:rPr>
          <w:rFonts w:ascii="Arial" w:hAnsi="Arial" w:cs="Arial"/>
          <w:lang w:val="en-US"/>
        </w:rPr>
        <w:t xml:space="preserve"> embracing an adaptable and supportive approach to electoral management. </w:t>
      </w:r>
    </w:p>
    <w:p w14:paraId="0F4E867A" w14:textId="5289B017" w:rsidR="0021537E" w:rsidRPr="00FC7216" w:rsidRDefault="0021537E" w:rsidP="0009309F">
      <w:pPr>
        <w:rPr>
          <w:rFonts w:ascii="Arial" w:hAnsi="Arial" w:cs="Arial"/>
          <w:sz w:val="16"/>
          <w:szCs w:val="16"/>
          <w:lang w:val="en-US"/>
        </w:rPr>
      </w:pPr>
    </w:p>
    <w:p w14:paraId="07353DEC" w14:textId="0ACDB963" w:rsidR="0021537E" w:rsidRPr="00FC7216" w:rsidRDefault="0021537E"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Our Political Neutrality</w:t>
      </w:r>
    </w:p>
    <w:p w14:paraId="28EB5EE6" w14:textId="7DEF9A5D" w:rsidR="00A46414" w:rsidRPr="00FC7216" w:rsidRDefault="0021537E" w:rsidP="0009309F">
      <w:pPr>
        <w:rPr>
          <w:rFonts w:ascii="Arial" w:hAnsi="Arial" w:cs="Arial"/>
          <w:lang w:val="en-US"/>
        </w:rPr>
      </w:pPr>
      <w:r w:rsidRPr="00FC7216">
        <w:rPr>
          <w:rFonts w:ascii="Arial" w:hAnsi="Arial" w:cs="Arial"/>
          <w:lang w:val="en-US"/>
        </w:rPr>
        <w:t xml:space="preserve">The TEC is a politically neutral </w:t>
      </w:r>
      <w:r w:rsidR="00500BB8" w:rsidRPr="00FC7216">
        <w:rPr>
          <w:rFonts w:ascii="Arial" w:hAnsi="Arial" w:cs="Arial"/>
          <w:lang w:val="en-US"/>
        </w:rPr>
        <w:t>workplace</w:t>
      </w:r>
      <w:r w:rsidRPr="00FC7216">
        <w:rPr>
          <w:rFonts w:ascii="Arial" w:hAnsi="Arial" w:cs="Arial"/>
          <w:lang w:val="en-US"/>
        </w:rPr>
        <w:t xml:space="preserve"> w</w:t>
      </w:r>
      <w:r w:rsidR="00500BB8" w:rsidRPr="00FC7216">
        <w:rPr>
          <w:rFonts w:ascii="Arial" w:hAnsi="Arial" w:cs="Arial"/>
          <w:lang w:val="en-US"/>
        </w:rPr>
        <w:t>here</w:t>
      </w:r>
      <w:r w:rsidRPr="00FC7216">
        <w:rPr>
          <w:rFonts w:ascii="Arial" w:hAnsi="Arial" w:cs="Arial"/>
          <w:lang w:val="en-US"/>
        </w:rPr>
        <w:t xml:space="preserve"> all staff </w:t>
      </w:r>
      <w:r w:rsidR="00500BB8" w:rsidRPr="00FC7216">
        <w:rPr>
          <w:rFonts w:ascii="Arial" w:hAnsi="Arial" w:cs="Arial"/>
          <w:lang w:val="en-US"/>
        </w:rPr>
        <w:t xml:space="preserve">are </w:t>
      </w:r>
      <w:r w:rsidR="00C65DC1" w:rsidRPr="00FC7216">
        <w:rPr>
          <w:rFonts w:ascii="Arial" w:hAnsi="Arial" w:cs="Arial"/>
          <w:lang w:val="en-US"/>
        </w:rPr>
        <w:t xml:space="preserve">expected </w:t>
      </w:r>
      <w:r w:rsidR="00500BB8" w:rsidRPr="00FC7216">
        <w:rPr>
          <w:rFonts w:ascii="Arial" w:hAnsi="Arial" w:cs="Arial"/>
          <w:lang w:val="en-US"/>
        </w:rPr>
        <w:t>to</w:t>
      </w:r>
      <w:r w:rsidR="00E323C3" w:rsidRPr="00FC7216">
        <w:rPr>
          <w:rFonts w:ascii="Arial" w:hAnsi="Arial" w:cs="Arial"/>
          <w:lang w:val="en-US"/>
        </w:rPr>
        <w:t xml:space="preserve"> </w:t>
      </w:r>
      <w:r w:rsidR="00210081" w:rsidRPr="00FC7216">
        <w:rPr>
          <w:rFonts w:ascii="Arial" w:hAnsi="Arial" w:cs="Arial"/>
          <w:lang w:val="en-US"/>
        </w:rPr>
        <w:t>m</w:t>
      </w:r>
      <w:r w:rsidR="00C65DC1" w:rsidRPr="00FC7216">
        <w:rPr>
          <w:rFonts w:ascii="Arial" w:hAnsi="Arial" w:cs="Arial"/>
          <w:lang w:val="en-US"/>
        </w:rPr>
        <w:t>aintain</w:t>
      </w:r>
      <w:r w:rsidR="00210081" w:rsidRPr="00FC7216">
        <w:rPr>
          <w:rFonts w:ascii="Arial" w:hAnsi="Arial" w:cs="Arial"/>
          <w:lang w:val="en-US"/>
        </w:rPr>
        <w:t xml:space="preserve"> </w:t>
      </w:r>
      <w:r w:rsidR="00C65DC1" w:rsidRPr="00FC7216">
        <w:rPr>
          <w:rFonts w:ascii="Arial" w:hAnsi="Arial" w:cs="Arial"/>
          <w:lang w:val="en-US"/>
        </w:rPr>
        <w:t xml:space="preserve">a </w:t>
      </w:r>
      <w:r w:rsidR="00210081" w:rsidRPr="00FC7216">
        <w:rPr>
          <w:rFonts w:ascii="Arial" w:hAnsi="Arial" w:cs="Arial"/>
          <w:lang w:val="en-US"/>
        </w:rPr>
        <w:t>high standard of impartiality.</w:t>
      </w:r>
    </w:p>
    <w:p w14:paraId="06F77194" w14:textId="463C1A4C" w:rsidR="00500BB8" w:rsidRPr="00FC7216" w:rsidRDefault="00A46414" w:rsidP="0009309F">
      <w:pPr>
        <w:rPr>
          <w:rFonts w:ascii="Arial" w:hAnsi="Arial" w:cs="Arial"/>
          <w:lang w:val="en-US"/>
        </w:rPr>
      </w:pPr>
      <w:r w:rsidRPr="00FC7216">
        <w:rPr>
          <w:rFonts w:ascii="Arial" w:hAnsi="Arial" w:cs="Arial"/>
          <w:lang w:val="en-US"/>
        </w:rPr>
        <w:t xml:space="preserve">The TEC has been granted an exemption by the Anti-Discrimination Commissioner which allows for the consideration of </w:t>
      </w:r>
      <w:r w:rsidR="002975FF" w:rsidRPr="00FC7216">
        <w:rPr>
          <w:rFonts w:ascii="Arial" w:hAnsi="Arial" w:cs="Arial"/>
          <w:lang w:val="en-US"/>
        </w:rPr>
        <w:t xml:space="preserve">a candidate’s </w:t>
      </w:r>
      <w:r w:rsidRPr="00FC7216">
        <w:rPr>
          <w:rFonts w:ascii="Arial" w:hAnsi="Arial" w:cs="Arial"/>
          <w:lang w:val="en-US"/>
        </w:rPr>
        <w:t xml:space="preserve">political affiliation or public </w:t>
      </w:r>
      <w:r w:rsidR="00C65DC1" w:rsidRPr="00FC7216">
        <w:rPr>
          <w:rFonts w:ascii="Arial" w:hAnsi="Arial" w:cs="Arial"/>
          <w:lang w:val="en-US"/>
        </w:rPr>
        <w:t>support</w:t>
      </w:r>
      <w:r w:rsidRPr="00FC7216">
        <w:rPr>
          <w:rFonts w:ascii="Arial" w:hAnsi="Arial" w:cs="Arial"/>
          <w:lang w:val="en-US"/>
        </w:rPr>
        <w:t xml:space="preserve"> of political</w:t>
      </w:r>
      <w:r w:rsidR="00C65DC1" w:rsidRPr="00FC7216">
        <w:rPr>
          <w:rFonts w:ascii="Arial" w:hAnsi="Arial" w:cs="Arial"/>
          <w:lang w:val="en-US"/>
        </w:rPr>
        <w:t xml:space="preserve"> issues</w:t>
      </w:r>
      <w:r w:rsidRPr="00FC7216">
        <w:rPr>
          <w:rFonts w:ascii="Arial" w:hAnsi="Arial" w:cs="Arial"/>
          <w:lang w:val="en-US"/>
        </w:rPr>
        <w:t xml:space="preserve"> when determining whether or not </w:t>
      </w:r>
      <w:r w:rsidR="002975FF" w:rsidRPr="00FC7216">
        <w:rPr>
          <w:rFonts w:ascii="Arial" w:hAnsi="Arial" w:cs="Arial"/>
          <w:lang w:val="en-US"/>
        </w:rPr>
        <w:t>they</w:t>
      </w:r>
      <w:r w:rsidRPr="00FC7216">
        <w:rPr>
          <w:rFonts w:ascii="Arial" w:hAnsi="Arial" w:cs="Arial"/>
          <w:lang w:val="en-US"/>
        </w:rPr>
        <w:t xml:space="preserve"> should be employed</w:t>
      </w:r>
      <w:r w:rsidR="00C65DC1" w:rsidRPr="00FC7216">
        <w:rPr>
          <w:rFonts w:ascii="Arial" w:hAnsi="Arial" w:cs="Arial"/>
          <w:lang w:val="en-US"/>
        </w:rPr>
        <w:t>.</w:t>
      </w:r>
      <w:r w:rsidRPr="00FC7216">
        <w:rPr>
          <w:rFonts w:ascii="Arial" w:hAnsi="Arial" w:cs="Arial"/>
          <w:lang w:val="en-US"/>
        </w:rPr>
        <w:t xml:space="preserve"> </w:t>
      </w:r>
    </w:p>
    <w:p w14:paraId="448F1DAA" w14:textId="77777777" w:rsidR="00210081" w:rsidRPr="00FC7216" w:rsidRDefault="00210081" w:rsidP="0009309F">
      <w:pPr>
        <w:rPr>
          <w:rFonts w:ascii="Arial" w:hAnsi="Arial" w:cs="Arial"/>
          <w:sz w:val="16"/>
          <w:szCs w:val="16"/>
          <w:lang w:val="en-US"/>
        </w:rPr>
      </w:pPr>
    </w:p>
    <w:p w14:paraId="44F1BF71" w14:textId="7D4C3BA2" w:rsidR="00F81244" w:rsidRPr="00FC7216" w:rsidRDefault="00F81244"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Our Team</w:t>
      </w:r>
    </w:p>
    <w:p w14:paraId="7098B41A" w14:textId="29DD8E90" w:rsidR="00F81244" w:rsidRPr="00FC7216" w:rsidRDefault="002975FF" w:rsidP="0009309F">
      <w:pPr>
        <w:rPr>
          <w:rFonts w:ascii="Arial" w:hAnsi="Arial" w:cs="Arial"/>
          <w:lang w:val="en-US"/>
        </w:rPr>
      </w:pPr>
      <w:r w:rsidRPr="00FC7216">
        <w:rPr>
          <w:rFonts w:ascii="Arial" w:hAnsi="Arial" w:cs="Arial"/>
          <w:lang w:val="en-US"/>
        </w:rPr>
        <w:t>The TEC is</w:t>
      </w:r>
      <w:r w:rsidR="00F81244" w:rsidRPr="00FC7216">
        <w:rPr>
          <w:rFonts w:ascii="Arial" w:hAnsi="Arial" w:cs="Arial"/>
          <w:lang w:val="en-US"/>
        </w:rPr>
        <w:t xml:space="preserve"> a team of 15 permanent staff covering 6 key areas of Executive, Policy, Finance, Operations, IT and Communications/Administration. </w:t>
      </w:r>
      <w:r w:rsidR="00A54EA1" w:rsidRPr="00FC7216">
        <w:rPr>
          <w:rFonts w:ascii="Arial" w:hAnsi="Arial" w:cs="Arial"/>
          <w:lang w:val="en-US"/>
        </w:rPr>
        <w:t xml:space="preserve">In the lead up to and during the conduct of major elections, </w:t>
      </w:r>
      <w:r w:rsidRPr="00FC7216">
        <w:rPr>
          <w:rFonts w:ascii="Arial" w:hAnsi="Arial" w:cs="Arial"/>
          <w:lang w:val="en-US"/>
        </w:rPr>
        <w:t>th</w:t>
      </w:r>
      <w:r w:rsidR="00881926" w:rsidRPr="00FC7216">
        <w:rPr>
          <w:rFonts w:ascii="Arial" w:hAnsi="Arial" w:cs="Arial"/>
          <w:lang w:val="en-US"/>
        </w:rPr>
        <w:t>e</w:t>
      </w:r>
      <w:r w:rsidRPr="00FC7216">
        <w:rPr>
          <w:rFonts w:ascii="Arial" w:hAnsi="Arial" w:cs="Arial"/>
          <w:lang w:val="en-US"/>
        </w:rPr>
        <w:t xml:space="preserve"> team is</w:t>
      </w:r>
      <w:r w:rsidR="00A54EA1" w:rsidRPr="00FC7216">
        <w:rPr>
          <w:rFonts w:ascii="Arial" w:hAnsi="Arial" w:cs="Arial"/>
          <w:lang w:val="en-US"/>
        </w:rPr>
        <w:t xml:space="preserve"> supported by experienced casual election staff.</w:t>
      </w:r>
    </w:p>
    <w:p w14:paraId="16D416A2" w14:textId="4780F7A2" w:rsidR="00A54EA1" w:rsidRPr="00FC7216" w:rsidRDefault="00881926" w:rsidP="0009309F">
      <w:pPr>
        <w:rPr>
          <w:rFonts w:ascii="Arial" w:hAnsi="Arial" w:cs="Arial"/>
          <w:lang w:val="en-US"/>
        </w:rPr>
      </w:pPr>
      <w:r w:rsidRPr="00FC7216">
        <w:rPr>
          <w:rFonts w:ascii="Arial" w:hAnsi="Arial" w:cs="Arial"/>
          <w:lang w:val="en-US"/>
        </w:rPr>
        <w:t>TEC staff e</w:t>
      </w:r>
      <w:r w:rsidR="00A54EA1" w:rsidRPr="00FC7216">
        <w:rPr>
          <w:rFonts w:ascii="Arial" w:hAnsi="Arial" w:cs="Arial"/>
          <w:lang w:val="en-US"/>
        </w:rPr>
        <w:t>njoy working in a collaborative manner, welcoming and valuing input from across the team.</w:t>
      </w:r>
    </w:p>
    <w:p w14:paraId="4E97E970" w14:textId="77777777" w:rsidR="009919DA" w:rsidRPr="00FC7216" w:rsidRDefault="009919DA" w:rsidP="0009309F">
      <w:pPr>
        <w:rPr>
          <w:rFonts w:ascii="Arial" w:hAnsi="Arial" w:cs="Arial"/>
          <w:sz w:val="16"/>
          <w:szCs w:val="16"/>
          <w:lang w:val="en-US"/>
        </w:rPr>
      </w:pPr>
    </w:p>
    <w:p w14:paraId="6230601D" w14:textId="079FAFB6" w:rsidR="00A54EA1" w:rsidRPr="00FC7216" w:rsidRDefault="00A54EA1"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Our Core Business</w:t>
      </w:r>
    </w:p>
    <w:p w14:paraId="674CE9B5" w14:textId="00D8028C" w:rsidR="002A05E1" w:rsidRPr="00FC7216" w:rsidRDefault="002A05E1" w:rsidP="00016F42">
      <w:pPr>
        <w:spacing w:after="0"/>
        <w:rPr>
          <w:rFonts w:ascii="Arial" w:hAnsi="Arial" w:cs="Arial"/>
          <w:lang w:eastAsia="en-GB"/>
        </w:rPr>
      </w:pPr>
      <w:r w:rsidRPr="00FC7216">
        <w:rPr>
          <w:rFonts w:ascii="Arial" w:hAnsi="Arial" w:cs="Arial"/>
          <w:lang w:eastAsia="en-GB"/>
        </w:rPr>
        <w:t>The Commission and the Electoral Commissioner have statutory responsibilities for the independent and impartial conduct of elections and referendums.</w:t>
      </w:r>
    </w:p>
    <w:p w14:paraId="0CAEAB2F" w14:textId="3C2844A0" w:rsidR="002A05E1" w:rsidRPr="00FC7216" w:rsidRDefault="002A05E1" w:rsidP="00C65DC1">
      <w:pPr>
        <w:shd w:val="clear" w:color="auto" w:fill="FEFEFE"/>
        <w:spacing w:before="100" w:beforeAutospacing="1" w:after="0"/>
        <w:rPr>
          <w:rFonts w:ascii="Arial" w:hAnsi="Arial" w:cs="Arial"/>
          <w:lang w:eastAsia="en-GB"/>
        </w:rPr>
      </w:pPr>
      <w:r w:rsidRPr="00FC7216">
        <w:rPr>
          <w:rFonts w:ascii="Arial" w:hAnsi="Arial" w:cs="Arial"/>
          <w:lang w:eastAsia="en-GB"/>
        </w:rPr>
        <w:lastRenderedPageBreak/>
        <w:t>The Commission undertakes the conduct of:</w:t>
      </w:r>
    </w:p>
    <w:p w14:paraId="23E9E92A"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House of Assembly elections, by-elections and recounts;</w:t>
      </w:r>
    </w:p>
    <w:p w14:paraId="5FA2C7D9"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Legislative Council elections and by-elections;</w:t>
      </w:r>
    </w:p>
    <w:p w14:paraId="02D9B6A3"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Local Government elections, by-elections and recounts;</w:t>
      </w:r>
    </w:p>
    <w:p w14:paraId="754046C8"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State referendums;</w:t>
      </w:r>
    </w:p>
    <w:p w14:paraId="3DE85002"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Local Government elector polls;</w:t>
      </w:r>
    </w:p>
    <w:p w14:paraId="1452361E"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the implementation of electoral boundary redistributions;</w:t>
      </w:r>
    </w:p>
    <w:p w14:paraId="30F2EB20"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Aboriginal Land Council of Tasmania elections;</w:t>
      </w:r>
    </w:p>
    <w:p w14:paraId="7232F660"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other statutory elections;</w:t>
      </w:r>
    </w:p>
    <w:p w14:paraId="2822B338" w14:textId="77777777" w:rsidR="002A05E1" w:rsidRPr="00FC7216" w:rsidRDefault="002A05E1" w:rsidP="002A05E1">
      <w:pPr>
        <w:numPr>
          <w:ilvl w:val="0"/>
          <w:numId w:val="28"/>
        </w:numPr>
        <w:shd w:val="clear" w:color="auto" w:fill="FEFEFE"/>
        <w:spacing w:after="0"/>
        <w:rPr>
          <w:rFonts w:ascii="Arial" w:hAnsi="Arial" w:cs="Arial"/>
          <w:lang w:eastAsia="en-GB"/>
        </w:rPr>
      </w:pPr>
      <w:r w:rsidRPr="00FC7216">
        <w:rPr>
          <w:rFonts w:ascii="Arial" w:hAnsi="Arial" w:cs="Arial"/>
          <w:lang w:eastAsia="en-GB"/>
        </w:rPr>
        <w:t>semi-government and other elections conducted in the public interest; and</w:t>
      </w:r>
    </w:p>
    <w:p w14:paraId="350786CA" w14:textId="158E20ED" w:rsidR="002A05E1" w:rsidRPr="00FC7216" w:rsidRDefault="002A05E1" w:rsidP="0009309F">
      <w:pPr>
        <w:numPr>
          <w:ilvl w:val="0"/>
          <w:numId w:val="28"/>
        </w:numPr>
        <w:shd w:val="clear" w:color="auto" w:fill="FEFEFE"/>
        <w:spacing w:after="0"/>
        <w:rPr>
          <w:rFonts w:ascii="Arial" w:hAnsi="Arial" w:cs="Arial"/>
          <w:lang w:eastAsia="en-GB"/>
        </w:rPr>
      </w:pPr>
      <w:r w:rsidRPr="00FC7216">
        <w:rPr>
          <w:rFonts w:ascii="Arial" w:hAnsi="Arial" w:cs="Arial"/>
          <w:lang w:eastAsia="en-GB"/>
        </w:rPr>
        <w:t>public electoral information programs.</w:t>
      </w:r>
    </w:p>
    <w:p w14:paraId="79937DC3" w14:textId="77777777" w:rsidR="00210081" w:rsidRPr="00FC7216" w:rsidRDefault="00210081" w:rsidP="00C65DC1">
      <w:pPr>
        <w:shd w:val="clear" w:color="auto" w:fill="FEFEFE"/>
        <w:spacing w:after="0"/>
        <w:ind w:left="720"/>
        <w:rPr>
          <w:rFonts w:ascii="Arial" w:hAnsi="Arial" w:cs="Arial"/>
          <w:sz w:val="36"/>
          <w:szCs w:val="36"/>
          <w:lang w:eastAsia="en-GB"/>
        </w:rPr>
      </w:pPr>
    </w:p>
    <w:p w14:paraId="4ACD32C7" w14:textId="2AF012FA" w:rsidR="006662DE" w:rsidRPr="00FC7216" w:rsidRDefault="00D804E6" w:rsidP="0009309F">
      <w:pPr>
        <w:rPr>
          <w:rFonts w:ascii="Arial" w:hAnsi="Arial" w:cs="Arial"/>
          <w:b/>
          <w:bCs/>
          <w:color w:val="76923C" w:themeColor="accent3" w:themeShade="BF"/>
          <w:sz w:val="28"/>
          <w:szCs w:val="28"/>
          <w:lang w:val="en-US"/>
        </w:rPr>
      </w:pPr>
      <w:r w:rsidRPr="00FC7216">
        <w:rPr>
          <w:rFonts w:ascii="Arial" w:hAnsi="Arial" w:cs="Arial"/>
          <w:b/>
          <w:bCs/>
          <w:color w:val="76923C" w:themeColor="accent3" w:themeShade="BF"/>
          <w:sz w:val="28"/>
          <w:szCs w:val="28"/>
          <w:lang w:val="en-US"/>
        </w:rPr>
        <w:t>Considerations for you</w:t>
      </w:r>
    </w:p>
    <w:p w14:paraId="5CD70CFC" w14:textId="116B15ED" w:rsidR="00500BB8" w:rsidRPr="00FC7216" w:rsidRDefault="00500BB8" w:rsidP="00D804E6">
      <w:pPr>
        <w:rPr>
          <w:rFonts w:ascii="Arial" w:hAnsi="Arial" w:cs="Arial"/>
          <w:lang w:val="en-US"/>
        </w:rPr>
      </w:pPr>
      <w:r w:rsidRPr="00FC7216">
        <w:rPr>
          <w:rFonts w:ascii="Arial" w:hAnsi="Arial" w:cs="Arial"/>
          <w:lang w:val="en-US"/>
        </w:rPr>
        <w:t xml:space="preserve">Working in the elections environment can be a </w:t>
      </w:r>
      <w:r w:rsidR="00210081" w:rsidRPr="00FC7216">
        <w:rPr>
          <w:rFonts w:ascii="Arial" w:hAnsi="Arial" w:cs="Arial"/>
          <w:lang w:val="en-US"/>
        </w:rPr>
        <w:t>challenging yet h</w:t>
      </w:r>
      <w:r w:rsidRPr="00FC7216">
        <w:rPr>
          <w:rFonts w:ascii="Arial" w:hAnsi="Arial" w:cs="Arial"/>
          <w:lang w:val="en-US"/>
        </w:rPr>
        <w:t xml:space="preserve">ighly rewarding career where </w:t>
      </w:r>
      <w:r w:rsidR="00881926" w:rsidRPr="00FC7216">
        <w:rPr>
          <w:rFonts w:ascii="Arial" w:hAnsi="Arial" w:cs="Arial"/>
          <w:lang w:val="en-US"/>
        </w:rPr>
        <w:t>staff</w:t>
      </w:r>
      <w:r w:rsidRPr="00FC7216">
        <w:rPr>
          <w:rFonts w:ascii="Arial" w:hAnsi="Arial" w:cs="Arial"/>
          <w:lang w:val="en-US"/>
        </w:rPr>
        <w:t xml:space="preserve"> learn the “trade” of electoral management</w:t>
      </w:r>
      <w:r w:rsidR="00881926" w:rsidRPr="00FC7216">
        <w:rPr>
          <w:rFonts w:ascii="Arial" w:hAnsi="Arial" w:cs="Arial"/>
          <w:lang w:val="en-US"/>
        </w:rPr>
        <w:t>. It is appreciated</w:t>
      </w:r>
      <w:r w:rsidR="00C65DC1" w:rsidRPr="00FC7216">
        <w:rPr>
          <w:rFonts w:ascii="Arial" w:hAnsi="Arial" w:cs="Arial"/>
          <w:lang w:val="en-US"/>
        </w:rPr>
        <w:t xml:space="preserve"> that </w:t>
      </w:r>
      <w:r w:rsidR="00881926" w:rsidRPr="00FC7216">
        <w:rPr>
          <w:rFonts w:ascii="Arial" w:hAnsi="Arial" w:cs="Arial"/>
          <w:lang w:val="en-US"/>
        </w:rPr>
        <w:t>this environment</w:t>
      </w:r>
      <w:r w:rsidRPr="00FC7216">
        <w:rPr>
          <w:rFonts w:ascii="Arial" w:hAnsi="Arial" w:cs="Arial"/>
          <w:lang w:val="en-US"/>
        </w:rPr>
        <w:t xml:space="preserve"> may not be for everyone</w:t>
      </w:r>
      <w:r w:rsidR="00C65DC1" w:rsidRPr="00FC7216">
        <w:rPr>
          <w:rFonts w:ascii="Arial" w:hAnsi="Arial" w:cs="Arial"/>
          <w:lang w:val="en-US"/>
        </w:rPr>
        <w:t>,</w:t>
      </w:r>
      <w:r w:rsidRPr="00FC7216">
        <w:rPr>
          <w:rFonts w:ascii="Arial" w:hAnsi="Arial" w:cs="Arial"/>
          <w:lang w:val="en-US"/>
        </w:rPr>
        <w:t xml:space="preserve"> so </w:t>
      </w:r>
      <w:r w:rsidR="00881926" w:rsidRPr="00FC7216">
        <w:rPr>
          <w:rFonts w:ascii="Arial" w:hAnsi="Arial" w:cs="Arial"/>
          <w:lang w:val="en-US"/>
        </w:rPr>
        <w:t>please consider the following</w:t>
      </w:r>
      <w:r w:rsidR="00C65DC1" w:rsidRPr="00FC7216">
        <w:rPr>
          <w:rFonts w:ascii="Arial" w:hAnsi="Arial" w:cs="Arial"/>
          <w:lang w:val="en-US"/>
        </w:rPr>
        <w:t>:</w:t>
      </w:r>
    </w:p>
    <w:p w14:paraId="7E8A7E66" w14:textId="77777777" w:rsidR="00226416" w:rsidRPr="00FC7216" w:rsidRDefault="0032243D" w:rsidP="0032243D">
      <w:pPr>
        <w:pStyle w:val="ListParagraph"/>
        <w:numPr>
          <w:ilvl w:val="0"/>
          <w:numId w:val="29"/>
        </w:numPr>
        <w:rPr>
          <w:rFonts w:ascii="Arial" w:hAnsi="Arial" w:cs="Arial"/>
          <w:sz w:val="24"/>
          <w:szCs w:val="24"/>
          <w:lang w:val="en-US"/>
        </w:rPr>
      </w:pPr>
      <w:r w:rsidRPr="00FC7216">
        <w:rPr>
          <w:rFonts w:ascii="Arial" w:hAnsi="Arial" w:cs="Arial"/>
          <w:sz w:val="24"/>
          <w:szCs w:val="24"/>
          <w:lang w:val="en-US"/>
        </w:rPr>
        <w:t>Outside of election periods our work environment is one of general administration, reviewing, planning, and preparing for future events.</w:t>
      </w:r>
    </w:p>
    <w:p w14:paraId="278A943B" w14:textId="3E8B12CA" w:rsidR="00D804E6" w:rsidRPr="00FC7216" w:rsidRDefault="00C54B63" w:rsidP="0032243D">
      <w:pPr>
        <w:pStyle w:val="ListParagraph"/>
        <w:numPr>
          <w:ilvl w:val="0"/>
          <w:numId w:val="29"/>
        </w:numPr>
        <w:rPr>
          <w:rFonts w:ascii="Arial" w:hAnsi="Arial" w:cs="Arial"/>
          <w:sz w:val="24"/>
          <w:szCs w:val="24"/>
          <w:lang w:val="en-US"/>
        </w:rPr>
      </w:pPr>
      <w:r w:rsidRPr="00FC7216">
        <w:rPr>
          <w:rFonts w:ascii="Arial" w:hAnsi="Arial" w:cs="Arial"/>
          <w:sz w:val="24"/>
          <w:szCs w:val="24"/>
          <w:lang w:val="en-US"/>
        </w:rPr>
        <w:t xml:space="preserve">House of Assembly, Legislative Council and Local Government </w:t>
      </w:r>
      <w:r w:rsidR="00D804E6" w:rsidRPr="00FC7216">
        <w:rPr>
          <w:rFonts w:ascii="Arial" w:hAnsi="Arial" w:cs="Arial"/>
          <w:sz w:val="24"/>
          <w:szCs w:val="24"/>
          <w:lang w:val="en-US"/>
        </w:rPr>
        <w:t>elections are intensely busy time</w:t>
      </w:r>
      <w:r w:rsidRPr="00FC7216">
        <w:rPr>
          <w:rFonts w:ascii="Arial" w:hAnsi="Arial" w:cs="Arial"/>
          <w:sz w:val="24"/>
          <w:szCs w:val="24"/>
          <w:lang w:val="en-US"/>
        </w:rPr>
        <w:t>s</w:t>
      </w:r>
      <w:r w:rsidR="00D804E6" w:rsidRPr="00FC7216">
        <w:rPr>
          <w:rFonts w:ascii="Arial" w:hAnsi="Arial" w:cs="Arial"/>
          <w:sz w:val="24"/>
          <w:szCs w:val="24"/>
          <w:lang w:val="en-US"/>
        </w:rPr>
        <w:t xml:space="preserve"> with </w:t>
      </w:r>
      <w:r w:rsidRPr="00FC7216">
        <w:rPr>
          <w:rFonts w:ascii="Arial" w:hAnsi="Arial" w:cs="Arial"/>
          <w:sz w:val="24"/>
          <w:szCs w:val="24"/>
          <w:lang w:val="en-US"/>
        </w:rPr>
        <w:t>real pressure</w:t>
      </w:r>
      <w:r w:rsidR="00210081" w:rsidRPr="00FC7216">
        <w:rPr>
          <w:rFonts w:ascii="Arial" w:hAnsi="Arial" w:cs="Arial"/>
          <w:sz w:val="24"/>
          <w:szCs w:val="24"/>
          <w:lang w:val="en-US"/>
        </w:rPr>
        <w:t>s</w:t>
      </w:r>
      <w:r w:rsidRPr="00FC7216">
        <w:rPr>
          <w:rFonts w:ascii="Arial" w:hAnsi="Arial" w:cs="Arial"/>
          <w:sz w:val="24"/>
          <w:szCs w:val="24"/>
          <w:lang w:val="en-US"/>
        </w:rPr>
        <w:t xml:space="preserve"> and </w:t>
      </w:r>
      <w:r w:rsidR="00D804E6" w:rsidRPr="00FC7216">
        <w:rPr>
          <w:rFonts w:ascii="Arial" w:hAnsi="Arial" w:cs="Arial"/>
          <w:sz w:val="24"/>
          <w:szCs w:val="24"/>
          <w:lang w:val="en-US"/>
        </w:rPr>
        <w:t xml:space="preserve">immutable deadlines. </w:t>
      </w:r>
      <w:r w:rsidR="00881926" w:rsidRPr="00FC7216">
        <w:rPr>
          <w:rFonts w:ascii="Arial" w:hAnsi="Arial" w:cs="Arial"/>
          <w:sz w:val="24"/>
          <w:szCs w:val="24"/>
          <w:lang w:val="en-US"/>
        </w:rPr>
        <w:t>All staff w</w:t>
      </w:r>
      <w:r w:rsidR="00D804E6" w:rsidRPr="00FC7216">
        <w:rPr>
          <w:rFonts w:ascii="Arial" w:hAnsi="Arial" w:cs="Arial"/>
          <w:sz w:val="24"/>
          <w:szCs w:val="24"/>
          <w:lang w:val="en-US"/>
        </w:rPr>
        <w:t xml:space="preserve">ill experience long days and </w:t>
      </w:r>
      <w:r w:rsidR="00210081" w:rsidRPr="00FC7216">
        <w:rPr>
          <w:rFonts w:ascii="Arial" w:hAnsi="Arial" w:cs="Arial"/>
          <w:sz w:val="24"/>
          <w:szCs w:val="24"/>
          <w:lang w:val="en-US"/>
        </w:rPr>
        <w:t xml:space="preserve">often </w:t>
      </w:r>
      <w:r w:rsidR="00D804E6" w:rsidRPr="00FC7216">
        <w:rPr>
          <w:rFonts w:ascii="Arial" w:hAnsi="Arial" w:cs="Arial"/>
          <w:sz w:val="24"/>
          <w:szCs w:val="24"/>
          <w:lang w:val="en-US"/>
        </w:rPr>
        <w:t>weekend work</w:t>
      </w:r>
      <w:r w:rsidR="00210081" w:rsidRPr="00FC7216">
        <w:rPr>
          <w:rFonts w:ascii="Arial" w:hAnsi="Arial" w:cs="Arial"/>
          <w:sz w:val="24"/>
          <w:szCs w:val="24"/>
          <w:lang w:val="en-US"/>
        </w:rPr>
        <w:t>.</w:t>
      </w:r>
    </w:p>
    <w:p w14:paraId="5554BFBB" w14:textId="34E7FBA7" w:rsidR="00D804E6" w:rsidRPr="00FC7216" w:rsidRDefault="00D804E6" w:rsidP="00500BB8">
      <w:pPr>
        <w:pStyle w:val="ListParagraph"/>
        <w:numPr>
          <w:ilvl w:val="0"/>
          <w:numId w:val="29"/>
        </w:numPr>
        <w:rPr>
          <w:rFonts w:ascii="Arial" w:hAnsi="Arial" w:cs="Arial"/>
          <w:sz w:val="24"/>
          <w:szCs w:val="24"/>
          <w:lang w:val="en-US"/>
        </w:rPr>
      </w:pPr>
      <w:r w:rsidRPr="00FC7216">
        <w:rPr>
          <w:rFonts w:ascii="Arial" w:hAnsi="Arial" w:cs="Arial"/>
          <w:sz w:val="24"/>
          <w:szCs w:val="24"/>
          <w:lang w:val="en-US"/>
        </w:rPr>
        <w:t>The 8 – 10 week</w:t>
      </w:r>
      <w:r w:rsidR="00C65DC1" w:rsidRPr="00FC7216">
        <w:rPr>
          <w:rFonts w:ascii="Arial" w:hAnsi="Arial" w:cs="Arial"/>
          <w:sz w:val="24"/>
          <w:szCs w:val="24"/>
          <w:lang w:val="en-US"/>
        </w:rPr>
        <w:t>s</w:t>
      </w:r>
      <w:r w:rsidRPr="00FC7216">
        <w:rPr>
          <w:rFonts w:ascii="Arial" w:hAnsi="Arial" w:cs="Arial"/>
          <w:sz w:val="24"/>
          <w:szCs w:val="24"/>
          <w:lang w:val="en-US"/>
        </w:rPr>
        <w:t xml:space="preserve"> </w:t>
      </w:r>
      <w:r w:rsidR="00016F42" w:rsidRPr="00FC7216">
        <w:rPr>
          <w:rFonts w:ascii="Arial" w:hAnsi="Arial" w:cs="Arial"/>
          <w:sz w:val="24"/>
          <w:szCs w:val="24"/>
          <w:lang w:val="en-US"/>
        </w:rPr>
        <w:t xml:space="preserve">of </w:t>
      </w:r>
      <w:r w:rsidR="00A46414" w:rsidRPr="00FC7216">
        <w:rPr>
          <w:rFonts w:ascii="Arial" w:hAnsi="Arial" w:cs="Arial"/>
          <w:sz w:val="24"/>
          <w:szCs w:val="24"/>
          <w:lang w:val="en-US"/>
        </w:rPr>
        <w:t xml:space="preserve">an </w:t>
      </w:r>
      <w:r w:rsidR="00016F42" w:rsidRPr="00FC7216">
        <w:rPr>
          <w:rFonts w:ascii="Arial" w:hAnsi="Arial" w:cs="Arial"/>
          <w:sz w:val="24"/>
          <w:szCs w:val="24"/>
          <w:lang w:val="en-US"/>
        </w:rPr>
        <w:t>election</w:t>
      </w:r>
      <w:r w:rsidRPr="00FC7216">
        <w:rPr>
          <w:rFonts w:ascii="Arial" w:hAnsi="Arial" w:cs="Arial"/>
          <w:sz w:val="24"/>
          <w:szCs w:val="24"/>
          <w:lang w:val="en-US"/>
        </w:rPr>
        <w:t xml:space="preserve"> </w:t>
      </w:r>
      <w:r w:rsidR="00CD677D" w:rsidRPr="00FC7216">
        <w:rPr>
          <w:rFonts w:ascii="Arial" w:hAnsi="Arial" w:cs="Arial"/>
          <w:sz w:val="24"/>
          <w:szCs w:val="24"/>
          <w:lang w:val="en-US"/>
        </w:rPr>
        <w:t xml:space="preserve">can be demanding and requires </w:t>
      </w:r>
      <w:r w:rsidR="00881926" w:rsidRPr="00FC7216">
        <w:rPr>
          <w:rFonts w:ascii="Arial" w:hAnsi="Arial" w:cs="Arial"/>
          <w:sz w:val="24"/>
          <w:szCs w:val="24"/>
          <w:lang w:val="en-US"/>
        </w:rPr>
        <w:t>both physical and mental strength and</w:t>
      </w:r>
      <w:r w:rsidR="00CD677D" w:rsidRPr="00FC7216">
        <w:rPr>
          <w:rFonts w:ascii="Arial" w:hAnsi="Arial" w:cs="Arial"/>
          <w:sz w:val="24"/>
          <w:szCs w:val="24"/>
          <w:lang w:val="en-US"/>
        </w:rPr>
        <w:t xml:space="preserve"> </w:t>
      </w:r>
      <w:r w:rsidRPr="00FC7216">
        <w:rPr>
          <w:rFonts w:ascii="Arial" w:hAnsi="Arial" w:cs="Arial"/>
          <w:sz w:val="24"/>
          <w:szCs w:val="24"/>
          <w:lang w:val="en-US"/>
        </w:rPr>
        <w:t xml:space="preserve">resilience. </w:t>
      </w:r>
    </w:p>
    <w:p w14:paraId="5714D5A3" w14:textId="745307CA" w:rsidR="00D804E6" w:rsidRPr="00FC7216" w:rsidRDefault="00881926" w:rsidP="00C65DC1">
      <w:pPr>
        <w:pStyle w:val="ListParagraph"/>
        <w:numPr>
          <w:ilvl w:val="0"/>
          <w:numId w:val="29"/>
        </w:numPr>
        <w:rPr>
          <w:rFonts w:ascii="Arial" w:hAnsi="Arial" w:cs="Arial"/>
          <w:sz w:val="24"/>
          <w:szCs w:val="24"/>
          <w:lang w:val="en-US"/>
        </w:rPr>
      </w:pPr>
      <w:r w:rsidRPr="00FC7216">
        <w:rPr>
          <w:rFonts w:ascii="Arial" w:hAnsi="Arial" w:cs="Arial"/>
          <w:sz w:val="24"/>
          <w:szCs w:val="24"/>
          <w:lang w:val="en-US"/>
        </w:rPr>
        <w:t>Mostly during election time, s</w:t>
      </w:r>
      <w:r w:rsidR="00016F42" w:rsidRPr="00FC7216">
        <w:rPr>
          <w:rFonts w:ascii="Arial" w:hAnsi="Arial" w:cs="Arial"/>
          <w:sz w:val="24"/>
          <w:szCs w:val="24"/>
          <w:lang w:val="en-US"/>
        </w:rPr>
        <w:t>ome roles</w:t>
      </w:r>
      <w:r w:rsidR="00D804E6" w:rsidRPr="00FC7216">
        <w:rPr>
          <w:rFonts w:ascii="Arial" w:hAnsi="Arial" w:cs="Arial"/>
          <w:sz w:val="24"/>
          <w:szCs w:val="24"/>
          <w:lang w:val="en-US"/>
        </w:rPr>
        <w:t xml:space="preserve"> require irregular</w:t>
      </w:r>
      <w:r w:rsidRPr="00FC7216">
        <w:rPr>
          <w:rFonts w:ascii="Arial" w:hAnsi="Arial" w:cs="Arial"/>
          <w:sz w:val="24"/>
          <w:szCs w:val="24"/>
          <w:lang w:val="en-US"/>
        </w:rPr>
        <w:t xml:space="preserve"> </w:t>
      </w:r>
      <w:r w:rsidR="00D804E6" w:rsidRPr="00FC7216">
        <w:rPr>
          <w:rFonts w:ascii="Arial" w:hAnsi="Arial" w:cs="Arial"/>
          <w:sz w:val="24"/>
          <w:szCs w:val="24"/>
          <w:lang w:val="en-US"/>
        </w:rPr>
        <w:t>travel to other areas of the state</w:t>
      </w:r>
      <w:r w:rsidRPr="00FC7216">
        <w:rPr>
          <w:rFonts w:ascii="Arial" w:hAnsi="Arial" w:cs="Arial"/>
          <w:sz w:val="24"/>
          <w:szCs w:val="24"/>
          <w:lang w:val="en-US"/>
        </w:rPr>
        <w:t>. This is</w:t>
      </w:r>
      <w:r w:rsidR="00D804E6" w:rsidRPr="00FC7216">
        <w:rPr>
          <w:rFonts w:ascii="Arial" w:hAnsi="Arial" w:cs="Arial"/>
          <w:sz w:val="24"/>
          <w:szCs w:val="24"/>
          <w:lang w:val="en-US"/>
        </w:rPr>
        <w:t xml:space="preserve"> sometimes at very short notice, and </w:t>
      </w:r>
      <w:r w:rsidR="00C54B63" w:rsidRPr="00FC7216">
        <w:rPr>
          <w:rFonts w:ascii="Arial" w:hAnsi="Arial" w:cs="Arial"/>
          <w:sz w:val="24"/>
          <w:szCs w:val="24"/>
          <w:lang w:val="en-US"/>
        </w:rPr>
        <w:t>often</w:t>
      </w:r>
      <w:r w:rsidR="00D804E6" w:rsidRPr="00FC7216">
        <w:rPr>
          <w:rFonts w:ascii="Arial" w:hAnsi="Arial" w:cs="Arial"/>
          <w:sz w:val="24"/>
          <w:szCs w:val="24"/>
          <w:lang w:val="en-US"/>
        </w:rPr>
        <w:t xml:space="preserve"> requir</w:t>
      </w:r>
      <w:r w:rsidRPr="00FC7216">
        <w:rPr>
          <w:rFonts w:ascii="Arial" w:hAnsi="Arial" w:cs="Arial"/>
          <w:sz w:val="24"/>
          <w:szCs w:val="24"/>
          <w:lang w:val="en-US"/>
        </w:rPr>
        <w:t>es</w:t>
      </w:r>
      <w:r w:rsidR="00D804E6" w:rsidRPr="00FC7216">
        <w:rPr>
          <w:rFonts w:ascii="Arial" w:hAnsi="Arial" w:cs="Arial"/>
          <w:sz w:val="24"/>
          <w:szCs w:val="24"/>
          <w:lang w:val="en-US"/>
        </w:rPr>
        <w:t xml:space="preserve"> </w:t>
      </w:r>
      <w:r w:rsidR="00C54B63" w:rsidRPr="00FC7216">
        <w:rPr>
          <w:rFonts w:ascii="Arial" w:hAnsi="Arial" w:cs="Arial"/>
          <w:sz w:val="24"/>
          <w:szCs w:val="24"/>
          <w:lang w:val="en-US"/>
        </w:rPr>
        <w:t>multiple nights away</w:t>
      </w:r>
      <w:r w:rsidR="00D804E6" w:rsidRPr="00FC7216">
        <w:rPr>
          <w:rFonts w:ascii="Arial" w:hAnsi="Arial" w:cs="Arial"/>
          <w:sz w:val="24"/>
          <w:szCs w:val="24"/>
          <w:lang w:val="en-US"/>
        </w:rPr>
        <w:t>.</w:t>
      </w:r>
    </w:p>
    <w:p w14:paraId="6B1BC4AE" w14:textId="77777777" w:rsidR="00226416" w:rsidRPr="00FC7216" w:rsidRDefault="00226416" w:rsidP="0009309F">
      <w:pPr>
        <w:rPr>
          <w:rFonts w:ascii="Arial" w:hAnsi="Arial" w:cs="Arial"/>
          <w:sz w:val="16"/>
          <w:szCs w:val="16"/>
          <w:lang w:val="en-US"/>
        </w:rPr>
      </w:pPr>
    </w:p>
    <w:p w14:paraId="4ECA78F3" w14:textId="7CC6A102" w:rsidR="0021537E" w:rsidRPr="00FC7216" w:rsidRDefault="0021537E" w:rsidP="0009309F">
      <w:pPr>
        <w:rPr>
          <w:rFonts w:ascii="Arial" w:hAnsi="Arial" w:cs="Arial"/>
          <w:lang w:val="en-US"/>
        </w:rPr>
      </w:pPr>
      <w:r w:rsidRPr="00FC7216">
        <w:rPr>
          <w:rFonts w:ascii="Arial" w:hAnsi="Arial" w:cs="Arial"/>
          <w:lang w:val="en-US"/>
        </w:rPr>
        <w:t>We welcome and encourage you to speak with the position contact person to discuss th</w:t>
      </w:r>
      <w:r w:rsidR="00210081" w:rsidRPr="00FC7216">
        <w:rPr>
          <w:rFonts w:ascii="Arial" w:hAnsi="Arial" w:cs="Arial"/>
          <w:lang w:val="en-US"/>
        </w:rPr>
        <w:t>e</w:t>
      </w:r>
      <w:r w:rsidRPr="00FC7216">
        <w:rPr>
          <w:rFonts w:ascii="Arial" w:hAnsi="Arial" w:cs="Arial"/>
          <w:lang w:val="en-US"/>
        </w:rPr>
        <w:t xml:space="preserve"> role further.</w:t>
      </w:r>
    </w:p>
    <w:p w14:paraId="2A3B16B4" w14:textId="77777777" w:rsidR="0021537E" w:rsidRPr="00FC7216" w:rsidRDefault="0021537E" w:rsidP="0009309F">
      <w:pPr>
        <w:rPr>
          <w:rFonts w:ascii="Arial" w:hAnsi="Arial" w:cs="Arial"/>
          <w:lang w:val="en-US"/>
        </w:rPr>
      </w:pPr>
    </w:p>
    <w:p w14:paraId="6D89EC64" w14:textId="14F4C08D" w:rsidR="00026C46" w:rsidRPr="00FC7216" w:rsidRDefault="0009309F" w:rsidP="00026C46">
      <w:pPr>
        <w:rPr>
          <w:rFonts w:ascii="Arial" w:hAnsi="Arial" w:cs="Arial"/>
        </w:rPr>
      </w:pPr>
      <w:r w:rsidRPr="00FC7216">
        <w:rPr>
          <w:rFonts w:ascii="Arial" w:hAnsi="Arial" w:cs="Arial"/>
          <w:lang w:val="en-US"/>
        </w:rPr>
        <w:t xml:space="preserve">For more information about the Tasmanian Electoral Commission please visit the </w:t>
      </w:r>
      <w:hyperlink r:id="rId15" w:history="1">
        <w:r w:rsidRPr="00FC7216">
          <w:rPr>
            <w:rStyle w:val="Hyperlink"/>
            <w:rFonts w:ascii="Arial" w:hAnsi="Arial" w:cs="Arial"/>
            <w:lang w:val="en-US"/>
          </w:rPr>
          <w:t>TEC website</w:t>
        </w:r>
      </w:hyperlink>
      <w:r w:rsidRPr="00FC7216">
        <w:rPr>
          <w:rFonts w:ascii="Arial" w:hAnsi="Arial" w:cs="Arial"/>
        </w:rPr>
        <w:t>.</w:t>
      </w:r>
    </w:p>
    <w:p w14:paraId="02200056" w14:textId="77777777" w:rsidR="00D3270B" w:rsidRPr="00FC7216" w:rsidRDefault="00D3270B" w:rsidP="00067F0B">
      <w:pPr>
        <w:rPr>
          <w:rFonts w:ascii="Arial" w:hAnsi="Arial" w:cs="Arial"/>
        </w:rPr>
      </w:pPr>
    </w:p>
    <w:sectPr w:rsidR="00D3270B" w:rsidRPr="00FC7216" w:rsidSect="00FE28E6">
      <w:headerReference w:type="first" r:id="rId16"/>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09D4" w14:textId="77777777" w:rsidR="00C01249" w:rsidRDefault="00C01249">
      <w:pPr>
        <w:spacing w:after="0"/>
      </w:pPr>
      <w:r>
        <w:separator/>
      </w:r>
    </w:p>
  </w:endnote>
  <w:endnote w:type="continuationSeparator" w:id="0">
    <w:p w14:paraId="4213AB7D" w14:textId="77777777" w:rsidR="00C01249" w:rsidRDefault="00C012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ExtraBold">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D060" w14:textId="77777777" w:rsidR="00C01249" w:rsidRDefault="00C01249">
      <w:pPr>
        <w:spacing w:after="0"/>
      </w:pPr>
      <w:r>
        <w:separator/>
      </w:r>
    </w:p>
  </w:footnote>
  <w:footnote w:type="continuationSeparator" w:id="0">
    <w:p w14:paraId="02B10A52" w14:textId="77777777" w:rsidR="00C01249" w:rsidRDefault="00C012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463B" w14:textId="40CEE764" w:rsidR="00FC7216" w:rsidRPr="00FC7216" w:rsidRDefault="00CB4638" w:rsidP="00FE28E6">
    <w:pPr>
      <w:pStyle w:val="Title"/>
      <w:rPr>
        <w:rFonts w:ascii="Arial" w:hAnsi="Arial" w:cs="Arial"/>
        <w:sz w:val="48"/>
      </w:rPr>
    </w:pPr>
    <w:r w:rsidRPr="00FC7216">
      <w:rPr>
        <w:rFonts w:ascii="Arial" w:hAnsi="Arial" w:cs="Arial"/>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7216">
      <w:rPr>
        <w:rFonts w:ascii="Arial" w:hAnsi="Arial" w:cs="Arial"/>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12108"/>
    <w:multiLevelType w:val="hybridMultilevel"/>
    <w:tmpl w:val="E1F06914"/>
    <w:lvl w:ilvl="0" w:tplc="0C090001">
      <w:start w:val="1"/>
      <w:numFmt w:val="bullet"/>
      <w:lvlText w:val=""/>
      <w:lvlJc w:val="left"/>
      <w:pPr>
        <w:ind w:left="977" w:hanging="620"/>
      </w:pPr>
      <w:rPr>
        <w:rFonts w:ascii="Symbol" w:hAnsi="Symbol" w:hint="default"/>
      </w:rPr>
    </w:lvl>
    <w:lvl w:ilvl="1" w:tplc="A59AA3FC">
      <w:numFmt w:val="bullet"/>
      <w:lvlText w:val="·"/>
      <w:lvlJc w:val="left"/>
      <w:pPr>
        <w:ind w:left="1697" w:hanging="620"/>
      </w:pPr>
      <w:rPr>
        <w:rFonts w:ascii="Gill Sans MT" w:eastAsia="Times New Roman" w:hAnsi="Gill Sans MT" w:cs="Arial"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 w15:restartNumberingAfterBreak="0">
    <w:nsid w:val="0B631530"/>
    <w:multiLevelType w:val="hybridMultilevel"/>
    <w:tmpl w:val="0F720A2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0D1324"/>
    <w:multiLevelType w:val="hybridMultilevel"/>
    <w:tmpl w:val="E978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7D4377"/>
    <w:multiLevelType w:val="hybridMultilevel"/>
    <w:tmpl w:val="B2E6B6F6"/>
    <w:lvl w:ilvl="0" w:tplc="342A7CD0">
      <w:numFmt w:val="bullet"/>
      <w:lvlText w:val="·"/>
      <w:lvlJc w:val="left"/>
      <w:pPr>
        <w:ind w:left="980" w:hanging="620"/>
      </w:pPr>
      <w:rPr>
        <w:rFonts w:ascii="Gill Sans MT" w:eastAsia="Times New Roman" w:hAnsi="Gill Sans M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474B31"/>
    <w:multiLevelType w:val="multilevel"/>
    <w:tmpl w:val="9D94D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A37F5"/>
    <w:multiLevelType w:val="hybridMultilevel"/>
    <w:tmpl w:val="CD4A0AC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7101FE"/>
    <w:multiLevelType w:val="hybridMultilevel"/>
    <w:tmpl w:val="31866528"/>
    <w:lvl w:ilvl="0" w:tplc="34504DA6">
      <w:start w:val="1"/>
      <w:numFmt w:val="bullet"/>
      <w:lvlText w:val=""/>
      <w:lvlJc w:val="left"/>
      <w:pPr>
        <w:ind w:left="-2257" w:hanging="360"/>
      </w:pPr>
      <w:rPr>
        <w:rFonts w:ascii="Symbol" w:hAnsi="Symbol" w:hint="default"/>
      </w:rPr>
    </w:lvl>
    <w:lvl w:ilvl="1" w:tplc="0C090003">
      <w:start w:val="1"/>
      <w:numFmt w:val="bullet"/>
      <w:lvlText w:val="o"/>
      <w:lvlJc w:val="left"/>
      <w:pPr>
        <w:ind w:left="-1537" w:hanging="360"/>
      </w:pPr>
      <w:rPr>
        <w:rFonts w:ascii="Courier New" w:hAnsi="Courier New" w:cs="Courier New" w:hint="default"/>
      </w:rPr>
    </w:lvl>
    <w:lvl w:ilvl="2" w:tplc="0C090005">
      <w:start w:val="1"/>
      <w:numFmt w:val="bullet"/>
      <w:lvlText w:val=""/>
      <w:lvlJc w:val="left"/>
      <w:pPr>
        <w:ind w:left="-817" w:hanging="360"/>
      </w:pPr>
      <w:rPr>
        <w:rFonts w:ascii="Wingdings" w:hAnsi="Wingdings" w:hint="default"/>
      </w:rPr>
    </w:lvl>
    <w:lvl w:ilvl="3" w:tplc="0C090001">
      <w:start w:val="1"/>
      <w:numFmt w:val="bullet"/>
      <w:lvlText w:val=""/>
      <w:lvlJc w:val="left"/>
      <w:pPr>
        <w:ind w:left="-97" w:hanging="360"/>
      </w:pPr>
      <w:rPr>
        <w:rFonts w:ascii="Symbol" w:hAnsi="Symbol" w:hint="default"/>
      </w:rPr>
    </w:lvl>
    <w:lvl w:ilvl="4" w:tplc="0C090003">
      <w:start w:val="1"/>
      <w:numFmt w:val="bullet"/>
      <w:lvlText w:val="o"/>
      <w:lvlJc w:val="left"/>
      <w:pPr>
        <w:ind w:left="623" w:hanging="360"/>
      </w:pPr>
      <w:rPr>
        <w:rFonts w:ascii="Courier New" w:hAnsi="Courier New" w:cs="Courier New" w:hint="default"/>
      </w:rPr>
    </w:lvl>
    <w:lvl w:ilvl="5" w:tplc="0C090005">
      <w:start w:val="1"/>
      <w:numFmt w:val="bullet"/>
      <w:lvlText w:val=""/>
      <w:lvlJc w:val="left"/>
      <w:pPr>
        <w:ind w:left="1343" w:hanging="360"/>
      </w:pPr>
      <w:rPr>
        <w:rFonts w:ascii="Wingdings" w:hAnsi="Wingdings" w:hint="default"/>
      </w:rPr>
    </w:lvl>
    <w:lvl w:ilvl="6" w:tplc="0C090001">
      <w:start w:val="1"/>
      <w:numFmt w:val="bullet"/>
      <w:lvlText w:val=""/>
      <w:lvlJc w:val="left"/>
      <w:pPr>
        <w:ind w:left="2063" w:hanging="360"/>
      </w:pPr>
      <w:rPr>
        <w:rFonts w:ascii="Symbol" w:hAnsi="Symbol" w:hint="default"/>
      </w:rPr>
    </w:lvl>
    <w:lvl w:ilvl="7" w:tplc="0C090003">
      <w:start w:val="1"/>
      <w:numFmt w:val="bullet"/>
      <w:lvlText w:val="o"/>
      <w:lvlJc w:val="left"/>
      <w:pPr>
        <w:ind w:left="2783" w:hanging="360"/>
      </w:pPr>
      <w:rPr>
        <w:rFonts w:ascii="Courier New" w:hAnsi="Courier New" w:cs="Courier New" w:hint="default"/>
      </w:rPr>
    </w:lvl>
    <w:lvl w:ilvl="8" w:tplc="0C090005">
      <w:start w:val="1"/>
      <w:numFmt w:val="bullet"/>
      <w:lvlText w:val=""/>
      <w:lvlJc w:val="left"/>
      <w:pPr>
        <w:ind w:left="3503" w:hanging="360"/>
      </w:pPr>
      <w:rPr>
        <w:rFonts w:ascii="Wingdings" w:hAnsi="Wingdings" w:hint="default"/>
      </w:rPr>
    </w:lvl>
  </w:abstractNum>
  <w:abstractNum w:abstractNumId="10"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72D7DC4"/>
    <w:multiLevelType w:val="hybridMultilevel"/>
    <w:tmpl w:val="60B477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CC3517E"/>
    <w:multiLevelType w:val="hybridMultilevel"/>
    <w:tmpl w:val="83A8493C"/>
    <w:lvl w:ilvl="0" w:tplc="0988E5D4">
      <w:numFmt w:val="bullet"/>
      <w:lvlText w:val="·"/>
      <w:lvlJc w:val="left"/>
      <w:pPr>
        <w:ind w:left="977" w:hanging="620"/>
      </w:pPr>
      <w:rPr>
        <w:rFonts w:ascii="Gill Sans MT" w:eastAsia="Times New Roman" w:hAnsi="Gill Sans MT" w:cs="Aria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461B3E6B"/>
    <w:multiLevelType w:val="hybridMultilevel"/>
    <w:tmpl w:val="A24A8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C3036A"/>
    <w:multiLevelType w:val="multilevel"/>
    <w:tmpl w:val="51DAA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B313B7"/>
    <w:multiLevelType w:val="hybridMultilevel"/>
    <w:tmpl w:val="3266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531F2055"/>
    <w:multiLevelType w:val="hybridMultilevel"/>
    <w:tmpl w:val="24368E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54FC01DD"/>
    <w:multiLevelType w:val="hybridMultilevel"/>
    <w:tmpl w:val="3E0A5704"/>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cs="Courier New" w:hint="default"/>
      </w:rPr>
    </w:lvl>
    <w:lvl w:ilvl="2" w:tplc="0C090005">
      <w:start w:val="1"/>
      <w:numFmt w:val="bullet"/>
      <w:lvlText w:val=""/>
      <w:lvlJc w:val="left"/>
      <w:pPr>
        <w:ind w:left="2265" w:hanging="360"/>
      </w:pPr>
      <w:rPr>
        <w:rFonts w:ascii="Wingdings" w:hAnsi="Wingdings" w:hint="default"/>
      </w:rPr>
    </w:lvl>
    <w:lvl w:ilvl="3" w:tplc="0C090001">
      <w:start w:val="1"/>
      <w:numFmt w:val="bullet"/>
      <w:lvlText w:val=""/>
      <w:lvlJc w:val="left"/>
      <w:pPr>
        <w:ind w:left="2985" w:hanging="360"/>
      </w:pPr>
      <w:rPr>
        <w:rFonts w:ascii="Symbol" w:hAnsi="Symbol" w:hint="default"/>
      </w:rPr>
    </w:lvl>
    <w:lvl w:ilvl="4" w:tplc="0C090003">
      <w:start w:val="1"/>
      <w:numFmt w:val="bullet"/>
      <w:lvlText w:val="o"/>
      <w:lvlJc w:val="left"/>
      <w:pPr>
        <w:ind w:left="3705" w:hanging="360"/>
      </w:pPr>
      <w:rPr>
        <w:rFonts w:ascii="Courier New" w:hAnsi="Courier New" w:cs="Courier New" w:hint="default"/>
      </w:rPr>
    </w:lvl>
    <w:lvl w:ilvl="5" w:tplc="0C090005">
      <w:start w:val="1"/>
      <w:numFmt w:val="bullet"/>
      <w:lvlText w:val=""/>
      <w:lvlJc w:val="left"/>
      <w:pPr>
        <w:ind w:left="4425" w:hanging="360"/>
      </w:pPr>
      <w:rPr>
        <w:rFonts w:ascii="Wingdings" w:hAnsi="Wingdings" w:hint="default"/>
      </w:rPr>
    </w:lvl>
    <w:lvl w:ilvl="6" w:tplc="0C090001">
      <w:start w:val="1"/>
      <w:numFmt w:val="bullet"/>
      <w:lvlText w:val=""/>
      <w:lvlJc w:val="left"/>
      <w:pPr>
        <w:ind w:left="5145" w:hanging="360"/>
      </w:pPr>
      <w:rPr>
        <w:rFonts w:ascii="Symbol" w:hAnsi="Symbol" w:hint="default"/>
      </w:rPr>
    </w:lvl>
    <w:lvl w:ilvl="7" w:tplc="0C090003">
      <w:start w:val="1"/>
      <w:numFmt w:val="bullet"/>
      <w:lvlText w:val="o"/>
      <w:lvlJc w:val="left"/>
      <w:pPr>
        <w:ind w:left="5865" w:hanging="360"/>
      </w:pPr>
      <w:rPr>
        <w:rFonts w:ascii="Courier New" w:hAnsi="Courier New" w:cs="Courier New" w:hint="default"/>
      </w:rPr>
    </w:lvl>
    <w:lvl w:ilvl="8" w:tplc="0C090005">
      <w:start w:val="1"/>
      <w:numFmt w:val="bullet"/>
      <w:lvlText w:val=""/>
      <w:lvlJc w:val="left"/>
      <w:pPr>
        <w:ind w:left="6585" w:hanging="360"/>
      </w:pPr>
      <w:rPr>
        <w:rFonts w:ascii="Wingdings" w:hAnsi="Wingdings" w:hint="default"/>
      </w:rPr>
    </w:lvl>
  </w:abstractNum>
  <w:abstractNum w:abstractNumId="18" w15:restartNumberingAfterBreak="0">
    <w:nsid w:val="57615F9E"/>
    <w:multiLevelType w:val="hybridMultilevel"/>
    <w:tmpl w:val="049A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64571A40"/>
    <w:multiLevelType w:val="hybridMultilevel"/>
    <w:tmpl w:val="59A8F26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6A2432C9"/>
    <w:multiLevelType w:val="hybridMultilevel"/>
    <w:tmpl w:val="FF98FFA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EAD2BE8"/>
    <w:multiLevelType w:val="hybridMultilevel"/>
    <w:tmpl w:val="350A5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A40345"/>
    <w:multiLevelType w:val="multilevel"/>
    <w:tmpl w:val="4FE8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4354A5"/>
    <w:multiLevelType w:val="hybridMultilevel"/>
    <w:tmpl w:val="293A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B04B51"/>
    <w:multiLevelType w:val="hybridMultilevel"/>
    <w:tmpl w:val="3C6C8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EC4AF0"/>
    <w:multiLevelType w:val="hybridMultilevel"/>
    <w:tmpl w:val="57468F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40512456">
    <w:abstractNumId w:val="3"/>
  </w:num>
  <w:num w:numId="2" w16cid:durableId="1670479107">
    <w:abstractNumId w:val="4"/>
  </w:num>
  <w:num w:numId="3" w16cid:durableId="885800450">
    <w:abstractNumId w:val="5"/>
  </w:num>
  <w:num w:numId="4" w16cid:durableId="1422528273">
    <w:abstractNumId w:val="24"/>
  </w:num>
  <w:num w:numId="5" w16cid:durableId="839783086">
    <w:abstractNumId w:val="10"/>
  </w:num>
  <w:num w:numId="6" w16cid:durableId="1300840609">
    <w:abstractNumId w:val="19"/>
  </w:num>
  <w:num w:numId="7" w16cid:durableId="355546677">
    <w:abstractNumId w:val="15"/>
  </w:num>
  <w:num w:numId="8" w16cid:durableId="390808312">
    <w:abstractNumId w:val="2"/>
  </w:num>
  <w:num w:numId="9" w16cid:durableId="143552433">
    <w:abstractNumId w:val="20"/>
  </w:num>
  <w:num w:numId="10" w16cid:durableId="721710232">
    <w:abstractNumId w:val="12"/>
  </w:num>
  <w:num w:numId="11" w16cid:durableId="122383226">
    <w:abstractNumId w:val="0"/>
  </w:num>
  <w:num w:numId="12" w16cid:durableId="529875284">
    <w:abstractNumId w:val="21"/>
  </w:num>
  <w:num w:numId="13" w16cid:durableId="1345285949">
    <w:abstractNumId w:val="27"/>
  </w:num>
  <w:num w:numId="14" w16cid:durableId="48844965">
    <w:abstractNumId w:val="25"/>
  </w:num>
  <w:num w:numId="15" w16cid:durableId="177938401">
    <w:abstractNumId w:val="26"/>
  </w:num>
  <w:num w:numId="16" w16cid:durableId="2107144697">
    <w:abstractNumId w:val="6"/>
  </w:num>
  <w:num w:numId="17" w16cid:durableId="1604605157">
    <w:abstractNumId w:val="22"/>
  </w:num>
  <w:num w:numId="18" w16cid:durableId="926768505">
    <w:abstractNumId w:val="17"/>
  </w:num>
  <w:num w:numId="19" w16cid:durableId="157696515">
    <w:abstractNumId w:val="9"/>
  </w:num>
  <w:num w:numId="20" w16cid:durableId="1404597810">
    <w:abstractNumId w:val="8"/>
  </w:num>
  <w:num w:numId="21" w16cid:durableId="1132750433">
    <w:abstractNumId w:val="4"/>
  </w:num>
  <w:num w:numId="22" w16cid:durableId="1062945171">
    <w:abstractNumId w:val="11"/>
  </w:num>
  <w:num w:numId="23" w16cid:durableId="1713725178">
    <w:abstractNumId w:val="1"/>
  </w:num>
  <w:num w:numId="24" w16cid:durableId="1645818368">
    <w:abstractNumId w:val="13"/>
  </w:num>
  <w:num w:numId="25" w16cid:durableId="1244946956">
    <w:abstractNumId w:val="7"/>
  </w:num>
  <w:num w:numId="26" w16cid:durableId="491215730">
    <w:abstractNumId w:val="16"/>
  </w:num>
  <w:num w:numId="27" w16cid:durableId="2134135131">
    <w:abstractNumId w:val="14"/>
  </w:num>
  <w:num w:numId="28" w16cid:durableId="544754911">
    <w:abstractNumId w:val="23"/>
  </w:num>
  <w:num w:numId="29" w16cid:durableId="588973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38"/>
    <w:rsid w:val="0001281D"/>
    <w:rsid w:val="00016F42"/>
    <w:rsid w:val="00026C46"/>
    <w:rsid w:val="0004142E"/>
    <w:rsid w:val="00067F0B"/>
    <w:rsid w:val="0009309F"/>
    <w:rsid w:val="000A027A"/>
    <w:rsid w:val="000C6480"/>
    <w:rsid w:val="000E0ACE"/>
    <w:rsid w:val="00172912"/>
    <w:rsid w:val="001D20DF"/>
    <w:rsid w:val="00210081"/>
    <w:rsid w:val="0021537E"/>
    <w:rsid w:val="002262B3"/>
    <w:rsid w:val="00226416"/>
    <w:rsid w:val="002975FF"/>
    <w:rsid w:val="002A05E1"/>
    <w:rsid w:val="002A3B72"/>
    <w:rsid w:val="003134BA"/>
    <w:rsid w:val="0032243D"/>
    <w:rsid w:val="00361E32"/>
    <w:rsid w:val="00397574"/>
    <w:rsid w:val="003B2D4D"/>
    <w:rsid w:val="003C5333"/>
    <w:rsid w:val="00427B16"/>
    <w:rsid w:val="004C7202"/>
    <w:rsid w:val="00500BB8"/>
    <w:rsid w:val="0050317C"/>
    <w:rsid w:val="0053205E"/>
    <w:rsid w:val="005640A0"/>
    <w:rsid w:val="00581963"/>
    <w:rsid w:val="005A37CC"/>
    <w:rsid w:val="005E3AEA"/>
    <w:rsid w:val="005F003E"/>
    <w:rsid w:val="005F7221"/>
    <w:rsid w:val="006436DA"/>
    <w:rsid w:val="006662DE"/>
    <w:rsid w:val="006943B4"/>
    <w:rsid w:val="006F1DDF"/>
    <w:rsid w:val="00734E62"/>
    <w:rsid w:val="007471CA"/>
    <w:rsid w:val="0078613F"/>
    <w:rsid w:val="007D5603"/>
    <w:rsid w:val="007E6B15"/>
    <w:rsid w:val="00850527"/>
    <w:rsid w:val="00851DE4"/>
    <w:rsid w:val="00881926"/>
    <w:rsid w:val="008C5AA3"/>
    <w:rsid w:val="008D3A40"/>
    <w:rsid w:val="00912A85"/>
    <w:rsid w:val="00914428"/>
    <w:rsid w:val="00925D9F"/>
    <w:rsid w:val="009450E5"/>
    <w:rsid w:val="009864DD"/>
    <w:rsid w:val="009919DA"/>
    <w:rsid w:val="00A46414"/>
    <w:rsid w:val="00A54EA1"/>
    <w:rsid w:val="00A56381"/>
    <w:rsid w:val="00A71F01"/>
    <w:rsid w:val="00A91965"/>
    <w:rsid w:val="00AD05B6"/>
    <w:rsid w:val="00AE4038"/>
    <w:rsid w:val="00B51200"/>
    <w:rsid w:val="00B562A0"/>
    <w:rsid w:val="00B63E31"/>
    <w:rsid w:val="00BA508E"/>
    <w:rsid w:val="00BB3868"/>
    <w:rsid w:val="00BB7D3E"/>
    <w:rsid w:val="00BC524F"/>
    <w:rsid w:val="00BC62AA"/>
    <w:rsid w:val="00BD2B3D"/>
    <w:rsid w:val="00C01249"/>
    <w:rsid w:val="00C541A4"/>
    <w:rsid w:val="00C54B63"/>
    <w:rsid w:val="00C65DC1"/>
    <w:rsid w:val="00CB4638"/>
    <w:rsid w:val="00CD3669"/>
    <w:rsid w:val="00CD677D"/>
    <w:rsid w:val="00CE3B8D"/>
    <w:rsid w:val="00D02A2A"/>
    <w:rsid w:val="00D3270B"/>
    <w:rsid w:val="00D804E6"/>
    <w:rsid w:val="00D91EF9"/>
    <w:rsid w:val="00DB7282"/>
    <w:rsid w:val="00E03DDF"/>
    <w:rsid w:val="00E323C3"/>
    <w:rsid w:val="00E81664"/>
    <w:rsid w:val="00EB331B"/>
    <w:rsid w:val="00F03FE3"/>
    <w:rsid w:val="00F055F3"/>
    <w:rsid w:val="00F253D6"/>
    <w:rsid w:val="00F34837"/>
    <w:rsid w:val="00F36F62"/>
    <w:rsid w:val="00F46C28"/>
    <w:rsid w:val="00F56A8E"/>
    <w:rsid w:val="00F81244"/>
    <w:rsid w:val="00FB2255"/>
    <w:rsid w:val="00FC72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link w:val="ListParagraphChar"/>
    <w:uiPriority w:val="34"/>
    <w:qFormat/>
    <w:rsid w:val="00B63E31"/>
    <w:pPr>
      <w:spacing w:after="0"/>
      <w:ind w:left="720"/>
    </w:pPr>
    <w:rPr>
      <w:rFonts w:ascii="Calibri" w:eastAsiaTheme="minorHAnsi" w:hAnsi="Calibri" w:cs="Calibri"/>
      <w:sz w:val="22"/>
      <w:szCs w:val="22"/>
    </w:rPr>
  </w:style>
  <w:style w:type="paragraph" w:styleId="BodyText">
    <w:name w:val="Body Text"/>
    <w:basedOn w:val="Normal"/>
    <w:link w:val="BodyTextChar"/>
    <w:uiPriority w:val="99"/>
    <w:semiHidden/>
    <w:unhideWhenUsed/>
    <w:rsid w:val="00F56A8E"/>
    <w:pPr>
      <w:jc w:val="both"/>
    </w:pPr>
    <w:rPr>
      <w:rFonts w:ascii="Arial" w:eastAsiaTheme="minorHAnsi" w:hAnsi="Arial" w:cs="Arial"/>
      <w:sz w:val="18"/>
      <w:szCs w:val="18"/>
    </w:rPr>
  </w:style>
  <w:style w:type="character" w:customStyle="1" w:styleId="BodyTextChar">
    <w:name w:val="Body Text Char"/>
    <w:basedOn w:val="DefaultParagraphFont"/>
    <w:link w:val="BodyText"/>
    <w:uiPriority w:val="99"/>
    <w:semiHidden/>
    <w:rsid w:val="00F56A8E"/>
    <w:rPr>
      <w:rFonts w:ascii="Arial" w:hAnsi="Arial" w:cs="Arial"/>
      <w:sz w:val="18"/>
      <w:szCs w:val="18"/>
    </w:rPr>
  </w:style>
  <w:style w:type="paragraph" w:customStyle="1" w:styleId="Pa2">
    <w:name w:val="Pa2"/>
    <w:basedOn w:val="Normal"/>
    <w:uiPriority w:val="99"/>
    <w:rsid w:val="005A37CC"/>
    <w:pPr>
      <w:autoSpaceDE w:val="0"/>
      <w:autoSpaceDN w:val="0"/>
      <w:spacing w:after="0" w:line="721" w:lineRule="atLeast"/>
    </w:pPr>
    <w:rPr>
      <w:rFonts w:ascii="Gilroy ExtraBold" w:eastAsiaTheme="minorHAnsi" w:hAnsi="Gilroy ExtraBold"/>
    </w:rPr>
  </w:style>
  <w:style w:type="paragraph" w:customStyle="1" w:styleId="Pa6">
    <w:name w:val="Pa6"/>
    <w:basedOn w:val="Normal"/>
    <w:uiPriority w:val="99"/>
    <w:rsid w:val="005A37CC"/>
    <w:pPr>
      <w:autoSpaceDE w:val="0"/>
      <w:autoSpaceDN w:val="0"/>
      <w:spacing w:after="0" w:line="181" w:lineRule="atLeast"/>
    </w:pPr>
    <w:rPr>
      <w:rFonts w:ascii="Gilroy ExtraBold" w:eastAsiaTheme="minorHAnsi" w:hAnsi="Gilroy ExtraBold"/>
    </w:rPr>
  </w:style>
  <w:style w:type="paragraph" w:styleId="NormalWeb">
    <w:name w:val="Normal (Web)"/>
    <w:basedOn w:val="Normal"/>
    <w:uiPriority w:val="99"/>
    <w:semiHidden/>
    <w:unhideWhenUsed/>
    <w:rsid w:val="0078613F"/>
    <w:pPr>
      <w:spacing w:before="100" w:beforeAutospacing="1" w:after="100" w:afterAutospacing="1"/>
    </w:pPr>
    <w:rPr>
      <w:rFonts w:ascii="Times New Roman" w:eastAsiaTheme="minorHAnsi" w:hAnsi="Times New Roman"/>
      <w:lang w:eastAsia="en-AU"/>
    </w:rPr>
  </w:style>
  <w:style w:type="character" w:customStyle="1" w:styleId="ListParagraphChar">
    <w:name w:val="List Paragraph Char"/>
    <w:basedOn w:val="DefaultParagraphFont"/>
    <w:link w:val="ListParagraph"/>
    <w:uiPriority w:val="34"/>
    <w:locked/>
    <w:rsid w:val="0078613F"/>
    <w:rPr>
      <w:rFonts w:ascii="Calibri" w:hAnsi="Calibri" w:cs="Calibri"/>
    </w:rPr>
  </w:style>
  <w:style w:type="character" w:styleId="FollowedHyperlink">
    <w:name w:val="FollowedHyperlink"/>
    <w:basedOn w:val="DefaultParagraphFont"/>
    <w:uiPriority w:val="99"/>
    <w:semiHidden/>
    <w:unhideWhenUsed/>
    <w:rsid w:val="009919DA"/>
    <w:rPr>
      <w:color w:val="800080" w:themeColor="followedHyperlink"/>
      <w:u w:val="single"/>
    </w:rPr>
  </w:style>
  <w:style w:type="character" w:customStyle="1" w:styleId="UnresolvedMention1">
    <w:name w:val="Unresolved Mention1"/>
    <w:basedOn w:val="DefaultParagraphFont"/>
    <w:uiPriority w:val="99"/>
    <w:semiHidden/>
    <w:unhideWhenUsed/>
    <w:rsid w:val="00210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7561">
      <w:bodyDiv w:val="1"/>
      <w:marLeft w:val="0"/>
      <w:marRight w:val="0"/>
      <w:marTop w:val="0"/>
      <w:marBottom w:val="0"/>
      <w:divBdr>
        <w:top w:val="none" w:sz="0" w:space="0" w:color="auto"/>
        <w:left w:val="none" w:sz="0" w:space="0" w:color="auto"/>
        <w:bottom w:val="none" w:sz="0" w:space="0" w:color="auto"/>
        <w:right w:val="none" w:sz="0" w:space="0" w:color="auto"/>
      </w:divBdr>
    </w:div>
    <w:div w:id="76706940">
      <w:bodyDiv w:val="1"/>
      <w:marLeft w:val="0"/>
      <w:marRight w:val="0"/>
      <w:marTop w:val="0"/>
      <w:marBottom w:val="0"/>
      <w:divBdr>
        <w:top w:val="none" w:sz="0" w:space="0" w:color="auto"/>
        <w:left w:val="none" w:sz="0" w:space="0" w:color="auto"/>
        <w:bottom w:val="none" w:sz="0" w:space="0" w:color="auto"/>
        <w:right w:val="none" w:sz="0" w:space="0" w:color="auto"/>
      </w:divBdr>
    </w:div>
    <w:div w:id="79253715">
      <w:bodyDiv w:val="1"/>
      <w:marLeft w:val="0"/>
      <w:marRight w:val="0"/>
      <w:marTop w:val="0"/>
      <w:marBottom w:val="0"/>
      <w:divBdr>
        <w:top w:val="none" w:sz="0" w:space="0" w:color="auto"/>
        <w:left w:val="none" w:sz="0" w:space="0" w:color="auto"/>
        <w:bottom w:val="none" w:sz="0" w:space="0" w:color="auto"/>
        <w:right w:val="none" w:sz="0" w:space="0" w:color="auto"/>
      </w:divBdr>
    </w:div>
    <w:div w:id="110978030">
      <w:bodyDiv w:val="1"/>
      <w:marLeft w:val="0"/>
      <w:marRight w:val="0"/>
      <w:marTop w:val="0"/>
      <w:marBottom w:val="0"/>
      <w:divBdr>
        <w:top w:val="none" w:sz="0" w:space="0" w:color="auto"/>
        <w:left w:val="none" w:sz="0" w:space="0" w:color="auto"/>
        <w:bottom w:val="none" w:sz="0" w:space="0" w:color="auto"/>
        <w:right w:val="none" w:sz="0" w:space="0" w:color="auto"/>
      </w:divBdr>
    </w:div>
    <w:div w:id="178282647">
      <w:bodyDiv w:val="1"/>
      <w:marLeft w:val="0"/>
      <w:marRight w:val="0"/>
      <w:marTop w:val="0"/>
      <w:marBottom w:val="0"/>
      <w:divBdr>
        <w:top w:val="none" w:sz="0" w:space="0" w:color="auto"/>
        <w:left w:val="none" w:sz="0" w:space="0" w:color="auto"/>
        <w:bottom w:val="none" w:sz="0" w:space="0" w:color="auto"/>
        <w:right w:val="none" w:sz="0" w:space="0" w:color="auto"/>
      </w:divBdr>
    </w:div>
    <w:div w:id="215748782">
      <w:bodyDiv w:val="1"/>
      <w:marLeft w:val="0"/>
      <w:marRight w:val="0"/>
      <w:marTop w:val="0"/>
      <w:marBottom w:val="0"/>
      <w:divBdr>
        <w:top w:val="none" w:sz="0" w:space="0" w:color="auto"/>
        <w:left w:val="none" w:sz="0" w:space="0" w:color="auto"/>
        <w:bottom w:val="none" w:sz="0" w:space="0" w:color="auto"/>
        <w:right w:val="none" w:sz="0" w:space="0" w:color="auto"/>
      </w:divBdr>
    </w:div>
    <w:div w:id="234822407">
      <w:bodyDiv w:val="1"/>
      <w:marLeft w:val="0"/>
      <w:marRight w:val="0"/>
      <w:marTop w:val="0"/>
      <w:marBottom w:val="0"/>
      <w:divBdr>
        <w:top w:val="none" w:sz="0" w:space="0" w:color="auto"/>
        <w:left w:val="none" w:sz="0" w:space="0" w:color="auto"/>
        <w:bottom w:val="none" w:sz="0" w:space="0" w:color="auto"/>
        <w:right w:val="none" w:sz="0" w:space="0" w:color="auto"/>
      </w:divBdr>
    </w:div>
    <w:div w:id="443882891">
      <w:bodyDiv w:val="1"/>
      <w:marLeft w:val="0"/>
      <w:marRight w:val="0"/>
      <w:marTop w:val="0"/>
      <w:marBottom w:val="0"/>
      <w:divBdr>
        <w:top w:val="none" w:sz="0" w:space="0" w:color="auto"/>
        <w:left w:val="none" w:sz="0" w:space="0" w:color="auto"/>
        <w:bottom w:val="none" w:sz="0" w:space="0" w:color="auto"/>
        <w:right w:val="none" w:sz="0" w:space="0" w:color="auto"/>
      </w:divBdr>
    </w:div>
    <w:div w:id="567887398">
      <w:bodyDiv w:val="1"/>
      <w:marLeft w:val="0"/>
      <w:marRight w:val="0"/>
      <w:marTop w:val="0"/>
      <w:marBottom w:val="0"/>
      <w:divBdr>
        <w:top w:val="none" w:sz="0" w:space="0" w:color="auto"/>
        <w:left w:val="none" w:sz="0" w:space="0" w:color="auto"/>
        <w:bottom w:val="none" w:sz="0" w:space="0" w:color="auto"/>
        <w:right w:val="none" w:sz="0" w:space="0" w:color="auto"/>
      </w:divBdr>
    </w:div>
    <w:div w:id="686297978">
      <w:bodyDiv w:val="1"/>
      <w:marLeft w:val="0"/>
      <w:marRight w:val="0"/>
      <w:marTop w:val="0"/>
      <w:marBottom w:val="0"/>
      <w:divBdr>
        <w:top w:val="none" w:sz="0" w:space="0" w:color="auto"/>
        <w:left w:val="none" w:sz="0" w:space="0" w:color="auto"/>
        <w:bottom w:val="none" w:sz="0" w:space="0" w:color="auto"/>
        <w:right w:val="none" w:sz="0" w:space="0" w:color="auto"/>
      </w:divBdr>
    </w:div>
    <w:div w:id="879323881">
      <w:bodyDiv w:val="1"/>
      <w:marLeft w:val="0"/>
      <w:marRight w:val="0"/>
      <w:marTop w:val="0"/>
      <w:marBottom w:val="0"/>
      <w:divBdr>
        <w:top w:val="none" w:sz="0" w:space="0" w:color="auto"/>
        <w:left w:val="none" w:sz="0" w:space="0" w:color="auto"/>
        <w:bottom w:val="none" w:sz="0" w:space="0" w:color="auto"/>
        <w:right w:val="none" w:sz="0" w:space="0" w:color="auto"/>
      </w:divBdr>
    </w:div>
    <w:div w:id="975449926">
      <w:bodyDiv w:val="1"/>
      <w:marLeft w:val="0"/>
      <w:marRight w:val="0"/>
      <w:marTop w:val="0"/>
      <w:marBottom w:val="0"/>
      <w:divBdr>
        <w:top w:val="none" w:sz="0" w:space="0" w:color="auto"/>
        <w:left w:val="none" w:sz="0" w:space="0" w:color="auto"/>
        <w:bottom w:val="none" w:sz="0" w:space="0" w:color="auto"/>
        <w:right w:val="none" w:sz="0" w:space="0" w:color="auto"/>
      </w:divBdr>
    </w:div>
    <w:div w:id="1137800008">
      <w:bodyDiv w:val="1"/>
      <w:marLeft w:val="0"/>
      <w:marRight w:val="0"/>
      <w:marTop w:val="0"/>
      <w:marBottom w:val="0"/>
      <w:divBdr>
        <w:top w:val="none" w:sz="0" w:space="0" w:color="auto"/>
        <w:left w:val="none" w:sz="0" w:space="0" w:color="auto"/>
        <w:bottom w:val="none" w:sz="0" w:space="0" w:color="auto"/>
        <w:right w:val="none" w:sz="0" w:space="0" w:color="auto"/>
      </w:divBdr>
    </w:div>
    <w:div w:id="1260525379">
      <w:bodyDiv w:val="1"/>
      <w:marLeft w:val="0"/>
      <w:marRight w:val="0"/>
      <w:marTop w:val="0"/>
      <w:marBottom w:val="0"/>
      <w:divBdr>
        <w:top w:val="none" w:sz="0" w:space="0" w:color="auto"/>
        <w:left w:val="none" w:sz="0" w:space="0" w:color="auto"/>
        <w:bottom w:val="none" w:sz="0" w:space="0" w:color="auto"/>
        <w:right w:val="none" w:sz="0" w:space="0" w:color="auto"/>
      </w:divBdr>
    </w:div>
    <w:div w:id="1308121657">
      <w:bodyDiv w:val="1"/>
      <w:marLeft w:val="0"/>
      <w:marRight w:val="0"/>
      <w:marTop w:val="0"/>
      <w:marBottom w:val="0"/>
      <w:divBdr>
        <w:top w:val="none" w:sz="0" w:space="0" w:color="auto"/>
        <w:left w:val="none" w:sz="0" w:space="0" w:color="auto"/>
        <w:bottom w:val="none" w:sz="0" w:space="0" w:color="auto"/>
        <w:right w:val="none" w:sz="0" w:space="0" w:color="auto"/>
      </w:divBdr>
    </w:div>
    <w:div w:id="1310137418">
      <w:bodyDiv w:val="1"/>
      <w:marLeft w:val="0"/>
      <w:marRight w:val="0"/>
      <w:marTop w:val="0"/>
      <w:marBottom w:val="0"/>
      <w:divBdr>
        <w:top w:val="none" w:sz="0" w:space="0" w:color="auto"/>
        <w:left w:val="none" w:sz="0" w:space="0" w:color="auto"/>
        <w:bottom w:val="none" w:sz="0" w:space="0" w:color="auto"/>
        <w:right w:val="none" w:sz="0" w:space="0" w:color="auto"/>
      </w:divBdr>
    </w:div>
    <w:div w:id="1320421133">
      <w:bodyDiv w:val="1"/>
      <w:marLeft w:val="0"/>
      <w:marRight w:val="0"/>
      <w:marTop w:val="0"/>
      <w:marBottom w:val="0"/>
      <w:divBdr>
        <w:top w:val="none" w:sz="0" w:space="0" w:color="auto"/>
        <w:left w:val="none" w:sz="0" w:space="0" w:color="auto"/>
        <w:bottom w:val="none" w:sz="0" w:space="0" w:color="auto"/>
        <w:right w:val="none" w:sz="0" w:space="0" w:color="auto"/>
      </w:divBdr>
    </w:div>
    <w:div w:id="1439907509">
      <w:bodyDiv w:val="1"/>
      <w:marLeft w:val="0"/>
      <w:marRight w:val="0"/>
      <w:marTop w:val="0"/>
      <w:marBottom w:val="0"/>
      <w:divBdr>
        <w:top w:val="none" w:sz="0" w:space="0" w:color="auto"/>
        <w:left w:val="none" w:sz="0" w:space="0" w:color="auto"/>
        <w:bottom w:val="none" w:sz="0" w:space="0" w:color="auto"/>
        <w:right w:val="none" w:sz="0" w:space="0" w:color="auto"/>
      </w:divBdr>
    </w:div>
    <w:div w:id="1541740553">
      <w:bodyDiv w:val="1"/>
      <w:marLeft w:val="0"/>
      <w:marRight w:val="0"/>
      <w:marTop w:val="0"/>
      <w:marBottom w:val="0"/>
      <w:divBdr>
        <w:top w:val="none" w:sz="0" w:space="0" w:color="auto"/>
        <w:left w:val="none" w:sz="0" w:space="0" w:color="auto"/>
        <w:bottom w:val="none" w:sz="0" w:space="0" w:color="auto"/>
        <w:right w:val="none" w:sz="0" w:space="0" w:color="auto"/>
      </w:divBdr>
    </w:div>
    <w:div w:id="1731995630">
      <w:bodyDiv w:val="1"/>
      <w:marLeft w:val="0"/>
      <w:marRight w:val="0"/>
      <w:marTop w:val="0"/>
      <w:marBottom w:val="0"/>
      <w:divBdr>
        <w:top w:val="none" w:sz="0" w:space="0" w:color="auto"/>
        <w:left w:val="none" w:sz="0" w:space="0" w:color="auto"/>
        <w:bottom w:val="none" w:sz="0" w:space="0" w:color="auto"/>
        <w:right w:val="none" w:sz="0" w:space="0" w:color="auto"/>
      </w:divBdr>
    </w:div>
    <w:div w:id="207665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tec.tas.gov.au/" TargetMode="External"/><Relationship Id="rId10" Type="http://schemas.openxmlformats.org/officeDocument/2006/relationships/hyperlink" Target="https://www.legislation.tas.gov.au/view/html/inforce/current/act-2000-085" TargetMode="Externa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s://aus01.safelinks.protection.outlook.com/?url=https%3A%2F%2Fwww.tec.tas.gov.au%2Fvalues&amp;data=04%7C01%7Cngaire.edwards%40tec.tas.gov.au%7C3a8d10f3f8b5470c035608d96791a675%7C1240f307978440f7a1e3b88544d9628b%7C0%7C0%7C637654697522199203%7CUnknown%7CTWFpbGZsb3d8eyJWIjoiMC4wLjAwMDAiLCJQIjoiV2luMzIiLCJBTiI6Ik1haWwiLCJXVCI6Mn0%3D%7C1000&amp;sdata=%2FYJ8nrSnM531BBOmV1B38iL7%2BogEwAgEegpA6rjtX40%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1263</Words>
  <Characters>6998</Characters>
  <Application>Microsoft Office Word</Application>
  <DocSecurity>0</DocSecurity>
  <Lines>162</Lines>
  <Paragraphs>123</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Wilson, Liam</cp:lastModifiedBy>
  <cp:revision>5</cp:revision>
  <cp:lastPrinted>2021-08-27T05:07:00Z</cp:lastPrinted>
  <dcterms:created xsi:type="dcterms:W3CDTF">2021-08-29T23:48:00Z</dcterms:created>
  <dcterms:modified xsi:type="dcterms:W3CDTF">2024-09-11T23:31:00Z</dcterms:modified>
</cp:coreProperties>
</file>