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2850EE45">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385E684D"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041ABD">
                              <w:rPr>
                                <w:b/>
                                <w:color w:val="FFFFFF"/>
                              </w:rPr>
                              <w:t>Clinical Services Coordinator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385E684D"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041ABD">
                        <w:rPr>
                          <w:b/>
                          <w:color w:val="FFFFFF"/>
                        </w:rPr>
                        <w:t>Clinical Services Coordinator</w:t>
                      </w:r>
                      <w:r>
                        <w:rPr>
                          <w:b/>
                          <w:color w:val="FFFFFF"/>
                        </w:rPr>
                        <w:t xml:space="preserve">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6F0ED0BD"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r w:rsidR="005E0924">
              <w:rPr>
                <w:sz w:val="22"/>
              </w:rPr>
              <w:t xml:space="preserve">  </w:t>
            </w:r>
            <w:r w:rsidR="00202A6F">
              <w:rPr>
                <w:b/>
                <w:color w:val="722D69"/>
                <w:sz w:val="28"/>
              </w:rPr>
              <w:t>Clinical Services Coordinator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5F0509B7" w:rsidR="00472F91" w:rsidRPr="00B76B2D" w:rsidRDefault="00202A6F"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6AD6C000" w:rsidR="00C805F7" w:rsidRPr="00B76B2D" w:rsidRDefault="00202A6F" w:rsidP="00F223CF">
            <w:pPr>
              <w:ind w:left="720" w:hanging="720"/>
              <w:rPr>
                <w:sz w:val="22"/>
              </w:rPr>
            </w:pPr>
            <w:r w:rsidRPr="004F0001">
              <w:rPr>
                <w:sz w:val="22"/>
              </w:rPr>
              <w:t>Area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0E76F005" w:rsidR="00C805F7" w:rsidRPr="00B76B2D" w:rsidRDefault="00202A6F" w:rsidP="00961526">
            <w:pPr>
              <w:rPr>
                <w:sz w:val="22"/>
              </w:rPr>
            </w:pPr>
            <w:r w:rsidRPr="00552AE5">
              <w:rPr>
                <w:sz w:val="22"/>
              </w:rPr>
              <w:t>To</w:t>
            </w:r>
            <w:r>
              <w:rPr>
                <w:sz w:val="22"/>
              </w:rPr>
              <w:t xml:space="preserve"> oversee the delivery</w:t>
            </w:r>
            <w:r w:rsidRPr="00552AE5">
              <w:rPr>
                <w:sz w:val="22"/>
              </w:rPr>
              <w:t xml:space="preserve"> </w:t>
            </w:r>
            <w:r>
              <w:rPr>
                <w:sz w:val="22"/>
              </w:rPr>
              <w:t>of individual and</w:t>
            </w:r>
            <w:r w:rsidR="00041ABD">
              <w:rPr>
                <w:sz w:val="22"/>
              </w:rPr>
              <w:t xml:space="preserve"> group based interventions for </w:t>
            </w:r>
            <w:r w:rsidR="00961526">
              <w:rPr>
                <w:sz w:val="22"/>
              </w:rPr>
              <w:t>clients throughout the Central NSW region. To</w:t>
            </w:r>
            <w:r>
              <w:rPr>
                <w:sz w:val="22"/>
              </w:rPr>
              <w:t xml:space="preserve"> </w:t>
            </w:r>
            <w:r w:rsidRPr="00552AE5">
              <w:rPr>
                <w:sz w:val="22"/>
              </w:rPr>
              <w:t xml:space="preserve">provide specialist </w:t>
            </w:r>
            <w:r>
              <w:rPr>
                <w:sz w:val="22"/>
              </w:rPr>
              <w:t>advice and support to other Mission Australia e</w:t>
            </w:r>
            <w:r w:rsidRPr="00552AE5">
              <w:rPr>
                <w:sz w:val="22"/>
              </w:rPr>
              <w:t xml:space="preserve">mployees regarding </w:t>
            </w:r>
            <w:r>
              <w:rPr>
                <w:sz w:val="22"/>
              </w:rPr>
              <w:t>behaviour management and monitor clinical effectiveness of the service.</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6"/>
              <w:gridCol w:w="4737"/>
            </w:tblGrid>
            <w:tr w:rsidR="00422424" w14:paraId="631F2D4F" w14:textId="77777777" w:rsidTr="00202A6F">
              <w:tc>
                <w:tcPr>
                  <w:tcW w:w="4306" w:type="dxa"/>
                </w:tcPr>
                <w:p w14:paraId="31F97AF0" w14:textId="77777777" w:rsidR="00422424" w:rsidRDefault="00422424" w:rsidP="0070562F">
                  <w:pPr>
                    <w:spacing w:before="40" w:after="60"/>
                    <w:rPr>
                      <w:b/>
                      <w:color w:val="522F8C"/>
                    </w:rPr>
                  </w:pPr>
                  <w:r w:rsidRPr="00193477">
                    <w:rPr>
                      <w:b/>
                      <w:color w:val="522F8C"/>
                    </w:rPr>
                    <w:t>Key Result Area 1</w:t>
                  </w:r>
                </w:p>
              </w:tc>
              <w:tc>
                <w:tcPr>
                  <w:tcW w:w="4737" w:type="dxa"/>
                </w:tcPr>
                <w:p w14:paraId="78515ADC" w14:textId="000CF3B3" w:rsidR="00422424" w:rsidRDefault="00041ABD" w:rsidP="0070562F">
                  <w:pPr>
                    <w:spacing w:before="40" w:after="60"/>
                    <w:rPr>
                      <w:b/>
                      <w:color w:val="522F8C"/>
                    </w:rPr>
                  </w:pPr>
                  <w:r>
                    <w:rPr>
                      <w:b/>
                      <w:color w:val="522F8C"/>
                    </w:rPr>
                    <w:t>Client Support</w:t>
                  </w:r>
                </w:p>
              </w:tc>
            </w:tr>
            <w:tr w:rsidR="00422424" w14:paraId="119136E9" w14:textId="77777777" w:rsidTr="00202A6F">
              <w:tc>
                <w:tcPr>
                  <w:tcW w:w="4306" w:type="dxa"/>
                </w:tcPr>
                <w:p w14:paraId="151457FB" w14:textId="77777777" w:rsidR="00422424" w:rsidRDefault="00422424" w:rsidP="0070562F">
                  <w:pPr>
                    <w:spacing w:before="40" w:after="60"/>
                    <w:rPr>
                      <w:b/>
                      <w:color w:val="522F8C"/>
                    </w:rPr>
                  </w:pPr>
                  <w:r>
                    <w:rPr>
                      <w:b/>
                      <w:color w:val="BD1A8D"/>
                    </w:rPr>
                    <w:t>Key tasks</w:t>
                  </w:r>
                </w:p>
              </w:tc>
              <w:tc>
                <w:tcPr>
                  <w:tcW w:w="4737"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202A6F">
              <w:tc>
                <w:tcPr>
                  <w:tcW w:w="4306" w:type="dxa"/>
                </w:tcPr>
                <w:p w14:paraId="15457CC7" w14:textId="44DFF231"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t xml:space="preserve">Provide comprehensive assessment of </w:t>
                  </w:r>
                  <w:r w:rsidR="00961526">
                    <w:rPr>
                      <w:rFonts w:asciiTheme="minorHAnsi" w:hAnsiTheme="minorHAnsi" w:cstheme="minorHAnsi"/>
                      <w:sz w:val="22"/>
                      <w:szCs w:val="22"/>
                    </w:rPr>
                    <w:t>clients</w:t>
                  </w:r>
                  <w:r>
                    <w:rPr>
                      <w:rFonts w:asciiTheme="minorHAnsi" w:hAnsiTheme="minorHAnsi" w:cstheme="minorHAnsi"/>
                      <w:sz w:val="22"/>
                      <w:szCs w:val="22"/>
                    </w:rPr>
                    <w:t xml:space="preserve"> on admission and intake</w:t>
                  </w:r>
                  <w:r w:rsidR="00961526">
                    <w:rPr>
                      <w:rFonts w:asciiTheme="minorHAnsi" w:hAnsiTheme="minorHAnsi" w:cstheme="minorHAnsi"/>
                      <w:sz w:val="22"/>
                      <w:szCs w:val="22"/>
                    </w:rPr>
                    <w:t xml:space="preserve"> </w:t>
                  </w:r>
                  <w:r w:rsidR="00AD28D3">
                    <w:rPr>
                      <w:rFonts w:asciiTheme="minorHAnsi" w:hAnsiTheme="minorHAnsi" w:cstheme="minorHAnsi"/>
                      <w:sz w:val="22"/>
                      <w:szCs w:val="22"/>
                    </w:rPr>
                    <w:t>where appropriate</w:t>
                  </w:r>
                </w:p>
                <w:p w14:paraId="25D097C4" w14:textId="1A302D1B"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t>Develop and facilitate group counsel</w:t>
                  </w:r>
                  <w:r w:rsidR="00961526">
                    <w:rPr>
                      <w:rFonts w:asciiTheme="minorHAnsi" w:hAnsiTheme="minorHAnsi" w:cstheme="minorHAnsi"/>
                      <w:sz w:val="22"/>
                      <w:szCs w:val="22"/>
                    </w:rPr>
                    <w:t>l</w:t>
                  </w:r>
                  <w:r w:rsidRPr="00552AE5">
                    <w:rPr>
                      <w:rFonts w:asciiTheme="minorHAnsi" w:hAnsiTheme="minorHAnsi" w:cstheme="minorHAnsi"/>
                      <w:sz w:val="22"/>
                      <w:szCs w:val="22"/>
                    </w:rPr>
                    <w:t xml:space="preserve">ing sessions to meet the needs of the service, </w:t>
                  </w:r>
                  <w:r>
                    <w:rPr>
                      <w:rFonts w:asciiTheme="minorHAnsi" w:hAnsiTheme="minorHAnsi" w:cstheme="minorHAnsi"/>
                      <w:sz w:val="22"/>
                      <w:szCs w:val="22"/>
                    </w:rPr>
                    <w:t>clients and the local community</w:t>
                  </w:r>
                </w:p>
                <w:p w14:paraId="4E5AF9E4" w14:textId="4D9C5912"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t>Develop and support an environment conducive to effectiv</w:t>
                  </w:r>
                  <w:r>
                    <w:rPr>
                      <w:rFonts w:asciiTheme="minorHAnsi" w:hAnsiTheme="minorHAnsi" w:cstheme="minorHAnsi"/>
                      <w:sz w:val="22"/>
                      <w:szCs w:val="22"/>
                    </w:rPr>
                    <w:t>e counse</w:t>
                  </w:r>
                  <w:r w:rsidR="00961526">
                    <w:rPr>
                      <w:rFonts w:asciiTheme="minorHAnsi" w:hAnsiTheme="minorHAnsi" w:cstheme="minorHAnsi"/>
                      <w:sz w:val="22"/>
                      <w:szCs w:val="22"/>
                    </w:rPr>
                    <w:t>l</w:t>
                  </w:r>
                  <w:r>
                    <w:rPr>
                      <w:rFonts w:asciiTheme="minorHAnsi" w:hAnsiTheme="minorHAnsi" w:cstheme="minorHAnsi"/>
                      <w:sz w:val="22"/>
                      <w:szCs w:val="22"/>
                    </w:rPr>
                    <w:t>ling and client support</w:t>
                  </w:r>
                </w:p>
                <w:p w14:paraId="0FA4E10E" w14:textId="77777777"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lastRenderedPageBreak/>
                    <w:t>Develop quality relationships with a range of key stakeholders including community organisations, Aboriginal health agencies, rehabilitation providers and other health professionals to allow for the effective provision of sup</w:t>
                  </w:r>
                  <w:r>
                    <w:rPr>
                      <w:rFonts w:asciiTheme="minorHAnsi" w:hAnsiTheme="minorHAnsi" w:cstheme="minorHAnsi"/>
                      <w:sz w:val="22"/>
                      <w:szCs w:val="22"/>
                    </w:rPr>
                    <w:t>port and information to clients</w:t>
                  </w:r>
                </w:p>
                <w:p w14:paraId="0A2F44B0" w14:textId="36A638D0" w:rsidR="00422424" w:rsidRDefault="00202A6F" w:rsidP="00AD28D3">
                  <w:pPr>
                    <w:pStyle w:val="StyleCenturyGothicAfter6pt"/>
                    <w:tabs>
                      <w:tab w:val="clear" w:pos="720"/>
                      <w:tab w:val="num" w:pos="360"/>
                    </w:tabs>
                    <w:spacing w:before="40" w:after="60"/>
                    <w:ind w:left="360"/>
                    <w:rPr>
                      <w:b/>
                      <w:color w:val="522F8C"/>
                    </w:rPr>
                  </w:pPr>
                  <w:r w:rsidRPr="00961526">
                    <w:rPr>
                      <w:rFonts w:asciiTheme="minorHAnsi" w:hAnsiTheme="minorHAnsi" w:cstheme="minorHAnsi"/>
                      <w:sz w:val="22"/>
                      <w:szCs w:val="22"/>
                    </w:rPr>
                    <w:t>Ensure that a range of evidence based</w:t>
                  </w:r>
                  <w:r w:rsidR="00AD28D3">
                    <w:rPr>
                      <w:rFonts w:asciiTheme="minorHAnsi" w:hAnsiTheme="minorHAnsi" w:cstheme="minorHAnsi"/>
                      <w:sz w:val="22"/>
                      <w:szCs w:val="22"/>
                    </w:rPr>
                    <w:t xml:space="preserve"> therapies</w:t>
                  </w:r>
                  <w:r w:rsidRPr="00961526">
                    <w:rPr>
                      <w:rFonts w:asciiTheme="minorHAnsi" w:hAnsiTheme="minorHAnsi" w:cstheme="minorHAnsi"/>
                      <w:sz w:val="22"/>
                      <w:szCs w:val="22"/>
                    </w:rPr>
                    <w:t xml:space="preserve">  are provided to the clients matched to their level of need</w:t>
                  </w:r>
                </w:p>
              </w:tc>
              <w:tc>
                <w:tcPr>
                  <w:tcW w:w="4737" w:type="dxa"/>
                </w:tcPr>
                <w:p w14:paraId="03DE4178" w14:textId="6693198D" w:rsidR="00202A6F" w:rsidRDefault="00D57F04" w:rsidP="00202A6F">
                  <w:pPr>
                    <w:pStyle w:val="StyleCenturyGothicAfter6pt"/>
                    <w:tabs>
                      <w:tab w:val="clear" w:pos="720"/>
                      <w:tab w:val="num" w:pos="360"/>
                    </w:tabs>
                    <w:ind w:left="360"/>
                    <w:rPr>
                      <w:rFonts w:asciiTheme="minorHAnsi" w:hAnsiTheme="minorHAnsi" w:cstheme="minorHAnsi"/>
                      <w:sz w:val="22"/>
                      <w:szCs w:val="22"/>
                    </w:rPr>
                  </w:pPr>
                  <w:r>
                    <w:rPr>
                      <w:rFonts w:asciiTheme="minorHAnsi" w:hAnsiTheme="minorHAnsi" w:cstheme="minorHAnsi"/>
                      <w:sz w:val="22"/>
                      <w:szCs w:val="22"/>
                    </w:rPr>
                    <w:lastRenderedPageBreak/>
                    <w:t>Any i</w:t>
                  </w:r>
                  <w:r w:rsidR="00202A6F" w:rsidRPr="00552AE5">
                    <w:rPr>
                      <w:rFonts w:asciiTheme="minorHAnsi" w:hAnsiTheme="minorHAnsi" w:cstheme="minorHAnsi"/>
                      <w:sz w:val="22"/>
                      <w:szCs w:val="22"/>
                    </w:rPr>
                    <w:t>ntake and assessment meeting</w:t>
                  </w:r>
                  <w:r>
                    <w:rPr>
                      <w:rFonts w:asciiTheme="minorHAnsi" w:hAnsiTheme="minorHAnsi" w:cstheme="minorHAnsi"/>
                      <w:sz w:val="22"/>
                      <w:szCs w:val="22"/>
                    </w:rPr>
                    <w:t>s are</w:t>
                  </w:r>
                  <w:r w:rsidR="00202A6F" w:rsidRPr="00552AE5">
                    <w:rPr>
                      <w:rFonts w:asciiTheme="minorHAnsi" w:hAnsiTheme="minorHAnsi" w:cstheme="minorHAnsi"/>
                      <w:sz w:val="22"/>
                      <w:szCs w:val="22"/>
                    </w:rPr>
                    <w:t xml:space="preserve"> completed using clinical assessment tools within 7 days of referral</w:t>
                  </w:r>
                  <w:r w:rsidR="00202A6F">
                    <w:rPr>
                      <w:rFonts w:asciiTheme="minorHAnsi" w:hAnsiTheme="minorHAnsi" w:cstheme="minorHAnsi"/>
                      <w:sz w:val="22"/>
                      <w:szCs w:val="22"/>
                    </w:rPr>
                    <w:t xml:space="preserve"> </w:t>
                  </w:r>
                </w:p>
                <w:p w14:paraId="245F012D" w14:textId="77777777"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t>Group sessions are conduct</w:t>
                  </w:r>
                  <w:r>
                    <w:rPr>
                      <w:rFonts w:asciiTheme="minorHAnsi" w:hAnsiTheme="minorHAnsi" w:cstheme="minorHAnsi"/>
                      <w:sz w:val="22"/>
                      <w:szCs w:val="22"/>
                    </w:rPr>
                    <w:t>ed with a professional and well-</w:t>
                  </w:r>
                  <w:r w:rsidRPr="00552AE5">
                    <w:rPr>
                      <w:rFonts w:asciiTheme="minorHAnsi" w:hAnsiTheme="minorHAnsi" w:cstheme="minorHAnsi"/>
                      <w:sz w:val="22"/>
                      <w:szCs w:val="22"/>
                    </w:rPr>
                    <w:t xml:space="preserve">structured approach, with quality </w:t>
                  </w:r>
                  <w:r>
                    <w:rPr>
                      <w:rFonts w:asciiTheme="minorHAnsi" w:hAnsiTheme="minorHAnsi" w:cstheme="minorHAnsi"/>
                      <w:sz w:val="22"/>
                      <w:szCs w:val="22"/>
                    </w:rPr>
                    <w:t>outcomes for clients involved</w:t>
                  </w:r>
                </w:p>
                <w:p w14:paraId="6B12CC23" w14:textId="5E53FA66"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t>Coun</w:t>
                  </w:r>
                  <w:r>
                    <w:rPr>
                      <w:rFonts w:asciiTheme="minorHAnsi" w:hAnsiTheme="minorHAnsi" w:cstheme="minorHAnsi"/>
                      <w:sz w:val="22"/>
                      <w:szCs w:val="22"/>
                    </w:rPr>
                    <w:t>selling provided</w:t>
                  </w:r>
                  <w:r w:rsidR="00961526">
                    <w:rPr>
                      <w:rFonts w:asciiTheme="minorHAnsi" w:hAnsiTheme="minorHAnsi" w:cstheme="minorHAnsi"/>
                      <w:sz w:val="22"/>
                      <w:szCs w:val="22"/>
                    </w:rPr>
                    <w:t xml:space="preserve"> is</w:t>
                  </w:r>
                  <w:r>
                    <w:rPr>
                      <w:rFonts w:asciiTheme="minorHAnsi" w:hAnsiTheme="minorHAnsi" w:cstheme="minorHAnsi"/>
                      <w:sz w:val="22"/>
                      <w:szCs w:val="22"/>
                    </w:rPr>
                    <w:t xml:space="preserve"> well-</w:t>
                  </w:r>
                  <w:r w:rsidRPr="00552AE5">
                    <w:rPr>
                      <w:rFonts w:asciiTheme="minorHAnsi" w:hAnsiTheme="minorHAnsi" w:cstheme="minorHAnsi"/>
                      <w:sz w:val="22"/>
                      <w:szCs w:val="22"/>
                    </w:rPr>
                    <w:t xml:space="preserve">researched </w:t>
                  </w:r>
                  <w:r w:rsidR="00961526">
                    <w:rPr>
                      <w:rFonts w:asciiTheme="minorHAnsi" w:hAnsiTheme="minorHAnsi" w:cstheme="minorHAnsi"/>
                      <w:sz w:val="22"/>
                      <w:szCs w:val="22"/>
                    </w:rPr>
                    <w:t xml:space="preserve">and </w:t>
                  </w:r>
                  <w:r w:rsidRPr="00552AE5">
                    <w:rPr>
                      <w:rFonts w:asciiTheme="minorHAnsi" w:hAnsiTheme="minorHAnsi" w:cstheme="minorHAnsi"/>
                      <w:sz w:val="22"/>
                      <w:szCs w:val="22"/>
                    </w:rPr>
                    <w:t>evidence base</w:t>
                  </w:r>
                  <w:r w:rsidR="00961526">
                    <w:rPr>
                      <w:rFonts w:asciiTheme="minorHAnsi" w:hAnsiTheme="minorHAnsi" w:cstheme="minorHAnsi"/>
                      <w:sz w:val="22"/>
                      <w:szCs w:val="22"/>
                    </w:rPr>
                    <w:t>d</w:t>
                  </w:r>
                  <w:r w:rsidRPr="00552AE5">
                    <w:rPr>
                      <w:rFonts w:asciiTheme="minorHAnsi" w:hAnsiTheme="minorHAnsi" w:cstheme="minorHAnsi"/>
                      <w:sz w:val="22"/>
                      <w:szCs w:val="22"/>
                    </w:rPr>
                    <w:t xml:space="preserve"> </w:t>
                  </w:r>
                </w:p>
                <w:p w14:paraId="4B2E415E" w14:textId="7CBB5A24" w:rsidR="00202A6F" w:rsidRPr="00552AE5" w:rsidRDefault="00202A6F" w:rsidP="00202A6F">
                  <w:pPr>
                    <w:pStyle w:val="StyleCenturyGothicAfter6pt"/>
                    <w:tabs>
                      <w:tab w:val="clear" w:pos="720"/>
                      <w:tab w:val="num" w:pos="360"/>
                    </w:tabs>
                    <w:ind w:left="360"/>
                    <w:rPr>
                      <w:rFonts w:asciiTheme="minorHAnsi" w:hAnsiTheme="minorHAnsi" w:cstheme="minorHAnsi"/>
                      <w:sz w:val="22"/>
                      <w:szCs w:val="22"/>
                    </w:rPr>
                  </w:pPr>
                  <w:r w:rsidRPr="00552AE5">
                    <w:rPr>
                      <w:rFonts w:asciiTheme="minorHAnsi" w:hAnsiTheme="minorHAnsi" w:cstheme="minorHAnsi"/>
                      <w:sz w:val="22"/>
                      <w:szCs w:val="22"/>
                    </w:rPr>
                    <w:lastRenderedPageBreak/>
                    <w:t>Influential relationships are created with external bodies including Juvenile Justice</w:t>
                  </w:r>
                  <w:r w:rsidR="00961526">
                    <w:rPr>
                      <w:rFonts w:asciiTheme="minorHAnsi" w:hAnsiTheme="minorHAnsi" w:cstheme="minorHAnsi"/>
                      <w:sz w:val="22"/>
                      <w:szCs w:val="22"/>
                    </w:rPr>
                    <w:t>, National Disability Insurance Scheme</w:t>
                  </w:r>
                  <w:r w:rsidRPr="00552AE5">
                    <w:rPr>
                      <w:rFonts w:asciiTheme="minorHAnsi" w:hAnsiTheme="minorHAnsi" w:cstheme="minorHAnsi"/>
                      <w:sz w:val="22"/>
                      <w:szCs w:val="22"/>
                    </w:rPr>
                    <w:t xml:space="preserve"> and Western Local Health District for the development of the service</w:t>
                  </w:r>
                  <w:r w:rsidR="00D57F04">
                    <w:rPr>
                      <w:rFonts w:asciiTheme="minorHAnsi" w:hAnsiTheme="minorHAnsi" w:cstheme="minorHAnsi"/>
                      <w:sz w:val="22"/>
                      <w:szCs w:val="22"/>
                    </w:rPr>
                    <w:t>s</w:t>
                  </w:r>
                  <w:r w:rsidRPr="00552AE5">
                    <w:rPr>
                      <w:rFonts w:asciiTheme="minorHAnsi" w:hAnsiTheme="minorHAnsi" w:cstheme="minorHAnsi"/>
                      <w:sz w:val="22"/>
                      <w:szCs w:val="22"/>
                    </w:rPr>
                    <w:t xml:space="preserve"> and adva</w:t>
                  </w:r>
                  <w:r w:rsidR="00961526">
                    <w:rPr>
                      <w:rFonts w:asciiTheme="minorHAnsi" w:hAnsiTheme="minorHAnsi" w:cstheme="minorHAnsi"/>
                      <w:sz w:val="22"/>
                      <w:szCs w:val="22"/>
                    </w:rPr>
                    <w:t>ncement of needs for</w:t>
                  </w:r>
                  <w:r>
                    <w:rPr>
                      <w:rFonts w:asciiTheme="minorHAnsi" w:hAnsiTheme="minorHAnsi" w:cstheme="minorHAnsi"/>
                      <w:sz w:val="22"/>
                      <w:szCs w:val="22"/>
                    </w:rPr>
                    <w:t xml:space="preserve"> our clients</w:t>
                  </w:r>
                </w:p>
                <w:p w14:paraId="47D945D3" w14:textId="03846971" w:rsidR="00422424" w:rsidRDefault="00202A6F" w:rsidP="00961526">
                  <w:pPr>
                    <w:pStyle w:val="StyleCenturyGothicAfter6pt"/>
                    <w:tabs>
                      <w:tab w:val="clear" w:pos="720"/>
                      <w:tab w:val="num" w:pos="360"/>
                    </w:tabs>
                    <w:spacing w:before="40" w:after="60"/>
                    <w:ind w:left="360"/>
                    <w:rPr>
                      <w:b/>
                      <w:color w:val="522F8C"/>
                    </w:rPr>
                  </w:pPr>
                  <w:r w:rsidRPr="00961526">
                    <w:rPr>
                      <w:rFonts w:asciiTheme="minorHAnsi" w:hAnsiTheme="minorHAnsi" w:cstheme="minorHAnsi"/>
                      <w:sz w:val="22"/>
                      <w:szCs w:val="22"/>
                    </w:rPr>
                    <w:t>Ensure targeted behavior chan</w:t>
                  </w:r>
                  <w:r w:rsidR="00961526">
                    <w:rPr>
                      <w:rFonts w:asciiTheme="minorHAnsi" w:hAnsiTheme="minorHAnsi" w:cstheme="minorHAnsi"/>
                      <w:sz w:val="22"/>
                      <w:szCs w:val="22"/>
                    </w:rPr>
                    <w:t>ge programs are offered to all clients</w:t>
                  </w:r>
                </w:p>
              </w:tc>
            </w:tr>
            <w:tr w:rsidR="00422424" w14:paraId="15EAFA1E" w14:textId="77777777" w:rsidTr="00202A6F">
              <w:tc>
                <w:tcPr>
                  <w:tcW w:w="4306"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7" w:type="dxa"/>
                </w:tcPr>
                <w:p w14:paraId="3AB6E6D8" w14:textId="3B0BB210" w:rsidR="00422424" w:rsidRDefault="00961526" w:rsidP="0070562F">
                  <w:pPr>
                    <w:spacing w:before="40" w:after="60"/>
                    <w:rPr>
                      <w:b/>
                      <w:color w:val="522F8C"/>
                    </w:rPr>
                  </w:pPr>
                  <w:r>
                    <w:rPr>
                      <w:b/>
                      <w:color w:val="522F8C"/>
                    </w:rPr>
                    <w:t>Program Support</w:t>
                  </w:r>
                </w:p>
              </w:tc>
            </w:tr>
            <w:tr w:rsidR="00422424" w14:paraId="6BEDAEC5" w14:textId="77777777" w:rsidTr="00202A6F">
              <w:tc>
                <w:tcPr>
                  <w:tcW w:w="4306" w:type="dxa"/>
                </w:tcPr>
                <w:p w14:paraId="2759EDD2" w14:textId="77777777" w:rsidR="00422424" w:rsidRDefault="00422424" w:rsidP="0070562F">
                  <w:pPr>
                    <w:spacing w:before="40" w:after="60"/>
                    <w:rPr>
                      <w:b/>
                      <w:color w:val="522F8C"/>
                    </w:rPr>
                  </w:pPr>
                  <w:r>
                    <w:rPr>
                      <w:b/>
                      <w:color w:val="BD1A8D"/>
                    </w:rPr>
                    <w:t>Key tasks</w:t>
                  </w:r>
                </w:p>
              </w:tc>
              <w:tc>
                <w:tcPr>
                  <w:tcW w:w="4737"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202A6F">
              <w:tc>
                <w:tcPr>
                  <w:tcW w:w="4306" w:type="dxa"/>
                </w:tcPr>
                <w:p w14:paraId="1C43789F" w14:textId="7A2FEA35"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t>Ensure clinical outcome measures are collected and reported against</w:t>
                  </w:r>
                </w:p>
                <w:p w14:paraId="63772D52" w14:textId="0E6ED818"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Plan and deliver a variety of group based education programs</w:t>
                  </w:r>
                </w:p>
                <w:p w14:paraId="6E12A084" w14:textId="77777777"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Provide specialist advice and input to service evaluations and reviews to ensure continuous quality improvement</w:t>
                  </w:r>
                  <w:r>
                    <w:rPr>
                      <w:rFonts w:asciiTheme="minorHAnsi" w:hAnsiTheme="minorHAnsi" w:cstheme="minorHAnsi"/>
                      <w:sz w:val="22"/>
                      <w:szCs w:val="22"/>
                    </w:rPr>
                    <w:t xml:space="preserve"> and promotion of best practice</w:t>
                  </w:r>
                </w:p>
                <w:p w14:paraId="6E4673A3" w14:textId="531B2B16" w:rsidR="00422424" w:rsidRDefault="00202A6F" w:rsidP="00961526">
                  <w:pPr>
                    <w:pStyle w:val="StyleCenturyGothicAfter6pt"/>
                    <w:tabs>
                      <w:tab w:val="clear" w:pos="720"/>
                      <w:tab w:val="num" w:pos="360"/>
                    </w:tabs>
                    <w:spacing w:before="40" w:after="60"/>
                    <w:rPr>
                      <w:b/>
                      <w:color w:val="522F8C"/>
                    </w:rPr>
                  </w:pPr>
                  <w:r w:rsidRPr="00961526">
                    <w:rPr>
                      <w:rFonts w:asciiTheme="minorHAnsi" w:hAnsiTheme="minorHAnsi" w:cstheme="minorHAnsi"/>
                      <w:sz w:val="22"/>
                      <w:szCs w:val="22"/>
                    </w:rPr>
                    <w:t xml:space="preserve">Participate </w:t>
                  </w:r>
                  <w:r w:rsidR="00961526" w:rsidRPr="00961526">
                    <w:rPr>
                      <w:rFonts w:asciiTheme="minorHAnsi" w:hAnsiTheme="minorHAnsi" w:cstheme="minorHAnsi"/>
                      <w:sz w:val="22"/>
                      <w:szCs w:val="22"/>
                    </w:rPr>
                    <w:t>in Quality Improvement process</w:t>
                  </w:r>
                </w:p>
              </w:tc>
              <w:tc>
                <w:tcPr>
                  <w:tcW w:w="4737" w:type="dxa"/>
                </w:tcPr>
                <w:p w14:paraId="29E4E8D1" w14:textId="6CF71D2A"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 xml:space="preserve">Supervision requirements for practitioners </w:t>
                  </w:r>
                  <w:r w:rsidR="00961526">
                    <w:rPr>
                      <w:rFonts w:asciiTheme="minorHAnsi" w:hAnsiTheme="minorHAnsi" w:cstheme="minorHAnsi"/>
                      <w:sz w:val="22"/>
                      <w:szCs w:val="22"/>
                    </w:rPr>
                    <w:t>are</w:t>
                  </w:r>
                  <w:r>
                    <w:rPr>
                      <w:rFonts w:asciiTheme="minorHAnsi" w:hAnsiTheme="minorHAnsi" w:cstheme="minorHAnsi"/>
                      <w:sz w:val="22"/>
                      <w:szCs w:val="22"/>
                    </w:rPr>
                    <w:t xml:space="preserve"> provided to ensure consistency in program delivery</w:t>
                  </w:r>
                </w:p>
                <w:p w14:paraId="046BF9F3" w14:textId="77777777"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Group programs are well struc</w:t>
                  </w:r>
                  <w:r>
                    <w:rPr>
                      <w:rFonts w:asciiTheme="minorHAnsi" w:hAnsiTheme="minorHAnsi" w:cstheme="minorHAnsi"/>
                      <w:sz w:val="22"/>
                      <w:szCs w:val="22"/>
                    </w:rPr>
                    <w:t>tured, researched and executed</w:t>
                  </w:r>
                </w:p>
                <w:p w14:paraId="3D608784" w14:textId="77777777"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t>Clinical outcome measures are collated and trends are identified for service changes</w:t>
                  </w:r>
                </w:p>
                <w:p w14:paraId="3B3B9B2F" w14:textId="77777777"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Practice evaluation is embedded into service delivery</w:t>
                  </w:r>
                </w:p>
                <w:p w14:paraId="0DDBACAA" w14:textId="77777777" w:rsidR="00422424" w:rsidRDefault="00422424" w:rsidP="0070562F">
                  <w:pPr>
                    <w:spacing w:before="40" w:after="60"/>
                    <w:rPr>
                      <w:b/>
                      <w:color w:val="522F8C"/>
                    </w:rPr>
                  </w:pPr>
                </w:p>
              </w:tc>
            </w:tr>
            <w:tr w:rsidR="00422424" w14:paraId="0D03E5E5" w14:textId="77777777" w:rsidTr="00202A6F">
              <w:tc>
                <w:tcPr>
                  <w:tcW w:w="4306" w:type="dxa"/>
                </w:tcPr>
                <w:p w14:paraId="1C440478" w14:textId="77777777" w:rsidR="00422424" w:rsidRDefault="00422424" w:rsidP="00422424">
                  <w:pPr>
                    <w:spacing w:before="40" w:after="60"/>
                    <w:rPr>
                      <w:b/>
                      <w:color w:val="522F8C"/>
                    </w:rPr>
                  </w:pPr>
                  <w:r>
                    <w:rPr>
                      <w:b/>
                      <w:color w:val="522F8C"/>
                    </w:rPr>
                    <w:t>Key Result Area 3</w:t>
                  </w:r>
                </w:p>
              </w:tc>
              <w:tc>
                <w:tcPr>
                  <w:tcW w:w="4737" w:type="dxa"/>
                </w:tcPr>
                <w:p w14:paraId="3624C4B7" w14:textId="754589DF" w:rsidR="00422424" w:rsidRDefault="00961526" w:rsidP="0070562F">
                  <w:pPr>
                    <w:spacing w:before="40" w:after="60"/>
                    <w:rPr>
                      <w:b/>
                      <w:color w:val="522F8C"/>
                    </w:rPr>
                  </w:pPr>
                  <w:r>
                    <w:rPr>
                      <w:b/>
                      <w:color w:val="522F8C"/>
                    </w:rPr>
                    <w:t>Program Management</w:t>
                  </w:r>
                </w:p>
              </w:tc>
            </w:tr>
            <w:tr w:rsidR="00422424" w14:paraId="4C3D8AB1" w14:textId="77777777" w:rsidTr="00202A6F">
              <w:tc>
                <w:tcPr>
                  <w:tcW w:w="4306" w:type="dxa"/>
                </w:tcPr>
                <w:p w14:paraId="665E2956" w14:textId="77777777" w:rsidR="00422424" w:rsidRDefault="00422424" w:rsidP="0070562F">
                  <w:pPr>
                    <w:spacing w:before="40" w:after="60"/>
                    <w:rPr>
                      <w:b/>
                      <w:color w:val="522F8C"/>
                    </w:rPr>
                  </w:pPr>
                  <w:r>
                    <w:rPr>
                      <w:b/>
                      <w:color w:val="BD1A8D"/>
                    </w:rPr>
                    <w:t>Key tasks</w:t>
                  </w:r>
                </w:p>
              </w:tc>
              <w:tc>
                <w:tcPr>
                  <w:tcW w:w="4737"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202A6F">
              <w:tc>
                <w:tcPr>
                  <w:tcW w:w="4306" w:type="dxa"/>
                </w:tcPr>
                <w:p w14:paraId="2D2767FB" w14:textId="77777777" w:rsidR="00202A6F"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t>All clinical outcome measures are collated</w:t>
                  </w:r>
                </w:p>
                <w:p w14:paraId="5BCCE684" w14:textId="7E436DB1" w:rsidR="00202A6F"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t>A</w:t>
                  </w:r>
                  <w:r w:rsidR="00D57F04">
                    <w:rPr>
                      <w:rFonts w:asciiTheme="minorHAnsi" w:hAnsiTheme="minorHAnsi" w:cstheme="minorHAnsi"/>
                      <w:sz w:val="22"/>
                      <w:szCs w:val="22"/>
                    </w:rPr>
                    <w:t>ny</w:t>
                  </w:r>
                  <w:r>
                    <w:rPr>
                      <w:rFonts w:asciiTheme="minorHAnsi" w:hAnsiTheme="minorHAnsi" w:cstheme="minorHAnsi"/>
                      <w:sz w:val="22"/>
                      <w:szCs w:val="22"/>
                    </w:rPr>
                    <w:t xml:space="preserve"> referral, admission and intake data is collated</w:t>
                  </w:r>
                </w:p>
                <w:p w14:paraId="5EB44A17" w14:textId="337709F9" w:rsidR="00202A6F" w:rsidRPr="004F188B" w:rsidRDefault="00202A6F" w:rsidP="00202A6F">
                  <w:pPr>
                    <w:pStyle w:val="StyleCenturyGothicAfter6pt"/>
                    <w:tabs>
                      <w:tab w:val="clear" w:pos="720"/>
                      <w:tab w:val="num" w:pos="360"/>
                    </w:tabs>
                    <w:rPr>
                      <w:rFonts w:asciiTheme="minorHAnsi" w:hAnsiTheme="minorHAnsi" w:cstheme="minorHAnsi"/>
                      <w:sz w:val="22"/>
                      <w:szCs w:val="22"/>
                    </w:rPr>
                  </w:pPr>
                  <w:r w:rsidRPr="004F188B">
                    <w:rPr>
                      <w:rFonts w:asciiTheme="minorHAnsi" w:hAnsiTheme="minorHAnsi" w:cstheme="minorHAnsi"/>
                      <w:sz w:val="22"/>
                      <w:szCs w:val="22"/>
                    </w:rPr>
                    <w:t>Adhere to all relevant internal and external polic</w:t>
                  </w:r>
                  <w:r w:rsidR="00961526">
                    <w:rPr>
                      <w:rFonts w:asciiTheme="minorHAnsi" w:hAnsiTheme="minorHAnsi" w:cstheme="minorHAnsi"/>
                      <w:sz w:val="22"/>
                      <w:szCs w:val="22"/>
                    </w:rPr>
                    <w:t>ies</w:t>
                  </w:r>
                  <w:r w:rsidRPr="004F188B">
                    <w:rPr>
                      <w:rFonts w:asciiTheme="minorHAnsi" w:hAnsiTheme="minorHAnsi" w:cstheme="minorHAnsi"/>
                      <w:sz w:val="22"/>
                      <w:szCs w:val="22"/>
                    </w:rPr>
                    <w:t xml:space="preserve"> and procedures, statutory and contractual </w:t>
                  </w:r>
                  <w:r w:rsidR="00961526">
                    <w:rPr>
                      <w:rFonts w:asciiTheme="minorHAnsi" w:hAnsiTheme="minorHAnsi" w:cstheme="minorHAnsi"/>
                      <w:sz w:val="22"/>
                      <w:szCs w:val="22"/>
                    </w:rPr>
                    <w:t>r</w:t>
                  </w:r>
                  <w:r w:rsidRPr="004F188B">
                    <w:rPr>
                      <w:rFonts w:asciiTheme="minorHAnsi" w:hAnsiTheme="minorHAnsi" w:cstheme="minorHAnsi"/>
                      <w:sz w:val="22"/>
                      <w:szCs w:val="22"/>
                    </w:rPr>
                    <w:t>equirements including client confid</w:t>
                  </w:r>
                  <w:r w:rsidR="00961526">
                    <w:rPr>
                      <w:rFonts w:asciiTheme="minorHAnsi" w:hAnsiTheme="minorHAnsi" w:cstheme="minorHAnsi"/>
                      <w:sz w:val="22"/>
                      <w:szCs w:val="22"/>
                    </w:rPr>
                    <w:t>entiality, duty of care and W</w:t>
                  </w:r>
                  <w:r>
                    <w:rPr>
                      <w:rFonts w:asciiTheme="minorHAnsi" w:hAnsiTheme="minorHAnsi" w:cstheme="minorHAnsi"/>
                      <w:sz w:val="22"/>
                      <w:szCs w:val="22"/>
                    </w:rPr>
                    <w:t>HS</w:t>
                  </w:r>
                </w:p>
                <w:p w14:paraId="458B4306" w14:textId="77777777" w:rsidR="00202A6F" w:rsidRPr="004F188B" w:rsidRDefault="00202A6F" w:rsidP="00202A6F">
                  <w:pPr>
                    <w:pStyle w:val="StyleCenturyGothicAfter6pt"/>
                    <w:tabs>
                      <w:tab w:val="clear" w:pos="720"/>
                      <w:tab w:val="num" w:pos="360"/>
                    </w:tabs>
                    <w:rPr>
                      <w:rFonts w:asciiTheme="minorHAnsi" w:hAnsiTheme="minorHAnsi" w:cstheme="minorHAnsi"/>
                      <w:sz w:val="22"/>
                      <w:szCs w:val="22"/>
                    </w:rPr>
                  </w:pPr>
                  <w:r w:rsidRPr="004F188B">
                    <w:rPr>
                      <w:rFonts w:asciiTheme="minorHAnsi" w:hAnsiTheme="minorHAnsi" w:cstheme="minorHAnsi"/>
                      <w:sz w:val="22"/>
                      <w:szCs w:val="22"/>
                    </w:rPr>
                    <w:t>Maintain up to date, non-judgmental and complete client</w:t>
                  </w:r>
                  <w:r>
                    <w:rPr>
                      <w:rFonts w:asciiTheme="minorHAnsi" w:hAnsiTheme="minorHAnsi" w:cstheme="minorHAnsi"/>
                      <w:sz w:val="22"/>
                      <w:szCs w:val="22"/>
                    </w:rPr>
                    <w:t xml:space="preserve"> files, case notes and reports</w:t>
                  </w:r>
                </w:p>
                <w:p w14:paraId="0A9721E3" w14:textId="77777777" w:rsidR="00202A6F" w:rsidRPr="004F188B" w:rsidRDefault="00202A6F" w:rsidP="00202A6F">
                  <w:pPr>
                    <w:pStyle w:val="StyleCenturyGothicAfter6pt"/>
                    <w:tabs>
                      <w:tab w:val="clear" w:pos="720"/>
                      <w:tab w:val="num" w:pos="360"/>
                    </w:tabs>
                    <w:rPr>
                      <w:rFonts w:asciiTheme="minorHAnsi" w:hAnsiTheme="minorHAnsi" w:cstheme="minorHAnsi"/>
                      <w:sz w:val="22"/>
                      <w:szCs w:val="22"/>
                    </w:rPr>
                  </w:pPr>
                  <w:r w:rsidRPr="004F188B">
                    <w:rPr>
                      <w:rFonts w:asciiTheme="minorHAnsi" w:hAnsiTheme="minorHAnsi" w:cstheme="minorHAnsi"/>
                      <w:sz w:val="22"/>
                      <w:szCs w:val="22"/>
                    </w:rPr>
                    <w:t xml:space="preserve">Participate in all required professional assessment and development programs to ensure required </w:t>
                  </w:r>
                  <w:r>
                    <w:rPr>
                      <w:rFonts w:asciiTheme="minorHAnsi" w:hAnsiTheme="minorHAnsi" w:cstheme="minorHAnsi"/>
                      <w:sz w:val="22"/>
                      <w:szCs w:val="22"/>
                    </w:rPr>
                    <w:t>professional standing is upheld</w:t>
                  </w:r>
                </w:p>
                <w:p w14:paraId="2875041A" w14:textId="77777777" w:rsidR="00202A6F" w:rsidRPr="004F188B" w:rsidRDefault="00202A6F" w:rsidP="00202A6F">
                  <w:pPr>
                    <w:pStyle w:val="StyleCenturyGothicAfter6pt"/>
                    <w:tabs>
                      <w:tab w:val="clear" w:pos="720"/>
                      <w:tab w:val="num" w:pos="360"/>
                    </w:tabs>
                    <w:rPr>
                      <w:rFonts w:asciiTheme="minorHAnsi" w:hAnsiTheme="minorHAnsi" w:cstheme="minorHAnsi"/>
                      <w:sz w:val="22"/>
                      <w:szCs w:val="22"/>
                    </w:rPr>
                  </w:pPr>
                  <w:r w:rsidRPr="004F188B">
                    <w:rPr>
                      <w:rFonts w:asciiTheme="minorHAnsi" w:hAnsiTheme="minorHAnsi" w:cstheme="minorHAnsi"/>
                      <w:sz w:val="22"/>
                      <w:szCs w:val="22"/>
                    </w:rPr>
                    <w:lastRenderedPageBreak/>
                    <w:t xml:space="preserve">Provide accurate and timely reports to management on activities </w:t>
                  </w:r>
                  <w:r>
                    <w:rPr>
                      <w:rFonts w:asciiTheme="minorHAnsi" w:hAnsiTheme="minorHAnsi" w:cstheme="minorHAnsi"/>
                      <w:sz w:val="22"/>
                      <w:szCs w:val="22"/>
                    </w:rPr>
                    <w:t>and client progress as required</w:t>
                  </w:r>
                </w:p>
                <w:p w14:paraId="32D47382" w14:textId="319031A6" w:rsidR="00422424" w:rsidRDefault="00202A6F" w:rsidP="00961526">
                  <w:pPr>
                    <w:pStyle w:val="StyleCenturyGothicAfter6pt"/>
                    <w:tabs>
                      <w:tab w:val="clear" w:pos="720"/>
                      <w:tab w:val="num" w:pos="360"/>
                    </w:tabs>
                    <w:spacing w:before="40" w:after="60"/>
                    <w:rPr>
                      <w:b/>
                      <w:color w:val="522F8C"/>
                    </w:rPr>
                  </w:pPr>
                  <w:r w:rsidRPr="00961526">
                    <w:rPr>
                      <w:rFonts w:asciiTheme="minorHAnsi" w:hAnsiTheme="minorHAnsi" w:cstheme="minorHAnsi"/>
                      <w:sz w:val="22"/>
                      <w:szCs w:val="22"/>
                    </w:rPr>
                    <w:t>Maintain relevant statistics to provide an overview of client activity within the service</w:t>
                  </w:r>
                  <w:r w:rsidR="004F0001">
                    <w:rPr>
                      <w:rFonts w:asciiTheme="minorHAnsi" w:hAnsiTheme="minorHAnsi" w:cstheme="minorHAnsi"/>
                      <w:sz w:val="22"/>
                      <w:szCs w:val="22"/>
                    </w:rPr>
                    <w:t>s</w:t>
                  </w:r>
                </w:p>
              </w:tc>
              <w:tc>
                <w:tcPr>
                  <w:tcW w:w="4737" w:type="dxa"/>
                </w:tcPr>
                <w:p w14:paraId="67DE6B59" w14:textId="77777777" w:rsidR="00202A6F"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lastRenderedPageBreak/>
                    <w:t>Clinical outcome measures are collated, trends identified, and service delivery changes are implemented as a result</w:t>
                  </w:r>
                </w:p>
                <w:p w14:paraId="5AC91B62" w14:textId="361076CC" w:rsidR="00202A6F" w:rsidRPr="00A66DD4" w:rsidRDefault="00202A6F" w:rsidP="00202A6F">
                  <w:pPr>
                    <w:pStyle w:val="StyleCenturyGothicAfter6pt"/>
                    <w:tabs>
                      <w:tab w:val="clear" w:pos="720"/>
                      <w:tab w:val="num" w:pos="360"/>
                    </w:tabs>
                    <w:rPr>
                      <w:rFonts w:asciiTheme="minorHAnsi" w:hAnsiTheme="minorHAnsi" w:cstheme="minorHAnsi"/>
                      <w:sz w:val="22"/>
                      <w:szCs w:val="22"/>
                    </w:rPr>
                  </w:pPr>
                  <w:r>
                    <w:rPr>
                      <w:rFonts w:asciiTheme="minorHAnsi" w:hAnsiTheme="minorHAnsi" w:cstheme="minorHAnsi"/>
                      <w:sz w:val="22"/>
                      <w:szCs w:val="22"/>
                    </w:rPr>
                    <w:t xml:space="preserve">Oversee the implementation and delivery of clinical programs targeting </w:t>
                  </w:r>
                  <w:r w:rsidR="00961526">
                    <w:rPr>
                      <w:rFonts w:asciiTheme="minorHAnsi" w:hAnsiTheme="minorHAnsi" w:cstheme="minorHAnsi"/>
                      <w:sz w:val="22"/>
                      <w:szCs w:val="22"/>
                    </w:rPr>
                    <w:t xml:space="preserve">clients’ </w:t>
                  </w:r>
                  <w:r>
                    <w:rPr>
                      <w:rFonts w:asciiTheme="minorHAnsi" w:hAnsiTheme="minorHAnsi" w:cstheme="minorHAnsi"/>
                      <w:sz w:val="22"/>
                      <w:szCs w:val="22"/>
                    </w:rPr>
                    <w:t>area</w:t>
                  </w:r>
                  <w:r w:rsidR="00961526">
                    <w:rPr>
                      <w:rFonts w:asciiTheme="minorHAnsi" w:hAnsiTheme="minorHAnsi" w:cstheme="minorHAnsi"/>
                      <w:sz w:val="22"/>
                      <w:szCs w:val="22"/>
                    </w:rPr>
                    <w:t>s</w:t>
                  </w:r>
                  <w:r>
                    <w:rPr>
                      <w:rFonts w:asciiTheme="minorHAnsi" w:hAnsiTheme="minorHAnsi" w:cstheme="minorHAnsi"/>
                      <w:sz w:val="22"/>
                      <w:szCs w:val="22"/>
                    </w:rPr>
                    <w:t xml:space="preserve"> of need</w:t>
                  </w:r>
                </w:p>
                <w:p w14:paraId="702C6793" w14:textId="77777777" w:rsidR="00202A6F" w:rsidRPr="00552AE5" w:rsidRDefault="00202A6F" w:rsidP="00202A6F">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 xml:space="preserve">Case notes and client files are up to date and complete at all times, with </w:t>
                  </w:r>
                  <w:r>
                    <w:rPr>
                      <w:rFonts w:asciiTheme="minorHAnsi" w:hAnsiTheme="minorHAnsi" w:cstheme="minorHAnsi"/>
                      <w:sz w:val="22"/>
                      <w:szCs w:val="22"/>
                    </w:rPr>
                    <w:t>successful audits in all cases</w:t>
                  </w:r>
                </w:p>
                <w:p w14:paraId="5ACFF882" w14:textId="4CB31886" w:rsidR="00202A6F" w:rsidRPr="004F0001" w:rsidRDefault="00202A6F" w:rsidP="004F0001">
                  <w:pPr>
                    <w:pStyle w:val="StyleCenturyGothicAfter6pt"/>
                    <w:tabs>
                      <w:tab w:val="clear" w:pos="720"/>
                      <w:tab w:val="num" w:pos="360"/>
                    </w:tabs>
                    <w:rPr>
                      <w:rFonts w:asciiTheme="minorHAnsi" w:hAnsiTheme="minorHAnsi" w:cstheme="minorHAnsi"/>
                      <w:sz w:val="22"/>
                      <w:szCs w:val="22"/>
                    </w:rPr>
                  </w:pPr>
                  <w:r w:rsidRPr="00552AE5">
                    <w:rPr>
                      <w:rFonts w:asciiTheme="minorHAnsi" w:hAnsiTheme="minorHAnsi" w:cstheme="minorHAnsi"/>
                      <w:sz w:val="22"/>
                      <w:szCs w:val="22"/>
                    </w:rPr>
                    <w:t>Professional standing is upheld and all relevant develop</w:t>
                  </w:r>
                  <w:r>
                    <w:rPr>
                      <w:rFonts w:asciiTheme="minorHAnsi" w:hAnsiTheme="minorHAnsi" w:cstheme="minorHAnsi"/>
                      <w:sz w:val="22"/>
                      <w:szCs w:val="22"/>
                    </w:rPr>
                    <w:t>ment activities are completed</w:t>
                  </w:r>
                </w:p>
                <w:p w14:paraId="5980445F" w14:textId="77777777" w:rsidR="00422424" w:rsidRDefault="00422424" w:rsidP="0070562F">
                  <w:pPr>
                    <w:spacing w:before="40" w:after="60"/>
                    <w:rPr>
                      <w:b/>
                      <w:color w:val="522F8C"/>
                    </w:rPr>
                  </w:pP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5101"/>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tbl>
            <w:tblPr>
              <w:tblW w:w="14885"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885"/>
            </w:tblGrid>
            <w:tr w:rsidR="00202A6F" w:rsidRPr="00F143C4" w14:paraId="1424581E" w14:textId="77777777" w:rsidTr="00746EEA">
              <w:tc>
                <w:tcPr>
                  <w:tcW w:w="14885" w:type="dxa"/>
                  <w:tcBorders>
                    <w:top w:val="nil"/>
                    <w:left w:val="nil"/>
                    <w:bottom w:val="nil"/>
                    <w:right w:val="nil"/>
                  </w:tcBorders>
                  <w:shd w:val="clear" w:color="auto" w:fill="FFFFFF" w:themeFill="background1"/>
                  <w:hideMark/>
                </w:tcPr>
                <w:p w14:paraId="07199854" w14:textId="77777777" w:rsidR="00961526" w:rsidRDefault="00202A6F" w:rsidP="00202A6F">
                  <w:pPr>
                    <w:pStyle w:val="ListParagraph"/>
                    <w:numPr>
                      <w:ilvl w:val="0"/>
                      <w:numId w:val="25"/>
                    </w:numPr>
                    <w:spacing w:after="60"/>
                    <w:ind w:left="318" w:hanging="284"/>
                    <w:contextualSpacing w:val="0"/>
                    <w:rPr>
                      <w:sz w:val="22"/>
                      <w:szCs w:val="22"/>
                    </w:rPr>
                  </w:pPr>
                  <w:r>
                    <w:rPr>
                      <w:sz w:val="22"/>
                      <w:szCs w:val="22"/>
                    </w:rPr>
                    <w:t xml:space="preserve">Relevant tertiary qualifications in Psychology, Social Work or Allied Health relevant discipline and </w:t>
                  </w:r>
                </w:p>
                <w:p w14:paraId="3C597187" w14:textId="02351920" w:rsidR="00202A6F" w:rsidRPr="00961526" w:rsidRDefault="00202A6F" w:rsidP="00961526">
                  <w:pPr>
                    <w:pStyle w:val="ListParagraph"/>
                    <w:spacing w:after="60"/>
                    <w:ind w:left="318"/>
                    <w:contextualSpacing w:val="0"/>
                    <w:rPr>
                      <w:sz w:val="22"/>
                      <w:szCs w:val="22"/>
                    </w:rPr>
                  </w:pPr>
                  <w:r w:rsidRPr="00961526">
                    <w:rPr>
                      <w:sz w:val="22"/>
                      <w:szCs w:val="22"/>
                    </w:rPr>
                    <w:t>registration with relevant professional body</w:t>
                  </w:r>
                </w:p>
                <w:p w14:paraId="4E652255" w14:textId="7BDA6766" w:rsidR="00202A6F" w:rsidRDefault="00202A6F" w:rsidP="00202A6F">
                  <w:pPr>
                    <w:pStyle w:val="ListParagraph"/>
                    <w:numPr>
                      <w:ilvl w:val="0"/>
                      <w:numId w:val="25"/>
                    </w:numPr>
                    <w:spacing w:after="60"/>
                    <w:ind w:left="318" w:hanging="284"/>
                    <w:contextualSpacing w:val="0"/>
                    <w:rPr>
                      <w:sz w:val="22"/>
                      <w:szCs w:val="22"/>
                    </w:rPr>
                  </w:pPr>
                  <w:r>
                    <w:rPr>
                      <w:sz w:val="22"/>
                      <w:szCs w:val="22"/>
                    </w:rPr>
                    <w:t xml:space="preserve">Extensive experience in providing therapeutic services to </w:t>
                  </w:r>
                  <w:r w:rsidR="00961526">
                    <w:rPr>
                      <w:sz w:val="22"/>
                      <w:szCs w:val="22"/>
                    </w:rPr>
                    <w:t>clients</w:t>
                  </w:r>
                </w:p>
                <w:p w14:paraId="54847CAA" w14:textId="77777777" w:rsidR="00202A6F" w:rsidRDefault="00202A6F" w:rsidP="00202A6F">
                  <w:pPr>
                    <w:pStyle w:val="ListParagraph"/>
                    <w:numPr>
                      <w:ilvl w:val="0"/>
                      <w:numId w:val="25"/>
                    </w:numPr>
                    <w:spacing w:after="60"/>
                    <w:ind w:left="318" w:hanging="284"/>
                    <w:contextualSpacing w:val="0"/>
                    <w:rPr>
                      <w:sz w:val="22"/>
                      <w:szCs w:val="22"/>
                    </w:rPr>
                  </w:pPr>
                  <w:r>
                    <w:rPr>
                      <w:sz w:val="22"/>
                      <w:szCs w:val="22"/>
                    </w:rPr>
                    <w:t>Experience of individual and group counselling</w:t>
                  </w:r>
                </w:p>
                <w:p w14:paraId="79AF563A" w14:textId="77777777" w:rsidR="00202A6F" w:rsidRDefault="00202A6F" w:rsidP="00202A6F">
                  <w:pPr>
                    <w:pStyle w:val="ListParagraph"/>
                    <w:numPr>
                      <w:ilvl w:val="0"/>
                      <w:numId w:val="25"/>
                    </w:numPr>
                    <w:spacing w:after="60"/>
                    <w:ind w:left="318" w:hanging="284"/>
                    <w:contextualSpacing w:val="0"/>
                    <w:rPr>
                      <w:sz w:val="22"/>
                      <w:szCs w:val="22"/>
                    </w:rPr>
                  </w:pPr>
                  <w:r>
                    <w:rPr>
                      <w:sz w:val="22"/>
                      <w:szCs w:val="22"/>
                    </w:rPr>
                    <w:t>Demonstrated experience in delivering Quality Improvement Activities</w:t>
                  </w:r>
                </w:p>
                <w:p w14:paraId="568BF26B" w14:textId="77777777" w:rsidR="00202A6F" w:rsidRDefault="00202A6F" w:rsidP="00202A6F">
                  <w:pPr>
                    <w:pStyle w:val="ListParagraph"/>
                    <w:numPr>
                      <w:ilvl w:val="0"/>
                      <w:numId w:val="25"/>
                    </w:numPr>
                    <w:spacing w:after="60"/>
                    <w:ind w:left="318" w:hanging="284"/>
                    <w:contextualSpacing w:val="0"/>
                    <w:rPr>
                      <w:sz w:val="22"/>
                      <w:szCs w:val="22"/>
                    </w:rPr>
                  </w:pPr>
                  <w:r>
                    <w:rPr>
                      <w:sz w:val="22"/>
                      <w:szCs w:val="22"/>
                    </w:rPr>
                    <w:t>Experience in providing training and mentoring to other staff members</w:t>
                  </w:r>
                </w:p>
                <w:p w14:paraId="51DFDCBE" w14:textId="77777777" w:rsidR="00202A6F" w:rsidRPr="00F143C4" w:rsidRDefault="00202A6F" w:rsidP="00202A6F">
                  <w:pPr>
                    <w:pStyle w:val="ListParagraph"/>
                    <w:numPr>
                      <w:ilvl w:val="0"/>
                      <w:numId w:val="25"/>
                    </w:numPr>
                    <w:spacing w:after="60"/>
                    <w:ind w:left="318" w:hanging="284"/>
                    <w:contextualSpacing w:val="0"/>
                    <w:rPr>
                      <w:sz w:val="22"/>
                      <w:szCs w:val="22"/>
                    </w:rPr>
                  </w:pPr>
                  <w:r>
                    <w:rPr>
                      <w:sz w:val="22"/>
                      <w:szCs w:val="22"/>
                    </w:rPr>
                    <w:t>A valid and current driver’s licence</w:t>
                  </w:r>
                </w:p>
              </w:tc>
            </w:tr>
            <w:tr w:rsidR="00202A6F" w:rsidRPr="00193477" w14:paraId="4B47768C" w14:textId="77777777" w:rsidTr="00746EEA">
              <w:tc>
                <w:tcPr>
                  <w:tcW w:w="14885" w:type="dxa"/>
                  <w:tcBorders>
                    <w:top w:val="nil"/>
                    <w:left w:val="nil"/>
                    <w:bottom w:val="nil"/>
                    <w:right w:val="nil"/>
                  </w:tcBorders>
                  <w:shd w:val="clear" w:color="auto" w:fill="FFFFFF" w:themeFill="background1"/>
                  <w:hideMark/>
                </w:tcPr>
                <w:p w14:paraId="51552A60" w14:textId="77777777" w:rsidR="00202A6F" w:rsidRPr="00193477" w:rsidRDefault="00202A6F" w:rsidP="00202A6F">
                  <w:pPr>
                    <w:spacing w:before="40" w:after="60"/>
                    <w:ind w:left="720" w:hanging="720"/>
                    <w:rPr>
                      <w:b/>
                      <w:color w:val="522F8C"/>
                    </w:rPr>
                  </w:pPr>
                </w:p>
              </w:tc>
            </w:tr>
          </w:tbl>
          <w:p w14:paraId="58AC4B35" w14:textId="77777777" w:rsidR="00F143C4" w:rsidRPr="00F143C4" w:rsidRDefault="00F143C4" w:rsidP="00202A6F">
            <w:pPr>
              <w:pStyle w:val="ListParagraph"/>
              <w:spacing w:after="60"/>
              <w:ind w:left="318"/>
              <w:contextualSpacing w:val="0"/>
              <w:rPr>
                <w:sz w:val="22"/>
                <w:szCs w:val="22"/>
              </w:rPr>
            </w:pP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6107649B" w14:textId="7D29B819" w:rsidR="009537C6" w:rsidRDefault="009537C6" w:rsidP="00202A6F">
            <w:pPr>
              <w:spacing w:before="40" w:after="60"/>
              <w:rPr>
                <w:b/>
                <w:color w:val="522F8C"/>
              </w:rPr>
            </w:pPr>
          </w:p>
          <w:p w14:paraId="538AAFAC" w14:textId="77777777" w:rsidR="00474630" w:rsidRPr="00193477" w:rsidRDefault="00F143C4" w:rsidP="00E64B87">
            <w:pPr>
              <w:spacing w:before="40" w:after="60"/>
              <w:ind w:left="720" w:hanging="720"/>
              <w:rPr>
                <w:b/>
                <w:color w:val="522F8C"/>
              </w:rPr>
            </w:pPr>
            <w:r>
              <w:rPr>
                <w:b/>
                <w:color w:val="522F8C"/>
              </w:rPr>
              <w:lastRenderedPageBreak/>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6933E3D8" w:rsidR="00F143C4" w:rsidRPr="00F143C4" w:rsidRDefault="00202A6F" w:rsidP="00202A6F">
            <w:pPr>
              <w:pStyle w:val="ListParagraph"/>
              <w:numPr>
                <w:ilvl w:val="0"/>
                <w:numId w:val="25"/>
              </w:numPr>
              <w:spacing w:after="60"/>
              <w:ind w:left="318" w:hanging="284"/>
              <w:contextualSpacing w:val="0"/>
              <w:rPr>
                <w:sz w:val="22"/>
                <w:szCs w:val="22"/>
              </w:rPr>
            </w:pPr>
            <w:r>
              <w:rPr>
                <w:sz w:val="22"/>
              </w:rPr>
              <w:lastRenderedPageBreak/>
              <w:t>Ability to collate clinical data and utilise this data to reflect on service changes</w:t>
            </w:r>
            <w:r>
              <w:t>.</w:t>
            </w:r>
          </w:p>
        </w:tc>
      </w:tr>
    </w:tbl>
    <w:p w14:paraId="4BFC6154" w14:textId="77777777" w:rsidR="000B007D" w:rsidRDefault="000B007D" w:rsidP="000B007D">
      <w:pPr>
        <w:ind w:left="720" w:hanging="1146"/>
        <w:rPr>
          <w:b/>
          <w:color w:val="722D69"/>
          <w:sz w:val="28"/>
        </w:rPr>
      </w:pPr>
    </w:p>
    <w:p w14:paraId="30CA8D7D" w14:textId="77777777" w:rsidR="007454A0" w:rsidRDefault="007454A0" w:rsidP="000B007D">
      <w:pPr>
        <w:ind w:left="720" w:hanging="1146"/>
        <w:rPr>
          <w:b/>
          <w:color w:val="722D69"/>
          <w:sz w:val="28"/>
        </w:rPr>
      </w:pPr>
    </w:p>
    <w:p w14:paraId="6BDDB43F" w14:textId="77777777" w:rsidR="007454A0" w:rsidRDefault="007454A0" w:rsidP="000B007D">
      <w:pPr>
        <w:ind w:left="720" w:hanging="1146"/>
        <w:rPr>
          <w:b/>
          <w:color w:val="722D69"/>
          <w:sz w:val="28"/>
        </w:rPr>
      </w:pPr>
    </w:p>
    <w:p w14:paraId="69158670" w14:textId="77777777" w:rsidR="00B47289" w:rsidRDefault="007454A0" w:rsidP="007454A0">
      <w:pPr>
        <w:ind w:left="720" w:hanging="1004"/>
        <w:rPr>
          <w:b/>
          <w:color w:val="722D69"/>
          <w:sz w:val="28"/>
        </w:rPr>
      </w:pPr>
      <w:r>
        <w:rPr>
          <w:b/>
          <w:color w:val="722D69"/>
          <w:sz w:val="28"/>
        </w:rPr>
        <w:t xml:space="preserve">Compliance checks required </w:t>
      </w:r>
    </w:p>
    <w:p w14:paraId="1F135AA7" w14:textId="265FA6E6"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61526">
            <w:rPr>
              <w:rFonts w:ascii="MS Gothic" w:eastAsia="MS Gothic" w:hAnsi="MS Gothic" w:hint="eastAsia"/>
              <w:b/>
              <w:color w:val="522F8C"/>
            </w:rPr>
            <w:t>☒</w:t>
          </w:r>
        </w:sdtContent>
      </w:sdt>
    </w:p>
    <w:p w14:paraId="0030A2D4" w14:textId="0C4F3168"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61526">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520C30E2"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61526">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AD2EB" w14:textId="77777777" w:rsidR="00860B5C" w:rsidRDefault="00860B5C" w:rsidP="00985745">
      <w:r>
        <w:separator/>
      </w:r>
    </w:p>
  </w:endnote>
  <w:endnote w:type="continuationSeparator" w:id="0">
    <w:p w14:paraId="7E268B7B" w14:textId="77777777" w:rsidR="00860B5C" w:rsidRDefault="00860B5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5AA87D7A"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4F0001">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A72B" w14:textId="77777777" w:rsidR="00860B5C" w:rsidRDefault="00860B5C" w:rsidP="00985745">
      <w:r>
        <w:separator/>
      </w:r>
    </w:p>
  </w:footnote>
  <w:footnote w:type="continuationSeparator" w:id="0">
    <w:p w14:paraId="198D9A84" w14:textId="77777777" w:rsidR="00860B5C" w:rsidRDefault="00860B5C"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0074E9"/>
    <w:multiLevelType w:val="hybridMultilevel"/>
    <w:tmpl w:val="08FCED9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7"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9"/>
  </w:num>
  <w:num w:numId="4">
    <w:abstractNumId w:val="10"/>
  </w:num>
  <w:num w:numId="5">
    <w:abstractNumId w:val="2"/>
  </w:num>
  <w:num w:numId="6">
    <w:abstractNumId w:val="3"/>
  </w:num>
  <w:num w:numId="7">
    <w:abstractNumId w:val="9"/>
  </w:num>
  <w:num w:numId="8">
    <w:abstractNumId w:val="24"/>
  </w:num>
  <w:num w:numId="9">
    <w:abstractNumId w:val="20"/>
  </w:num>
  <w:num w:numId="10">
    <w:abstractNumId w:val="14"/>
  </w:num>
  <w:num w:numId="11">
    <w:abstractNumId w:val="18"/>
  </w:num>
  <w:num w:numId="12">
    <w:abstractNumId w:val="22"/>
  </w:num>
  <w:num w:numId="13">
    <w:abstractNumId w:val="28"/>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1"/>
  </w:num>
  <w:num w:numId="22">
    <w:abstractNumId w:val="4"/>
  </w:num>
  <w:num w:numId="23">
    <w:abstractNumId w:val="17"/>
  </w:num>
  <w:num w:numId="24">
    <w:abstractNumId w:val="27"/>
  </w:num>
  <w:num w:numId="25">
    <w:abstractNumId w:val="16"/>
  </w:num>
  <w:num w:numId="26">
    <w:abstractNumId w:val="6"/>
  </w:num>
  <w:num w:numId="27">
    <w:abstractNumId w:val="29"/>
  </w:num>
  <w:num w:numId="28">
    <w:abstractNumId w:val="7"/>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num>
  <w:num w:numId="32">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1ABD"/>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2A6F"/>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3E02"/>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001"/>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0B5C"/>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526"/>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28D3"/>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57F04"/>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202A6F"/>
    <w:pPr>
      <w:numPr>
        <w:numId w:val="30"/>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202A6F"/>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271B70"/>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DE3D3D7D-F798-44EF-8619-D2B5F4B8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7087</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2</cp:revision>
  <cp:lastPrinted>2019-09-02T02:08:00Z</cp:lastPrinted>
  <dcterms:created xsi:type="dcterms:W3CDTF">2019-09-03T00:39:00Z</dcterms:created>
  <dcterms:modified xsi:type="dcterms:W3CDTF">2019-09-03T00:39:00Z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