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636E" w14:textId="77777777" w:rsidR="001564EA" w:rsidRPr="00ED255E" w:rsidRDefault="001564EA" w:rsidP="001564EA">
      <w:pPr>
        <w:spacing w:after="120" w:afterAutospacing="0"/>
        <w:rPr>
          <w:rFonts w:ascii="Century Gothic" w:hAnsi="Century Gothic" w:cs="Gill Sans"/>
          <w:b/>
          <w:sz w:val="30"/>
          <w:szCs w:val="30"/>
        </w:rPr>
      </w:pPr>
      <w:r w:rsidRPr="00ED255E">
        <w:rPr>
          <w:rFonts w:ascii="Century Gothic" w:hAnsi="Century Gothic" w:cs="Gill Sans"/>
          <w:b/>
          <w:noProof/>
          <w:sz w:val="30"/>
          <w:szCs w:val="30"/>
        </w:rPr>
        <w:drawing>
          <wp:anchor distT="0" distB="0" distL="114300" distR="114300" simplePos="0" relativeHeight="251658240" behindDoc="0" locked="0" layoutInCell="1" allowOverlap="1" wp14:anchorId="412A6161" wp14:editId="11E6ADF1">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55E">
        <w:rPr>
          <w:rFonts w:ascii="Century Gothic" w:hAnsi="Century Gothic" w:cs="Gill Sans"/>
          <w:b/>
          <w:sz w:val="30"/>
          <w:szCs w:val="30"/>
        </w:rPr>
        <w:t xml:space="preserve">Department </w:t>
      </w:r>
      <w:r w:rsidRPr="00ED255E">
        <w:rPr>
          <w:rFonts w:ascii="Century Gothic" w:hAnsi="Century Gothic" w:cs="Gill Sans"/>
          <w:b/>
          <w:i/>
          <w:sz w:val="30"/>
          <w:szCs w:val="30"/>
        </w:rPr>
        <w:t xml:space="preserve">of </w:t>
      </w:r>
      <w:r w:rsidRPr="00ED255E">
        <w:rPr>
          <w:rFonts w:ascii="Century Gothic" w:hAnsi="Century Gothic" w:cs="Gill Sans"/>
          <w:b/>
          <w:sz w:val="30"/>
          <w:szCs w:val="30"/>
        </w:rPr>
        <w:t>Police</w:t>
      </w:r>
      <w:r w:rsidR="001D1E1C" w:rsidRPr="00ED255E">
        <w:rPr>
          <w:rFonts w:ascii="Century Gothic" w:hAnsi="Century Gothic" w:cs="Gill Sans"/>
          <w:b/>
          <w:sz w:val="30"/>
          <w:szCs w:val="30"/>
        </w:rPr>
        <w:t>, Fire</w:t>
      </w:r>
      <w:r w:rsidRPr="00ED255E">
        <w:rPr>
          <w:rFonts w:ascii="Century Gothic" w:hAnsi="Century Gothic" w:cs="Gill Sans"/>
          <w:b/>
          <w:sz w:val="30"/>
          <w:szCs w:val="30"/>
        </w:rPr>
        <w:t xml:space="preserve"> </w:t>
      </w:r>
      <w:r w:rsidRPr="00ED255E">
        <w:rPr>
          <w:rFonts w:ascii="Century Gothic" w:hAnsi="Century Gothic" w:cs="Gill Sans"/>
          <w:b/>
          <w:i/>
          <w:sz w:val="30"/>
          <w:szCs w:val="30"/>
        </w:rPr>
        <w:t xml:space="preserve">and </w:t>
      </w:r>
      <w:r w:rsidRPr="00ED255E">
        <w:rPr>
          <w:rFonts w:ascii="Century Gothic" w:hAnsi="Century Gothic" w:cs="Gill Sans"/>
          <w:b/>
          <w:sz w:val="30"/>
          <w:szCs w:val="30"/>
        </w:rPr>
        <w:t>Emergency Management</w:t>
      </w:r>
    </w:p>
    <w:p w14:paraId="2E8158F1" w14:textId="77777777" w:rsidR="001564EA" w:rsidRPr="00ED255E" w:rsidRDefault="001564EA" w:rsidP="001564EA">
      <w:pPr>
        <w:spacing w:before="0" w:beforeAutospacing="0" w:after="120" w:afterAutospacing="0"/>
        <w:rPr>
          <w:rFonts w:ascii="Century Gothic" w:hAnsi="Century Gothic" w:cs="Gill Sans"/>
          <w:b/>
          <w:sz w:val="30"/>
          <w:szCs w:val="30"/>
        </w:rPr>
      </w:pPr>
      <w:r w:rsidRPr="00ED255E">
        <w:rPr>
          <w:rFonts w:ascii="Century Gothic" w:hAnsi="Century Gothic" w:cs="Gill Sans"/>
          <w:b/>
          <w:sz w:val="30"/>
          <w:szCs w:val="30"/>
        </w:rPr>
        <w:t>STATEMENT OF DUTIES</w:t>
      </w:r>
    </w:p>
    <w:p w14:paraId="333DD145" w14:textId="77777777" w:rsidR="001564EA" w:rsidRPr="00ED255E"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ED255E" w14:paraId="0AFF170B" w14:textId="77777777" w:rsidTr="000C510C">
        <w:tc>
          <w:tcPr>
            <w:tcW w:w="2802" w:type="dxa"/>
            <w:vAlign w:val="center"/>
          </w:tcPr>
          <w:p w14:paraId="659214FD" w14:textId="77777777" w:rsidR="001564EA" w:rsidRPr="00ED255E" w:rsidRDefault="001564EA" w:rsidP="000C510C">
            <w:pPr>
              <w:rPr>
                <w:rFonts w:ascii="Century Gothic" w:hAnsi="Century Gothic" w:cs="Gill Sans"/>
                <w:sz w:val="24"/>
                <w:szCs w:val="24"/>
              </w:rPr>
            </w:pPr>
            <w:r w:rsidRPr="00ED255E">
              <w:rPr>
                <w:rFonts w:ascii="Century Gothic" w:hAnsi="Century Gothic" w:cs="Gill Sans"/>
                <w:sz w:val="24"/>
                <w:szCs w:val="24"/>
              </w:rPr>
              <w:t>Title</w:t>
            </w:r>
          </w:p>
        </w:tc>
        <w:tc>
          <w:tcPr>
            <w:tcW w:w="6520" w:type="dxa"/>
            <w:vAlign w:val="center"/>
          </w:tcPr>
          <w:p w14:paraId="303C0E58" w14:textId="0E4FA51C" w:rsidR="001564EA" w:rsidRPr="00D939F5" w:rsidRDefault="00EE7507" w:rsidP="00CC56E6">
            <w:pPr>
              <w:rPr>
                <w:rFonts w:ascii="Century Gothic" w:hAnsi="Century Gothic" w:cs="Gill Sans"/>
                <w:sz w:val="32"/>
              </w:rPr>
            </w:pPr>
            <w:r>
              <w:rPr>
                <w:rFonts w:ascii="Century Gothic" w:hAnsi="Century Gothic" w:cs="Gill Sans"/>
                <w:sz w:val="32"/>
              </w:rPr>
              <w:t>Legal Practitioner</w:t>
            </w:r>
          </w:p>
        </w:tc>
      </w:tr>
      <w:tr w:rsidR="004000CC" w:rsidRPr="004000CC" w14:paraId="47BEEAEB" w14:textId="77777777" w:rsidTr="000C510C">
        <w:tc>
          <w:tcPr>
            <w:tcW w:w="2802" w:type="dxa"/>
            <w:vAlign w:val="center"/>
          </w:tcPr>
          <w:p w14:paraId="7723C900"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Position Number</w:t>
            </w:r>
          </w:p>
        </w:tc>
        <w:tc>
          <w:tcPr>
            <w:tcW w:w="6520" w:type="dxa"/>
            <w:vAlign w:val="center"/>
          </w:tcPr>
          <w:p w14:paraId="32E2F432" w14:textId="61659A3E" w:rsidR="001564EA" w:rsidRPr="004000CC" w:rsidRDefault="00565BF5" w:rsidP="000C510C">
            <w:pPr>
              <w:rPr>
                <w:rFonts w:ascii="Century Gothic" w:hAnsi="Century Gothic" w:cs="Gill Sans"/>
                <w:sz w:val="24"/>
                <w:szCs w:val="24"/>
              </w:rPr>
            </w:pPr>
            <w:r>
              <w:rPr>
                <w:rFonts w:ascii="Century Gothic" w:hAnsi="Century Gothic" w:cs="Gill Sans"/>
                <w:sz w:val="24"/>
                <w:szCs w:val="24"/>
              </w:rPr>
              <w:t xml:space="preserve">004929, </w:t>
            </w:r>
            <w:r w:rsidR="006562CF" w:rsidRPr="006562CF">
              <w:rPr>
                <w:rFonts w:ascii="Century Gothic" w:hAnsi="Century Gothic" w:cs="Gill Sans"/>
                <w:sz w:val="24"/>
                <w:szCs w:val="24"/>
              </w:rPr>
              <w:t>005206</w:t>
            </w:r>
            <w:r w:rsidR="008A26A2">
              <w:rPr>
                <w:rFonts w:ascii="Century Gothic" w:hAnsi="Century Gothic" w:cs="Gill Sans"/>
                <w:sz w:val="24"/>
                <w:szCs w:val="24"/>
              </w:rPr>
              <w:t>, 005276</w:t>
            </w:r>
            <w:r w:rsidR="00E858A5">
              <w:rPr>
                <w:rFonts w:ascii="Century Gothic" w:hAnsi="Century Gothic" w:cs="Gill Sans"/>
                <w:sz w:val="24"/>
                <w:szCs w:val="24"/>
              </w:rPr>
              <w:t>, 005314</w:t>
            </w:r>
            <w:r w:rsidR="000F09B2">
              <w:rPr>
                <w:rFonts w:ascii="Century Gothic" w:hAnsi="Century Gothic" w:cs="Gill Sans"/>
                <w:sz w:val="24"/>
                <w:szCs w:val="24"/>
              </w:rPr>
              <w:t>, 004251</w:t>
            </w:r>
          </w:p>
        </w:tc>
      </w:tr>
      <w:tr w:rsidR="004000CC" w:rsidRPr="004000CC" w14:paraId="42A48164" w14:textId="77777777" w:rsidTr="000C510C">
        <w:trPr>
          <w:trHeight w:val="406"/>
        </w:trPr>
        <w:tc>
          <w:tcPr>
            <w:tcW w:w="2802" w:type="dxa"/>
            <w:vAlign w:val="center"/>
          </w:tcPr>
          <w:p w14:paraId="02472187"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Business Unit</w:t>
            </w:r>
          </w:p>
        </w:tc>
        <w:tc>
          <w:tcPr>
            <w:tcW w:w="6520" w:type="dxa"/>
            <w:vAlign w:val="center"/>
          </w:tcPr>
          <w:p w14:paraId="7DDDD796" w14:textId="77777777" w:rsidR="001564EA" w:rsidRPr="004000CC" w:rsidRDefault="00300A34" w:rsidP="000C510C">
            <w:pPr>
              <w:ind w:left="34"/>
              <w:rPr>
                <w:rFonts w:ascii="Century Gothic" w:hAnsi="Century Gothic" w:cs="Gill Sans"/>
                <w:sz w:val="24"/>
                <w:szCs w:val="24"/>
              </w:rPr>
            </w:pPr>
            <w:r w:rsidRPr="004000CC">
              <w:rPr>
                <w:rFonts w:ascii="Century Gothic" w:hAnsi="Century Gothic" w:cs="Gill Sans"/>
                <w:sz w:val="24"/>
                <w:szCs w:val="24"/>
              </w:rPr>
              <w:t>Southern, Northern, Western</w:t>
            </w:r>
          </w:p>
        </w:tc>
      </w:tr>
      <w:tr w:rsidR="004000CC" w:rsidRPr="004000CC" w14:paraId="20FBB774" w14:textId="77777777" w:rsidTr="000C510C">
        <w:tc>
          <w:tcPr>
            <w:tcW w:w="2802" w:type="dxa"/>
            <w:vAlign w:val="center"/>
          </w:tcPr>
          <w:p w14:paraId="3C04B976"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Branch / Section</w:t>
            </w:r>
          </w:p>
        </w:tc>
        <w:tc>
          <w:tcPr>
            <w:tcW w:w="6520" w:type="dxa"/>
            <w:vAlign w:val="center"/>
          </w:tcPr>
          <w:p w14:paraId="1C4BBF6F" w14:textId="77777777" w:rsidR="001564EA" w:rsidRPr="004000CC" w:rsidRDefault="00C75FE9" w:rsidP="000C510C">
            <w:pPr>
              <w:ind w:left="34"/>
              <w:rPr>
                <w:rFonts w:ascii="Century Gothic" w:hAnsi="Century Gothic" w:cs="Gill Sans"/>
                <w:sz w:val="24"/>
                <w:szCs w:val="24"/>
              </w:rPr>
            </w:pPr>
            <w:r w:rsidRPr="004000CC">
              <w:rPr>
                <w:rFonts w:ascii="Century Gothic" w:hAnsi="Century Gothic" w:cs="Gill Sans"/>
                <w:sz w:val="24"/>
                <w:szCs w:val="24"/>
              </w:rPr>
              <w:t>Prosecution Services</w:t>
            </w:r>
          </w:p>
        </w:tc>
      </w:tr>
      <w:tr w:rsidR="004000CC" w:rsidRPr="004000CC" w14:paraId="55115C07" w14:textId="77777777" w:rsidTr="000C510C">
        <w:tc>
          <w:tcPr>
            <w:tcW w:w="2802" w:type="dxa"/>
            <w:vAlign w:val="center"/>
          </w:tcPr>
          <w:p w14:paraId="73B9A478"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Location</w:t>
            </w:r>
          </w:p>
        </w:tc>
        <w:tc>
          <w:tcPr>
            <w:tcW w:w="6520" w:type="dxa"/>
            <w:vAlign w:val="center"/>
          </w:tcPr>
          <w:p w14:paraId="33E78CCD" w14:textId="331BB3B0" w:rsidR="001564EA" w:rsidRPr="004000CC" w:rsidRDefault="004552B5" w:rsidP="000C510C">
            <w:pPr>
              <w:ind w:left="34"/>
              <w:rPr>
                <w:rFonts w:ascii="Century Gothic" w:hAnsi="Century Gothic" w:cs="Gill Sans"/>
                <w:sz w:val="24"/>
                <w:szCs w:val="24"/>
              </w:rPr>
            </w:pPr>
            <w:r>
              <w:rPr>
                <w:rFonts w:ascii="Century Gothic" w:hAnsi="Century Gothic" w:cs="Gill Sans"/>
                <w:sz w:val="24"/>
                <w:szCs w:val="24"/>
              </w:rPr>
              <w:t>Burnie</w:t>
            </w:r>
            <w:r w:rsidR="00FC2A2E">
              <w:rPr>
                <w:rFonts w:ascii="Century Gothic" w:hAnsi="Century Gothic" w:cs="Gill Sans"/>
                <w:sz w:val="24"/>
                <w:szCs w:val="24"/>
              </w:rPr>
              <w:t>, Launceston, Hobart</w:t>
            </w:r>
          </w:p>
        </w:tc>
      </w:tr>
      <w:tr w:rsidR="004000CC" w:rsidRPr="004000CC" w14:paraId="24E671B1" w14:textId="77777777" w:rsidTr="000C510C">
        <w:tc>
          <w:tcPr>
            <w:tcW w:w="2802" w:type="dxa"/>
            <w:vAlign w:val="center"/>
          </w:tcPr>
          <w:p w14:paraId="1604644B"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Immediate Supervisor</w:t>
            </w:r>
          </w:p>
        </w:tc>
        <w:tc>
          <w:tcPr>
            <w:tcW w:w="6520" w:type="dxa"/>
            <w:vAlign w:val="center"/>
          </w:tcPr>
          <w:p w14:paraId="41884C5D" w14:textId="08C9F3AE" w:rsidR="001564EA" w:rsidRPr="004000CC" w:rsidRDefault="0071556C" w:rsidP="000C510C">
            <w:pPr>
              <w:ind w:left="34"/>
              <w:rPr>
                <w:rFonts w:ascii="Century Gothic" w:hAnsi="Century Gothic" w:cs="Gill Sans"/>
                <w:sz w:val="24"/>
                <w:szCs w:val="24"/>
              </w:rPr>
            </w:pPr>
            <w:r>
              <w:rPr>
                <w:rFonts w:ascii="Century Gothic" w:hAnsi="Century Gothic" w:cs="Gill Sans"/>
                <w:sz w:val="24"/>
                <w:szCs w:val="24"/>
              </w:rPr>
              <w:t>Inspector</w:t>
            </w:r>
            <w:r w:rsidR="00F43873">
              <w:rPr>
                <w:rFonts w:ascii="Century Gothic" w:hAnsi="Century Gothic" w:cs="Gill Sans"/>
                <w:sz w:val="24"/>
                <w:szCs w:val="24"/>
              </w:rPr>
              <w:t>, Prosecution Services</w:t>
            </w:r>
          </w:p>
        </w:tc>
      </w:tr>
      <w:tr w:rsidR="004000CC" w:rsidRPr="004000CC" w14:paraId="63F0A85E" w14:textId="77777777" w:rsidTr="000C510C">
        <w:tc>
          <w:tcPr>
            <w:tcW w:w="2802" w:type="dxa"/>
            <w:vAlign w:val="center"/>
          </w:tcPr>
          <w:p w14:paraId="37A447FA"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Award</w:t>
            </w:r>
          </w:p>
        </w:tc>
        <w:tc>
          <w:tcPr>
            <w:tcW w:w="6520" w:type="dxa"/>
            <w:vAlign w:val="center"/>
          </w:tcPr>
          <w:p w14:paraId="346A0FE6" w14:textId="345F234D" w:rsidR="001564EA" w:rsidRPr="004000CC" w:rsidRDefault="001564EA" w:rsidP="000C510C">
            <w:pPr>
              <w:ind w:left="34"/>
              <w:rPr>
                <w:rFonts w:ascii="Century Gothic" w:hAnsi="Century Gothic" w:cs="Gill Sans"/>
                <w:sz w:val="24"/>
                <w:szCs w:val="24"/>
              </w:rPr>
            </w:pPr>
            <w:r w:rsidRPr="004000CC">
              <w:rPr>
                <w:rFonts w:ascii="Century Gothic" w:hAnsi="Century Gothic" w:cs="Gill Sans"/>
                <w:sz w:val="24"/>
                <w:szCs w:val="24"/>
              </w:rPr>
              <w:t>Tasmanian State Service Award</w:t>
            </w:r>
            <w:r w:rsidR="00EE7507" w:rsidRPr="004000CC">
              <w:rPr>
                <w:rFonts w:ascii="Century Gothic" w:hAnsi="Century Gothic" w:cs="Gill Sans"/>
                <w:sz w:val="24"/>
                <w:szCs w:val="24"/>
              </w:rPr>
              <w:t xml:space="preserve"> / Legal Practitioners Agreement 201</w:t>
            </w:r>
            <w:r w:rsidR="00853B2D" w:rsidRPr="004000CC">
              <w:rPr>
                <w:rFonts w:ascii="Century Gothic" w:hAnsi="Century Gothic" w:cs="Gill Sans"/>
                <w:sz w:val="24"/>
                <w:szCs w:val="24"/>
              </w:rPr>
              <w:t>9</w:t>
            </w:r>
          </w:p>
        </w:tc>
      </w:tr>
      <w:tr w:rsidR="004000CC" w:rsidRPr="004000CC" w14:paraId="2D11CDBD" w14:textId="77777777" w:rsidTr="000C510C">
        <w:tc>
          <w:tcPr>
            <w:tcW w:w="2802" w:type="dxa"/>
            <w:vAlign w:val="center"/>
          </w:tcPr>
          <w:p w14:paraId="227818BC"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Employment Conditions</w:t>
            </w:r>
          </w:p>
        </w:tc>
        <w:tc>
          <w:tcPr>
            <w:tcW w:w="6520" w:type="dxa"/>
            <w:vAlign w:val="center"/>
          </w:tcPr>
          <w:p w14:paraId="74599E10" w14:textId="297365F5" w:rsidR="001564EA" w:rsidRPr="004000CC" w:rsidRDefault="000F09B2" w:rsidP="000C510C">
            <w:pPr>
              <w:ind w:left="34"/>
              <w:rPr>
                <w:rFonts w:ascii="Century Gothic" w:hAnsi="Century Gothic" w:cs="Gill Sans"/>
                <w:sz w:val="24"/>
                <w:szCs w:val="24"/>
              </w:rPr>
            </w:pPr>
            <w:r>
              <w:rPr>
                <w:rFonts w:ascii="Century Gothic" w:hAnsi="Century Gothic" w:cs="Gill Sans"/>
                <w:sz w:val="24"/>
                <w:szCs w:val="24"/>
              </w:rPr>
              <w:t>Full-time, Part-time, Permanent, Fixed-term</w:t>
            </w:r>
            <w:r w:rsidR="005550CF">
              <w:rPr>
                <w:rFonts w:ascii="Century Gothic" w:hAnsi="Century Gothic" w:cs="Gill Sans"/>
                <w:sz w:val="24"/>
                <w:szCs w:val="24"/>
              </w:rPr>
              <w:t xml:space="preserve">. </w:t>
            </w:r>
          </w:p>
        </w:tc>
      </w:tr>
      <w:tr w:rsidR="001564EA" w:rsidRPr="004000CC" w14:paraId="1E9D6020" w14:textId="77777777" w:rsidTr="000C510C">
        <w:tc>
          <w:tcPr>
            <w:tcW w:w="2802" w:type="dxa"/>
            <w:vAlign w:val="center"/>
          </w:tcPr>
          <w:p w14:paraId="1F0EA44D" w14:textId="77777777" w:rsidR="001564EA" w:rsidRPr="004000CC" w:rsidRDefault="001564EA" w:rsidP="000C510C">
            <w:pPr>
              <w:rPr>
                <w:rFonts w:ascii="Century Gothic" w:hAnsi="Century Gothic" w:cs="Gill Sans"/>
                <w:sz w:val="24"/>
                <w:szCs w:val="24"/>
              </w:rPr>
            </w:pPr>
            <w:r w:rsidRPr="004000CC">
              <w:rPr>
                <w:rFonts w:ascii="Century Gothic" w:hAnsi="Century Gothic" w:cs="Gill Sans"/>
                <w:sz w:val="24"/>
                <w:szCs w:val="24"/>
              </w:rPr>
              <w:t>Classification</w:t>
            </w:r>
          </w:p>
        </w:tc>
        <w:tc>
          <w:tcPr>
            <w:tcW w:w="6520" w:type="dxa"/>
            <w:vAlign w:val="center"/>
          </w:tcPr>
          <w:p w14:paraId="0FC1F33F" w14:textId="17A8BB5E" w:rsidR="001564EA" w:rsidRPr="004000CC" w:rsidRDefault="0071166A" w:rsidP="000C510C">
            <w:pPr>
              <w:ind w:left="34"/>
              <w:rPr>
                <w:rFonts w:ascii="Century Gothic" w:hAnsi="Century Gothic" w:cs="Gill Sans"/>
                <w:sz w:val="24"/>
                <w:szCs w:val="24"/>
              </w:rPr>
            </w:pPr>
            <w:r w:rsidRPr="004000CC">
              <w:rPr>
                <w:rFonts w:ascii="Century Gothic" w:hAnsi="Century Gothic" w:cs="Gill Sans"/>
                <w:sz w:val="24"/>
                <w:szCs w:val="24"/>
              </w:rPr>
              <w:t xml:space="preserve">Legal </w:t>
            </w:r>
            <w:r w:rsidR="00C75FE9" w:rsidRPr="004000CC">
              <w:rPr>
                <w:rFonts w:ascii="Century Gothic" w:hAnsi="Century Gothic" w:cs="Gill Sans"/>
                <w:sz w:val="24"/>
                <w:szCs w:val="24"/>
              </w:rPr>
              <w:t>Level 2</w:t>
            </w:r>
          </w:p>
        </w:tc>
      </w:tr>
    </w:tbl>
    <w:p w14:paraId="167D73DC" w14:textId="77777777" w:rsidR="001564EA" w:rsidRPr="004000CC" w:rsidRDefault="001564EA" w:rsidP="00335F70">
      <w:pPr>
        <w:pBdr>
          <w:bottom w:val="single" w:sz="4" w:space="0" w:color="auto"/>
        </w:pBdr>
        <w:rPr>
          <w:rFonts w:ascii="Century Gothic" w:hAnsi="Century Gothic" w:cs="Gill Sans"/>
        </w:rPr>
      </w:pPr>
    </w:p>
    <w:p w14:paraId="65D2764B" w14:textId="77777777" w:rsidR="001564EA" w:rsidRPr="004000CC" w:rsidRDefault="001564EA" w:rsidP="001564EA">
      <w:pPr>
        <w:spacing w:before="120" w:beforeAutospacing="0" w:after="120" w:afterAutospacing="0"/>
        <w:rPr>
          <w:rFonts w:ascii="Century Gothic" w:hAnsi="Century Gothic" w:cs="Gill Sans"/>
          <w:sz w:val="32"/>
        </w:rPr>
      </w:pPr>
      <w:r w:rsidRPr="004000CC">
        <w:rPr>
          <w:rFonts w:ascii="Century Gothic" w:hAnsi="Century Gothic" w:cs="Gill Sans"/>
          <w:b/>
          <w:sz w:val="28"/>
          <w:szCs w:val="28"/>
        </w:rPr>
        <w:t>Focus:</w:t>
      </w:r>
      <w:r w:rsidRPr="004000CC">
        <w:rPr>
          <w:rFonts w:ascii="Century Gothic" w:hAnsi="Century Gothic" w:cs="Gill Sans"/>
          <w:sz w:val="32"/>
        </w:rPr>
        <w:t xml:space="preserve"> </w:t>
      </w:r>
      <w:r w:rsidRPr="004000CC">
        <w:rPr>
          <w:rFonts w:ascii="Century Gothic" w:hAnsi="Century Gothic" w:cs="Gill Sans"/>
          <w:sz w:val="32"/>
        </w:rPr>
        <w:tab/>
      </w:r>
    </w:p>
    <w:p w14:paraId="3B9D84F5" w14:textId="3F4EE7C2" w:rsidR="00605D11" w:rsidRPr="004000CC" w:rsidRDefault="00605D11" w:rsidP="00605D11">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The Legal Practitioner will undertake litigation on behalf of, and provide legal services and support to, the Department of Police and Emergency Management with particular emphasis on matters relating to family violence</w:t>
      </w:r>
      <w:r w:rsidR="0071166A" w:rsidRPr="004000CC">
        <w:rPr>
          <w:rFonts w:ascii="Century Gothic" w:hAnsi="Century Gothic" w:cs="Gill Sans"/>
          <w:sz w:val="24"/>
          <w:szCs w:val="20"/>
        </w:rPr>
        <w:t xml:space="preserve"> as part of the</w:t>
      </w:r>
      <w:r w:rsidR="0071166A" w:rsidRPr="004000CC">
        <w:rPr>
          <w:rFonts w:ascii="Century Gothic" w:hAnsi="Century Gothic" w:cs="Gill Sans"/>
          <w:i/>
          <w:sz w:val="24"/>
          <w:szCs w:val="20"/>
        </w:rPr>
        <w:t xml:space="preserve"> Safe at Home</w:t>
      </w:r>
      <w:r w:rsidR="0071166A" w:rsidRPr="004000CC">
        <w:rPr>
          <w:rFonts w:ascii="Century Gothic" w:hAnsi="Century Gothic" w:cs="Gill Sans"/>
          <w:sz w:val="24"/>
          <w:szCs w:val="20"/>
        </w:rPr>
        <w:t xml:space="preserve"> whole-of-government strategy for preventing, reducing, and responding to incidents of family violence in Tasmania.</w:t>
      </w:r>
    </w:p>
    <w:p w14:paraId="17B2CA23" w14:textId="77777777" w:rsidR="0071166A" w:rsidRPr="004000CC" w:rsidRDefault="0071166A" w:rsidP="00257427">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i/>
          <w:sz w:val="24"/>
          <w:szCs w:val="20"/>
        </w:rPr>
      </w:pPr>
    </w:p>
    <w:p w14:paraId="7A3B7222" w14:textId="77777777" w:rsidR="00157582" w:rsidRPr="004000CC" w:rsidRDefault="001564EA" w:rsidP="001564EA">
      <w:pPr>
        <w:spacing w:before="0" w:beforeAutospacing="0" w:after="120" w:afterAutospacing="0"/>
        <w:rPr>
          <w:rFonts w:ascii="Century Gothic" w:hAnsi="Century Gothic" w:cs="Gill Sans"/>
          <w:sz w:val="32"/>
        </w:rPr>
      </w:pPr>
      <w:r w:rsidRPr="004000CC">
        <w:rPr>
          <w:rFonts w:ascii="Century Gothic" w:hAnsi="Century Gothic" w:cs="Gill Sans"/>
          <w:b/>
          <w:sz w:val="28"/>
          <w:szCs w:val="28"/>
        </w:rPr>
        <w:t>Primary Duties:</w:t>
      </w:r>
      <w:r w:rsidRPr="004000CC">
        <w:rPr>
          <w:rFonts w:ascii="Century Gothic" w:hAnsi="Century Gothic" w:cs="Gill Sans"/>
          <w:sz w:val="32"/>
        </w:rPr>
        <w:tab/>
      </w:r>
      <w:r w:rsidRPr="004000CC">
        <w:rPr>
          <w:rFonts w:ascii="Century Gothic" w:hAnsi="Century Gothic" w:cs="Gill Sans"/>
          <w:sz w:val="32"/>
        </w:rPr>
        <w:tab/>
      </w:r>
      <w:r w:rsidRPr="004000CC">
        <w:rPr>
          <w:rFonts w:ascii="Century Gothic" w:hAnsi="Century Gothic" w:cs="Gill Sans"/>
          <w:sz w:val="32"/>
        </w:rPr>
        <w:tab/>
      </w:r>
    </w:p>
    <w:p w14:paraId="55967D28"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Conduct of summary prosecutions and other litigation on behalf of the Department relating to family violence and other matters, as directed.</w:t>
      </w:r>
    </w:p>
    <w:p w14:paraId="094C5CA6"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0"/>
        </w:rPr>
      </w:pPr>
      <w:r w:rsidRPr="004000CC">
        <w:rPr>
          <w:rFonts w:ascii="Century Gothic" w:hAnsi="Century Gothic" w:cs="Gill Sans"/>
          <w:sz w:val="24"/>
          <w:szCs w:val="20"/>
        </w:rPr>
        <w:t>Provide legal advice, support and assistance in respect of the conduct of summary prosecutions and other proceedings, including maintaining effective liaison with complainants, victims of crime, police officers, witnesses and officers of relevant instrumentalities and/or agencies.</w:t>
      </w:r>
    </w:p>
    <w:p w14:paraId="518AFC1C" w14:textId="77777777" w:rsidR="00ED255E"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0"/>
        </w:rPr>
        <w:t xml:space="preserve">Undertake research and provide advice on routine legal matters </w:t>
      </w:r>
      <w:r w:rsidRPr="004000CC">
        <w:rPr>
          <w:rFonts w:ascii="Century Gothic" w:hAnsi="Century Gothic" w:cs="Gill Sans"/>
          <w:sz w:val="24"/>
          <w:szCs w:val="24"/>
        </w:rPr>
        <w:t>ranging to more complex issues.</w:t>
      </w:r>
    </w:p>
    <w:p w14:paraId="5BF693AA"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Prepare and/or co-ordinate the preparation of reports, reviews, briefing notes and other documentation on legislative and policy matters relating to family violence and other matters, as directed.</w:t>
      </w:r>
    </w:p>
    <w:p w14:paraId="1D8BC444"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lastRenderedPageBreak/>
        <w:t>Mentor and assist less experienced legal practitioners or prosecutors in relation to legal matters, the conduct of summary prosecutions and other litigation on behalf of the Department.</w:t>
      </w:r>
    </w:p>
    <w:p w14:paraId="15F52093" w14:textId="77777777" w:rsidR="00C75FE9" w:rsidRPr="004000CC" w:rsidRDefault="00C75FE9" w:rsidP="00CC56E6">
      <w:pPr>
        <w:keepLines w:val="0"/>
        <w:widowControl w:val="0"/>
        <w:numPr>
          <w:ilvl w:val="0"/>
          <w:numId w:val="7"/>
        </w:numPr>
        <w:tabs>
          <w:tab w:val="left" w:pos="426"/>
        </w:tabs>
        <w:overflowPunct w:val="0"/>
        <w:autoSpaceDE w:val="0"/>
        <w:autoSpaceDN w:val="0"/>
        <w:adjustRightInd w:val="0"/>
        <w:spacing w:after="12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Deliver educational lectures and provide material on legal matters to police officers, legal practitioners and other professional employees of the Department.</w:t>
      </w:r>
    </w:p>
    <w:p w14:paraId="77EF5FE5" w14:textId="77777777" w:rsidR="0077276D" w:rsidRPr="004000CC" w:rsidRDefault="00C75FE9" w:rsidP="00CC56E6">
      <w:pPr>
        <w:keepLines w:val="0"/>
        <w:widowControl w:val="0"/>
        <w:numPr>
          <w:ilvl w:val="0"/>
          <w:numId w:val="7"/>
        </w:numPr>
        <w:tabs>
          <w:tab w:val="left" w:pos="426"/>
        </w:tabs>
        <w:overflowPunct w:val="0"/>
        <w:autoSpaceDE w:val="0"/>
        <w:autoSpaceDN w:val="0"/>
        <w:adjustRightInd w:val="0"/>
        <w:spacing w:after="0" w:afterAutospacing="0"/>
        <w:ind w:right="-1"/>
        <w:jc w:val="both"/>
        <w:textAlignment w:val="baseline"/>
        <w:rPr>
          <w:rFonts w:ascii="Century Gothic" w:hAnsi="Century Gothic" w:cs="Gill Sans"/>
          <w:sz w:val="24"/>
          <w:szCs w:val="24"/>
        </w:rPr>
      </w:pPr>
      <w:r w:rsidRPr="004000CC">
        <w:rPr>
          <w:rFonts w:ascii="Century Gothic" w:hAnsi="Century Gothic" w:cs="Gill Sans"/>
          <w:sz w:val="24"/>
          <w:szCs w:val="24"/>
        </w:rPr>
        <w:t>Provide legal advice, support and assistance in respect of investigations relating to family violence and other matters, as directed.</w:t>
      </w:r>
      <w:r w:rsidR="0077276D" w:rsidRPr="004000CC">
        <w:rPr>
          <w:rFonts w:ascii="Century Gothic" w:hAnsi="Century Gothic" w:cs="Gill Sans"/>
          <w:sz w:val="24"/>
          <w:szCs w:val="24"/>
        </w:rPr>
        <w:t xml:space="preserve"> </w:t>
      </w:r>
      <w:r w:rsidR="0077276D" w:rsidRPr="004000CC">
        <w:rPr>
          <w:rFonts w:ascii="Century Gothic" w:hAnsi="Century Gothic" w:cs="Gill Sans"/>
          <w:sz w:val="24"/>
          <w:szCs w:val="24"/>
        </w:rPr>
        <w:br/>
      </w:r>
    </w:p>
    <w:p w14:paraId="59F38DDB" w14:textId="77777777" w:rsidR="002D5022" w:rsidRPr="004000CC" w:rsidRDefault="001564EA" w:rsidP="002D5022">
      <w:pPr>
        <w:spacing w:before="0" w:beforeAutospacing="0" w:after="120" w:afterAutospacing="0"/>
        <w:rPr>
          <w:rFonts w:ascii="Century Gothic" w:hAnsi="Century Gothic" w:cs="Gill Sans"/>
          <w:b/>
          <w:sz w:val="28"/>
          <w:szCs w:val="28"/>
        </w:rPr>
      </w:pPr>
      <w:r w:rsidRPr="004000CC">
        <w:rPr>
          <w:rFonts w:ascii="Century Gothic" w:hAnsi="Century Gothic" w:cs="Gill Sans"/>
          <w:b/>
          <w:sz w:val="28"/>
          <w:szCs w:val="28"/>
        </w:rPr>
        <w:t>Scope of Work:</w:t>
      </w:r>
    </w:p>
    <w:p w14:paraId="104D64B8" w14:textId="5A0366E2" w:rsidR="002D5022" w:rsidRPr="004000CC" w:rsidRDefault="00C75FE9" w:rsidP="0069280F">
      <w:pPr>
        <w:spacing w:before="0" w:beforeAutospacing="0" w:after="120" w:afterAutospacing="0"/>
        <w:jc w:val="both"/>
        <w:rPr>
          <w:rFonts w:ascii="Century Gothic" w:hAnsi="Century Gothic" w:cs="Gill Sans"/>
          <w:sz w:val="24"/>
          <w:szCs w:val="24"/>
        </w:rPr>
      </w:pPr>
      <w:r w:rsidRPr="004000CC">
        <w:rPr>
          <w:rFonts w:ascii="Century Gothic" w:hAnsi="Century Gothic" w:cs="Gill Sans"/>
          <w:sz w:val="24"/>
          <w:szCs w:val="24"/>
        </w:rPr>
        <w:t>Responsible for the effective, efficient, accurate and timely delivery of legal services in accordance with the directions, policies and procedures of the Department, and for developing and maintaining detailed knowledge of laws and legal procedures relating to prosecutions with an emphasis on family violence</w:t>
      </w:r>
      <w:r w:rsidR="0069280F" w:rsidRPr="004000CC">
        <w:rPr>
          <w:rFonts w:ascii="Century Gothic" w:hAnsi="Century Gothic" w:cs="Gill Sans"/>
          <w:sz w:val="24"/>
          <w:szCs w:val="24"/>
        </w:rPr>
        <w:t>.</w:t>
      </w:r>
    </w:p>
    <w:p w14:paraId="3249CBDD" w14:textId="09F537B6" w:rsidR="00993D7E" w:rsidRPr="004000CC" w:rsidRDefault="00993D7E" w:rsidP="00993D7E">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4000CC">
        <w:rPr>
          <w:rFonts w:ascii="Century Gothic" w:hAnsi="Century Gothic" w:cs="Gill Sans"/>
          <w:i/>
          <w:sz w:val="24"/>
          <w:szCs w:val="20"/>
        </w:rPr>
        <w:t>Safe at Home</w:t>
      </w:r>
      <w:r w:rsidRPr="004000CC">
        <w:rPr>
          <w:rFonts w:ascii="Century Gothic" w:hAnsi="Century Gothic" w:cs="Gill Sans"/>
          <w:sz w:val="24"/>
          <w:szCs w:val="20"/>
        </w:rPr>
        <w:t xml:space="preserve"> is a whole-of-government strategy for preventing, reducing, and responding to incidents of family violence in Tasmania.  The strategy aims to break the cycle of family violence by </w:t>
      </w:r>
      <w:r w:rsidR="0000543A" w:rsidRPr="004000CC">
        <w:rPr>
          <w:rFonts w:ascii="Century Gothic" w:hAnsi="Century Gothic" w:cs="Gill Sans"/>
          <w:sz w:val="24"/>
          <w:szCs w:val="20"/>
        </w:rPr>
        <w:t>utilising a pro-intervention policy to address family violence</w:t>
      </w:r>
      <w:r w:rsidRPr="004000CC">
        <w:rPr>
          <w:rFonts w:ascii="Century Gothic" w:hAnsi="Century Gothic" w:cs="Gill Sans"/>
          <w:sz w:val="24"/>
          <w:szCs w:val="20"/>
        </w:rPr>
        <w:t xml:space="preserve"> and by integrating and extending the range of services available to support the victims of family violence including children.</w:t>
      </w:r>
    </w:p>
    <w:p w14:paraId="4F8EBF32" w14:textId="77777777" w:rsidR="00993D7E" w:rsidRPr="004000CC" w:rsidRDefault="00993D7E" w:rsidP="0069280F">
      <w:pPr>
        <w:spacing w:before="0" w:beforeAutospacing="0" w:after="120" w:afterAutospacing="0"/>
        <w:jc w:val="both"/>
        <w:rPr>
          <w:rFonts w:ascii="Century Gothic" w:hAnsi="Century Gothic" w:cs="Gill Sans"/>
          <w:b/>
          <w:sz w:val="28"/>
          <w:szCs w:val="28"/>
        </w:rPr>
      </w:pPr>
    </w:p>
    <w:p w14:paraId="674CCF00" w14:textId="792FC605" w:rsidR="001564EA" w:rsidRPr="00ED255E" w:rsidRDefault="001564EA" w:rsidP="001564EA">
      <w:pPr>
        <w:spacing w:before="0" w:beforeAutospacing="0" w:after="120" w:afterAutospacing="0"/>
        <w:rPr>
          <w:rFonts w:ascii="Century Gothic" w:hAnsi="Century Gothic" w:cs="Gill Sans"/>
          <w:b/>
          <w:sz w:val="28"/>
          <w:szCs w:val="28"/>
        </w:rPr>
      </w:pPr>
      <w:r w:rsidRPr="00ED255E">
        <w:rPr>
          <w:rFonts w:ascii="Century Gothic" w:hAnsi="Century Gothic" w:cs="Gill Sans"/>
          <w:b/>
          <w:sz w:val="28"/>
          <w:szCs w:val="28"/>
        </w:rPr>
        <w:t>Direction and Supervision</w:t>
      </w:r>
      <w:r w:rsidR="0069280F">
        <w:rPr>
          <w:rFonts w:ascii="Century Gothic" w:hAnsi="Century Gothic" w:cs="Gill Sans"/>
          <w:b/>
          <w:sz w:val="28"/>
          <w:szCs w:val="28"/>
        </w:rPr>
        <w:t>:</w:t>
      </w:r>
    </w:p>
    <w:p w14:paraId="08AE2651" w14:textId="77777777" w:rsidR="0077276D" w:rsidRPr="0077276D" w:rsidRDefault="00C75FE9" w:rsidP="0077276D">
      <w:pPr>
        <w:keepLines w:val="0"/>
        <w:widowControl w:val="0"/>
        <w:tabs>
          <w:tab w:val="left" w:pos="0"/>
        </w:tabs>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0"/>
        </w:rPr>
      </w:pPr>
      <w:r w:rsidRPr="00C75FE9">
        <w:rPr>
          <w:rFonts w:ascii="Century Gothic" w:hAnsi="Century Gothic" w:cs="Gill Sans"/>
          <w:sz w:val="24"/>
          <w:szCs w:val="20"/>
        </w:rPr>
        <w:t>The carrying out of day-to-day tasks and decision-making to be performed initially under general or direct supervision, however, with progression would be expected to function with general direction only, to apply own initiative and consult with senior staff only in respect of more complex elements of work.</w:t>
      </w:r>
    </w:p>
    <w:p w14:paraId="1C00B9CF" w14:textId="73CDD943" w:rsidR="00317C70" w:rsidRPr="00ED255E" w:rsidRDefault="00157582" w:rsidP="0069280F">
      <w:pPr>
        <w:spacing w:before="240" w:beforeAutospacing="0" w:after="120" w:afterAutospacing="0"/>
        <w:rPr>
          <w:rFonts w:ascii="Century Gothic" w:hAnsi="Century Gothic" w:cs="Gill Sans"/>
          <w:b/>
          <w:sz w:val="28"/>
          <w:szCs w:val="28"/>
        </w:rPr>
      </w:pPr>
      <w:r w:rsidRPr="00ED255E">
        <w:rPr>
          <w:rFonts w:ascii="Century Gothic" w:hAnsi="Century Gothic" w:cs="Gill Sans"/>
          <w:b/>
          <w:sz w:val="28"/>
          <w:szCs w:val="28"/>
        </w:rPr>
        <w:t>Selection Criteria</w:t>
      </w:r>
      <w:r w:rsidR="0069280F">
        <w:rPr>
          <w:rFonts w:ascii="Century Gothic" w:hAnsi="Century Gothic" w:cs="Gill Sans"/>
          <w:b/>
          <w:sz w:val="28"/>
          <w:szCs w:val="28"/>
        </w:rPr>
        <w:t>:</w:t>
      </w:r>
    </w:p>
    <w:p w14:paraId="62E4FF82"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Relevant professional knowledge of the general criminal law, the laws relating to family violence and the legal practices and procedures relating to prosecutions in respect of summary and indictable proceedings, and to other proceedings involving the Department.</w:t>
      </w:r>
    </w:p>
    <w:p w14:paraId="062AF8BE"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Ability to conduct summary prosecutions and other litigation on behalf of the Department relating to family violence and to other matters as directed, utilising appropriate advocacy skills and the ability to provide effective legal representation on behalf of Department before courts and tribunals and other persons or bodies acting judicially.</w:t>
      </w:r>
    </w:p>
    <w:p w14:paraId="399554AF"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 xml:space="preserve">Demonstrated legal research and analytical skills. Sound oral and written communication skills with the ability to effectively convey legal advice and information to non-legally trained personnel and to effectively liaise with </w:t>
      </w:r>
      <w:r w:rsidRPr="00ED255E">
        <w:rPr>
          <w:rFonts w:ascii="Century Gothic" w:hAnsi="Century Gothic" w:cs="Gill Sans"/>
          <w:sz w:val="24"/>
          <w:szCs w:val="24"/>
        </w:rPr>
        <w:lastRenderedPageBreak/>
        <w:t>complainants, victims of crime, police officers, witnesses and officers of relevant instrumentalities and/or agencies.</w:t>
      </w:r>
    </w:p>
    <w:p w14:paraId="30DE983D"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High level of initiative and resourcefulness, including organisational skills that enable the effective and timely co-ordination and management of a variety of tasks within prescribed timeframes, while meeting specified performance standards.</w:t>
      </w:r>
    </w:p>
    <w:p w14:paraId="66832DC1"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Computer literacy skills appropriate to the independent performance of tasks required of the position.</w:t>
      </w:r>
    </w:p>
    <w:p w14:paraId="517F3DE6" w14:textId="77777777" w:rsidR="00C75FE9" w:rsidRPr="00ED255E" w:rsidRDefault="00C75FE9" w:rsidP="0077276D">
      <w:pPr>
        <w:keepLines w:val="0"/>
        <w:widowControl w:val="0"/>
        <w:numPr>
          <w:ilvl w:val="0"/>
          <w:numId w:val="5"/>
        </w:numPr>
        <w:tabs>
          <w:tab w:val="left" w:pos="426"/>
        </w:tabs>
        <w:overflowPunct w:val="0"/>
        <w:autoSpaceDE w:val="0"/>
        <w:autoSpaceDN w:val="0"/>
        <w:adjustRightInd w:val="0"/>
        <w:spacing w:before="120" w:beforeAutospacing="0" w:after="240" w:afterAutospacing="0"/>
        <w:ind w:left="284" w:right="-1" w:hanging="284"/>
        <w:jc w:val="both"/>
        <w:textAlignment w:val="baseline"/>
        <w:rPr>
          <w:rFonts w:ascii="Century Gothic" w:hAnsi="Century Gothic" w:cs="Gill Sans"/>
          <w:sz w:val="24"/>
          <w:szCs w:val="24"/>
        </w:rPr>
      </w:pPr>
      <w:r w:rsidRPr="00ED255E">
        <w:rPr>
          <w:rFonts w:ascii="Century Gothic" w:hAnsi="Century Gothic" w:cs="Gill Sans"/>
          <w:sz w:val="24"/>
          <w:szCs w:val="24"/>
        </w:rPr>
        <w:t>Ability to mentor and assist less experienced legal practitioners or prosecutors and provide support and advice as required.</w:t>
      </w:r>
    </w:p>
    <w:p w14:paraId="7022D34B" w14:textId="29B1362D" w:rsidR="00276150" w:rsidRPr="0069280F" w:rsidRDefault="00276150" w:rsidP="0069280F">
      <w:pPr>
        <w:spacing w:before="240" w:beforeAutospacing="0" w:after="120" w:afterAutospacing="0"/>
        <w:rPr>
          <w:rFonts w:ascii="Century Gothic" w:hAnsi="Century Gothic" w:cs="Gill Sans"/>
          <w:b/>
          <w:sz w:val="28"/>
          <w:szCs w:val="28"/>
        </w:rPr>
      </w:pPr>
      <w:r w:rsidRPr="0069280F">
        <w:rPr>
          <w:rFonts w:ascii="Century Gothic" w:hAnsi="Century Gothic" w:cs="Gill Sans"/>
          <w:b/>
          <w:sz w:val="28"/>
          <w:szCs w:val="28"/>
        </w:rPr>
        <w:t>Qualifications and Experience</w:t>
      </w:r>
      <w:r w:rsidR="0069280F" w:rsidRPr="0069280F">
        <w:rPr>
          <w:rFonts w:ascii="Century Gothic" w:hAnsi="Century Gothic" w:cs="Gill Sans"/>
          <w:b/>
          <w:sz w:val="28"/>
          <w:szCs w:val="28"/>
        </w:rPr>
        <w:t>:</w:t>
      </w:r>
    </w:p>
    <w:p w14:paraId="0310DA1D" w14:textId="77777777" w:rsidR="00C75FE9" w:rsidRPr="00C75FE9" w:rsidRDefault="00C75FE9" w:rsidP="00C75FE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C75FE9">
        <w:rPr>
          <w:rFonts w:ascii="Century Gothic" w:hAnsi="Century Gothic" w:cs="Gill Sans"/>
          <w:sz w:val="24"/>
          <w:szCs w:val="24"/>
        </w:rPr>
        <w:t>Admitted, or qualified for and entitled to be admitted as a Barrister or a practitioner of the Supreme Court of Tasmania under the provisions of the Legal Profession Act 2007 with more than 2 years relevant post admission experience.</w:t>
      </w:r>
    </w:p>
    <w:p w14:paraId="24827C61" w14:textId="77777777" w:rsidR="002D5022" w:rsidRDefault="002D5022" w:rsidP="0069280F">
      <w:pPr>
        <w:spacing w:before="240" w:beforeAutospacing="0" w:after="120" w:afterAutospacing="0"/>
        <w:rPr>
          <w:rFonts w:ascii="Century Gothic" w:hAnsi="Century Gothic" w:cs="Gill Sans"/>
          <w:b/>
          <w:sz w:val="28"/>
          <w:szCs w:val="28"/>
        </w:rPr>
      </w:pPr>
      <w:bookmarkStart w:id="0" w:name="_Hlk104816493"/>
      <w:r w:rsidRPr="00EA5554">
        <w:rPr>
          <w:rFonts w:ascii="Century Gothic" w:hAnsi="Century Gothic" w:cs="Gill Sans"/>
          <w:b/>
          <w:sz w:val="28"/>
          <w:szCs w:val="28"/>
        </w:rPr>
        <w:t>Essential requirement:</w:t>
      </w:r>
    </w:p>
    <w:p w14:paraId="09D26A71" w14:textId="77777777" w:rsidR="00543E11" w:rsidRPr="00744846" w:rsidRDefault="00543E11" w:rsidP="00543E11">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84A29EB" w14:textId="77777777" w:rsidR="00543E11" w:rsidRPr="001B262D" w:rsidRDefault="00543E11" w:rsidP="00543E11">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00371768"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5C89ADFF"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28E4F8D7"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732B12DD"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567FA26B"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7986BFB4"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41755E9E"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4EBBA18C" w14:textId="77777777" w:rsidR="00543E11" w:rsidRPr="001B262D" w:rsidRDefault="00543E11" w:rsidP="00543E11">
      <w:pPr>
        <w:pStyle w:val="ListParagraph"/>
        <w:keepLines w:val="0"/>
        <w:numPr>
          <w:ilvl w:val="0"/>
          <w:numId w:val="8"/>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0F316303" w14:textId="77777777" w:rsidR="00543E11" w:rsidRDefault="00543E11" w:rsidP="00543E11">
      <w:pPr>
        <w:pStyle w:val="ListParagraph"/>
        <w:keepLines w:val="0"/>
        <w:numPr>
          <w:ilvl w:val="0"/>
          <w:numId w:val="8"/>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bookmarkEnd w:id="0"/>
    <w:p w14:paraId="52D882EA" w14:textId="77777777" w:rsidR="00543E11" w:rsidRDefault="00543E11" w:rsidP="0069280F">
      <w:pPr>
        <w:spacing w:before="240" w:beforeAutospacing="0" w:after="120" w:afterAutospacing="0"/>
        <w:rPr>
          <w:rFonts w:ascii="Century Gothic" w:hAnsi="Century Gothic" w:cs="Gill Sans"/>
          <w:b/>
          <w:sz w:val="28"/>
          <w:szCs w:val="28"/>
        </w:rPr>
      </w:pPr>
    </w:p>
    <w:p w14:paraId="79A591DF" w14:textId="77777777" w:rsidR="00543E11" w:rsidRDefault="00543E11" w:rsidP="0069280F">
      <w:pPr>
        <w:spacing w:before="240" w:beforeAutospacing="0" w:after="120" w:afterAutospacing="0"/>
        <w:rPr>
          <w:rFonts w:ascii="Century Gothic" w:hAnsi="Century Gothic" w:cs="Gill Sans"/>
          <w:b/>
          <w:sz w:val="28"/>
          <w:szCs w:val="28"/>
        </w:rPr>
      </w:pPr>
    </w:p>
    <w:p w14:paraId="4D83A048" w14:textId="77777777" w:rsidR="00543E11" w:rsidRDefault="00543E11" w:rsidP="0069280F">
      <w:pPr>
        <w:spacing w:before="240" w:beforeAutospacing="0" w:after="120" w:afterAutospacing="0"/>
        <w:rPr>
          <w:rFonts w:ascii="Century Gothic" w:hAnsi="Century Gothic" w:cs="Gill Sans"/>
          <w:b/>
          <w:sz w:val="28"/>
          <w:szCs w:val="28"/>
        </w:rPr>
      </w:pPr>
    </w:p>
    <w:p w14:paraId="388C335F" w14:textId="5FDA1C7C" w:rsidR="0077276D" w:rsidRPr="00D81CD4" w:rsidRDefault="0077276D" w:rsidP="0069280F">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r w:rsidR="0069280F">
        <w:rPr>
          <w:rFonts w:ascii="Century Gothic" w:hAnsi="Century Gothic" w:cs="Gill Sans"/>
          <w:b/>
          <w:sz w:val="28"/>
          <w:szCs w:val="28"/>
        </w:rPr>
        <w:t>:</w:t>
      </w:r>
    </w:p>
    <w:p w14:paraId="759B9D20" w14:textId="77777777" w:rsidR="0077276D" w:rsidRPr="003C45A6" w:rsidRDefault="0077276D" w:rsidP="0077276D">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DE7CEC1" w14:textId="7DAB7D93" w:rsidR="0077276D" w:rsidRPr="00D81CD4" w:rsidRDefault="0077276D" w:rsidP="0077276D">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69280F">
        <w:rPr>
          <w:rFonts w:ascii="Century Gothic" w:hAnsi="Century Gothic" w:cs="Gill Sans"/>
          <w:b/>
          <w:sz w:val="28"/>
          <w:szCs w:val="28"/>
        </w:rPr>
        <w:t>:</w:t>
      </w:r>
    </w:p>
    <w:p w14:paraId="70F3C54F"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2E56A00"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4620570B" w14:textId="77777777" w:rsidR="0077276D"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1B8210D" w14:textId="77777777" w:rsidR="0077276D" w:rsidRPr="001B0227" w:rsidRDefault="0077276D" w:rsidP="0077276D">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6FD8EAAD"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FAFF1D2" w14:textId="77777777" w:rsidR="0077276D" w:rsidRPr="003C45A6" w:rsidRDefault="0077276D" w:rsidP="0077276D">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5371AEC0" w14:textId="69B42CBB" w:rsidR="0069280F" w:rsidRDefault="0069280F" w:rsidP="0069280F">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B49E0FA" w14:textId="77777777" w:rsidR="0069280F" w:rsidRPr="003C45A6" w:rsidRDefault="0069280F" w:rsidP="0069280F">
      <w:pPr>
        <w:pBdr>
          <w:top w:val="single" w:sz="6" w:space="1" w:color="auto"/>
        </w:pBdr>
        <w:rPr>
          <w:rFonts w:ascii="Century Gothic" w:hAnsi="Century Gothic" w:cs="Gill Sans"/>
        </w:rPr>
      </w:pPr>
    </w:p>
    <w:p w14:paraId="6C48BFDE" w14:textId="77777777" w:rsidR="0069280F" w:rsidRDefault="0069280F" w:rsidP="0069280F">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38B98B86" w14:textId="4162E964" w:rsidR="001564EA" w:rsidRPr="00D81CD4" w:rsidRDefault="00AE6C90"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lastRenderedPageBreak/>
        <w:t>C MORRIS</w:t>
      </w:r>
      <w:r>
        <w:rPr>
          <w:rFonts w:ascii="Century Gothic" w:hAnsi="Century Gothic" w:cs="Gill Sans"/>
          <w:b/>
          <w:sz w:val="24"/>
          <w:szCs w:val="24"/>
        </w:rPr>
        <w:br/>
      </w:r>
      <w:r>
        <w:rPr>
          <w:rFonts w:ascii="Century Gothic" w:hAnsi="Century Gothic" w:cs="Gill Sans"/>
          <w:sz w:val="24"/>
          <w:szCs w:val="24"/>
        </w:rPr>
        <w:t>ACTING MANAGER PEOPLE AND CULTURE</w:t>
      </w:r>
      <w:r>
        <w:rPr>
          <w:rFonts w:ascii="Century Gothic" w:hAnsi="Century Gothic" w:cs="Gill Sans"/>
          <w:sz w:val="24"/>
          <w:szCs w:val="24"/>
        </w:rPr>
        <w:br/>
        <w:t>BUSINESS AND EXECUTIVE SERVICES</w:t>
      </w:r>
      <w:r w:rsidRPr="00ED255E">
        <w:rPr>
          <w:rFonts w:ascii="Century Gothic" w:hAnsi="Century Gothic" w:cs="Gill Sans"/>
          <w:sz w:val="24"/>
          <w:szCs w:val="24"/>
        </w:rPr>
        <w:tab/>
      </w:r>
      <w:r w:rsidRPr="00ED255E">
        <w:rPr>
          <w:rFonts w:ascii="Century Gothic" w:hAnsi="Century Gothic" w:cs="Gill Sans"/>
          <w:sz w:val="24"/>
          <w:szCs w:val="24"/>
        </w:rPr>
        <w:tab/>
      </w:r>
      <w:r w:rsidRPr="00ED255E">
        <w:rPr>
          <w:rFonts w:ascii="Century Gothic" w:hAnsi="Century Gothic" w:cs="Gill Sans"/>
          <w:sz w:val="24"/>
          <w:szCs w:val="24"/>
        </w:rPr>
        <w:tab/>
      </w:r>
      <w:r w:rsidRPr="00ED255E">
        <w:rPr>
          <w:rFonts w:ascii="Century Gothic" w:hAnsi="Century Gothic" w:cs="Gill Sans"/>
          <w:sz w:val="24"/>
          <w:szCs w:val="24"/>
        </w:rPr>
        <w:tab/>
      </w:r>
      <w:r w:rsidRPr="00ED255E">
        <w:rPr>
          <w:rFonts w:ascii="Century Gothic" w:hAnsi="Century Gothic" w:cs="Gill Sans"/>
          <w:sz w:val="24"/>
          <w:szCs w:val="24"/>
        </w:rPr>
        <w:tab/>
      </w:r>
      <w:r w:rsidRPr="00ED255E">
        <w:rPr>
          <w:rFonts w:ascii="Century Gothic" w:hAnsi="Century Gothic" w:cs="Gill Sans"/>
          <w:sz w:val="24"/>
          <w:szCs w:val="24"/>
        </w:rPr>
        <w:br/>
      </w:r>
      <w:r w:rsidRPr="00ED255E">
        <w:rPr>
          <w:rFonts w:ascii="Century Gothic" w:hAnsi="Century Gothic" w:cs="Gill Sans"/>
          <w:sz w:val="24"/>
          <w:szCs w:val="24"/>
        </w:rPr>
        <w:br/>
      </w:r>
      <w:r w:rsidR="0036565D" w:rsidRPr="00ED255E">
        <w:rPr>
          <w:rFonts w:ascii="Century Gothic" w:hAnsi="Century Gothic" w:cs="Gill Sans"/>
          <w:sz w:val="24"/>
          <w:szCs w:val="24"/>
        </w:rPr>
        <w:t>D</w:t>
      </w:r>
      <w:r w:rsidR="0036565D">
        <w:rPr>
          <w:rFonts w:ascii="Century Gothic" w:hAnsi="Century Gothic" w:cs="Gill Sans"/>
          <w:sz w:val="24"/>
          <w:szCs w:val="24"/>
        </w:rPr>
        <w:t>ate: September 2022</w:t>
      </w:r>
    </w:p>
    <w:sectPr w:rsidR="001564EA" w:rsidRPr="00D81CD4" w:rsidSect="00840A68">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E2FA" w14:textId="77777777" w:rsidR="00266E3E" w:rsidRDefault="00266E3E" w:rsidP="00FA4FDF">
      <w:pPr>
        <w:spacing w:before="0" w:after="0"/>
      </w:pPr>
      <w:r>
        <w:separator/>
      </w:r>
    </w:p>
  </w:endnote>
  <w:endnote w:type="continuationSeparator" w:id="0">
    <w:p w14:paraId="44D6042E" w14:textId="77777777" w:rsidR="00266E3E" w:rsidRDefault="00266E3E"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6EB9"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FF3745D" w14:textId="764970E9"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993D7E">
      <w:rPr>
        <w:rFonts w:ascii="Century Gothic" w:hAnsi="Century Gothic"/>
        <w:sz w:val="16"/>
      </w:rPr>
      <w:t>2</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ED255E">
      <w:rPr>
        <w:rFonts w:ascii="Century Gothic" w:hAnsi="Century Gothic"/>
        <w:sz w:val="16"/>
        <w:lang w:val="fr-FR"/>
      </w:rPr>
      <w:t>July 2016</w:t>
    </w:r>
  </w:p>
  <w:p w14:paraId="49BB01F0" w14:textId="2E7DD3D0" w:rsidR="00B23270" w:rsidRDefault="00C75FE9"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300A34">
      <w:rPr>
        <w:rFonts w:ascii="Century Gothic" w:hAnsi="Century Gothic"/>
        <w:sz w:val="16"/>
      </w:rPr>
      <w:t>Legal Officer</w:t>
    </w:r>
    <w:r w:rsidR="00B23270">
      <w:rPr>
        <w:rFonts w:ascii="Century Gothic" w:hAnsi="Century Gothic"/>
        <w:sz w:val="16"/>
      </w:rPr>
      <w:t xml:space="preserve"> (SAH)</w:t>
    </w:r>
    <w:r>
      <w:rPr>
        <w:rFonts w:ascii="Century Gothic" w:hAnsi="Century Gothic"/>
        <w:sz w:val="16"/>
      </w:rPr>
      <w:t xml:space="preserve"> </w:t>
    </w:r>
  </w:p>
  <w:p w14:paraId="69C406B9" w14:textId="622B6A23" w:rsidR="00FA4FDF" w:rsidRPr="00FA4FDF" w:rsidRDefault="00B23270"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sidR="00FA4FDF" w:rsidRPr="00FA4FDF">
      <w:rPr>
        <w:rFonts w:ascii="Century Gothic" w:hAnsi="Century Gothic"/>
        <w:sz w:val="16"/>
      </w:rPr>
      <w:t xml:space="preserve">Review Date: </w:t>
    </w:r>
    <w:r w:rsidR="00E816D1">
      <w:rPr>
        <w:rFonts w:ascii="Century Gothic" w:hAnsi="Century Gothic"/>
        <w:sz w:val="16"/>
      </w:rPr>
      <w:t>30 August 2023</w:t>
    </w:r>
  </w:p>
  <w:p w14:paraId="2042D9A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E141" w14:textId="77777777" w:rsidR="00266E3E" w:rsidRDefault="00266E3E" w:rsidP="00FA4FDF">
      <w:pPr>
        <w:spacing w:before="0" w:after="0"/>
      </w:pPr>
      <w:r>
        <w:separator/>
      </w:r>
    </w:p>
  </w:footnote>
  <w:footnote w:type="continuationSeparator" w:id="0">
    <w:p w14:paraId="18E47457" w14:textId="77777777" w:rsidR="00266E3E" w:rsidRDefault="00266E3E"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EAF" w14:textId="2D238ACA" w:rsidR="00613D0D" w:rsidRPr="008E68ED" w:rsidRDefault="008E68ED" w:rsidP="008E68ED">
    <w:pPr>
      <w:pStyle w:val="Header"/>
    </w:pPr>
    <w:r w:rsidRPr="008E68ED">
      <w:rPr>
        <w:sz w:val="16"/>
        <w:szCs w:val="16"/>
      </w:rPr>
      <w:t>A2</w:t>
    </w:r>
    <w:r w:rsidR="005550CF">
      <w:rPr>
        <w:sz w:val="16"/>
        <w:szCs w:val="16"/>
      </w:rPr>
      <w:t xml:space="preserve">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4167E"/>
    <w:multiLevelType w:val="hybridMultilevel"/>
    <w:tmpl w:val="30709FB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90016"/>
    <w:multiLevelType w:val="hybridMultilevel"/>
    <w:tmpl w:val="03AC3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A507C"/>
    <w:multiLevelType w:val="hybridMultilevel"/>
    <w:tmpl w:val="DC02BBD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4283DD2"/>
    <w:multiLevelType w:val="hybridMultilevel"/>
    <w:tmpl w:val="B1187E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C904BA"/>
    <w:multiLevelType w:val="hybridMultilevel"/>
    <w:tmpl w:val="FE42AD0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38808948">
    <w:abstractNumId w:val="6"/>
  </w:num>
  <w:num w:numId="2" w16cid:durableId="1054158985">
    <w:abstractNumId w:val="5"/>
  </w:num>
  <w:num w:numId="3" w16cid:durableId="1242836129">
    <w:abstractNumId w:val="0"/>
  </w:num>
  <w:num w:numId="4" w16cid:durableId="1493446871">
    <w:abstractNumId w:val="7"/>
  </w:num>
  <w:num w:numId="5" w16cid:durableId="211234898">
    <w:abstractNumId w:val="1"/>
  </w:num>
  <w:num w:numId="6" w16cid:durableId="1272476079">
    <w:abstractNumId w:val="4"/>
  </w:num>
  <w:num w:numId="7" w16cid:durableId="1126194618">
    <w:abstractNumId w:val="3"/>
  </w:num>
  <w:num w:numId="8" w16cid:durableId="55524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543A"/>
    <w:rsid w:val="00007137"/>
    <w:rsid w:val="00046668"/>
    <w:rsid w:val="000A7D58"/>
    <w:rsid w:val="000D51B5"/>
    <w:rsid w:val="000E1F93"/>
    <w:rsid w:val="000F09B2"/>
    <w:rsid w:val="00111A03"/>
    <w:rsid w:val="001564EA"/>
    <w:rsid w:val="00157582"/>
    <w:rsid w:val="00163841"/>
    <w:rsid w:val="001A47C8"/>
    <w:rsid w:val="001C0BAC"/>
    <w:rsid w:val="001D1E1C"/>
    <w:rsid w:val="00237ACE"/>
    <w:rsid w:val="002514C8"/>
    <w:rsid w:val="00257427"/>
    <w:rsid w:val="00266E3E"/>
    <w:rsid w:val="00276150"/>
    <w:rsid w:val="00277CAA"/>
    <w:rsid w:val="002C3AD4"/>
    <w:rsid w:val="002D5022"/>
    <w:rsid w:val="002F3065"/>
    <w:rsid w:val="00300A34"/>
    <w:rsid w:val="00312A29"/>
    <w:rsid w:val="00317C70"/>
    <w:rsid w:val="00335F70"/>
    <w:rsid w:val="0036565D"/>
    <w:rsid w:val="0037266A"/>
    <w:rsid w:val="004000CC"/>
    <w:rsid w:val="00450CB9"/>
    <w:rsid w:val="004552B5"/>
    <w:rsid w:val="00495D7D"/>
    <w:rsid w:val="004B5AF2"/>
    <w:rsid w:val="004D4138"/>
    <w:rsid w:val="004E7F42"/>
    <w:rsid w:val="004F4F33"/>
    <w:rsid w:val="00521419"/>
    <w:rsid w:val="00543E11"/>
    <w:rsid w:val="00545EAC"/>
    <w:rsid w:val="00551C87"/>
    <w:rsid w:val="005550CF"/>
    <w:rsid w:val="00565BF5"/>
    <w:rsid w:val="005D2606"/>
    <w:rsid w:val="00605D11"/>
    <w:rsid w:val="00613D0D"/>
    <w:rsid w:val="006562CF"/>
    <w:rsid w:val="006710A0"/>
    <w:rsid w:val="0069280F"/>
    <w:rsid w:val="00697151"/>
    <w:rsid w:val="007042DC"/>
    <w:rsid w:val="0071166A"/>
    <w:rsid w:val="0071556C"/>
    <w:rsid w:val="007165B5"/>
    <w:rsid w:val="00717264"/>
    <w:rsid w:val="00767F1F"/>
    <w:rsid w:val="0077276D"/>
    <w:rsid w:val="00775403"/>
    <w:rsid w:val="007E74E4"/>
    <w:rsid w:val="007F06A2"/>
    <w:rsid w:val="00840A68"/>
    <w:rsid w:val="00853B2D"/>
    <w:rsid w:val="008A26A2"/>
    <w:rsid w:val="008E2F79"/>
    <w:rsid w:val="008E68ED"/>
    <w:rsid w:val="008F3DF5"/>
    <w:rsid w:val="00972411"/>
    <w:rsid w:val="00974F3F"/>
    <w:rsid w:val="00993D7E"/>
    <w:rsid w:val="009A565B"/>
    <w:rsid w:val="00A25A86"/>
    <w:rsid w:val="00A5085C"/>
    <w:rsid w:val="00A518EA"/>
    <w:rsid w:val="00A75753"/>
    <w:rsid w:val="00A75CBE"/>
    <w:rsid w:val="00AE6C90"/>
    <w:rsid w:val="00B23270"/>
    <w:rsid w:val="00B43AF7"/>
    <w:rsid w:val="00C75FE9"/>
    <w:rsid w:val="00C80089"/>
    <w:rsid w:val="00CC56E6"/>
    <w:rsid w:val="00D4426A"/>
    <w:rsid w:val="00D656ED"/>
    <w:rsid w:val="00D67630"/>
    <w:rsid w:val="00D939F5"/>
    <w:rsid w:val="00DA3F1B"/>
    <w:rsid w:val="00DB478E"/>
    <w:rsid w:val="00DF3767"/>
    <w:rsid w:val="00E06478"/>
    <w:rsid w:val="00E51FC6"/>
    <w:rsid w:val="00E816D1"/>
    <w:rsid w:val="00E858A5"/>
    <w:rsid w:val="00ED255E"/>
    <w:rsid w:val="00EE7507"/>
    <w:rsid w:val="00EF1A9A"/>
    <w:rsid w:val="00F27E56"/>
    <w:rsid w:val="00F34BA3"/>
    <w:rsid w:val="00F35060"/>
    <w:rsid w:val="00F43873"/>
    <w:rsid w:val="00F75837"/>
    <w:rsid w:val="00FA4FDF"/>
    <w:rsid w:val="00FB63AD"/>
    <w:rsid w:val="00FC2A2E"/>
    <w:rsid w:val="00FE10A2"/>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AE87"/>
  <w15:docId w15:val="{5F1B7CA3-CC5F-4636-AF28-D6FF9A74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2D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93F9-A9BC-44D3-82F4-F28A7AF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6853</Characters>
  <Application>Microsoft Office Word</Application>
  <DocSecurity>0</DocSecurity>
  <Lines>159</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Fielding, Debra</cp:lastModifiedBy>
  <cp:revision>2</cp:revision>
  <cp:lastPrinted>2024-10-02T01:52:00Z</cp:lastPrinted>
  <dcterms:created xsi:type="dcterms:W3CDTF">2024-10-02T01:53:00Z</dcterms:created>
  <dcterms:modified xsi:type="dcterms:W3CDTF">2024-10-02T01:53:00Z</dcterms:modified>
</cp:coreProperties>
</file>