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E9DA" w14:textId="77777777" w:rsidR="005D5969" w:rsidRPr="006C2ED7" w:rsidRDefault="005D5969" w:rsidP="006C2ED7">
      <w:pPr>
        <w:pStyle w:val="Heading1"/>
        <w:jc w:val="center"/>
      </w:pPr>
      <w:r w:rsidRPr="006C2ED7">
        <w:t xml:space="preserve">Department of </w:t>
      </w:r>
      <w:r w:rsidR="006C2ED7" w:rsidRPr="006C2ED7">
        <w:t>State Growth</w:t>
      </w:r>
    </w:p>
    <w:p w14:paraId="4D731B20"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3E466AD" w14:textId="77777777" w:rsidR="007F73E6" w:rsidRPr="001327D4" w:rsidRDefault="007F73E6" w:rsidP="00B232E2">
      <w:pPr>
        <w:pBdr>
          <w:bottom w:val="single" w:sz="4" w:space="1" w:color="auto"/>
        </w:pBdr>
        <w:spacing w:before="0"/>
        <w:rPr>
          <w:sz w:val="22"/>
        </w:rPr>
      </w:pPr>
    </w:p>
    <w:p w14:paraId="7C43E2B2" w14:textId="6DC7B16C" w:rsidR="009D0B4B" w:rsidRPr="00A8673E" w:rsidRDefault="009D0B4B" w:rsidP="009D0B4B">
      <w:pPr>
        <w:tabs>
          <w:tab w:val="clear" w:pos="2835"/>
          <w:tab w:val="right" w:pos="0"/>
          <w:tab w:val="left" w:pos="3119"/>
        </w:tabs>
        <w:ind w:right="-1"/>
        <w:jc w:val="both"/>
        <w:rPr>
          <w:rStyle w:val="Heading3Char"/>
          <w:sz w:val="22"/>
        </w:rPr>
      </w:pPr>
      <w:r w:rsidRPr="00A8673E">
        <w:rPr>
          <w:rStyle w:val="Heading3Char"/>
          <w:sz w:val="22"/>
        </w:rPr>
        <w:t>Position Title:</w:t>
      </w:r>
      <w:r w:rsidRPr="00A8673E">
        <w:rPr>
          <w:rStyle w:val="Heading3Char"/>
          <w:sz w:val="22"/>
        </w:rPr>
        <w:tab/>
      </w:r>
      <w:r w:rsidR="00A7332B" w:rsidRPr="00A8673E">
        <w:rPr>
          <w:rStyle w:val="Heading3Char"/>
          <w:b w:val="0"/>
          <w:sz w:val="22"/>
        </w:rPr>
        <w:t>Project</w:t>
      </w:r>
      <w:r w:rsidR="00003563" w:rsidRPr="00A8673E">
        <w:rPr>
          <w:rStyle w:val="Heading3Char"/>
          <w:b w:val="0"/>
          <w:sz w:val="22"/>
        </w:rPr>
        <w:t xml:space="preserve"> Analyst</w:t>
      </w:r>
    </w:p>
    <w:p w14:paraId="535CBD6D" w14:textId="5FAE4FC2" w:rsidR="00202D61" w:rsidRPr="00202D61" w:rsidRDefault="009D0B4B" w:rsidP="009D0B4B">
      <w:pPr>
        <w:tabs>
          <w:tab w:val="clear" w:pos="2835"/>
          <w:tab w:val="right" w:pos="0"/>
          <w:tab w:val="left" w:pos="3119"/>
        </w:tabs>
        <w:ind w:right="-1"/>
        <w:jc w:val="both"/>
        <w:rPr>
          <w:color w:val="000000" w:themeColor="text1"/>
          <w:sz w:val="22"/>
        </w:rPr>
      </w:pPr>
      <w:r w:rsidRPr="00A8673E">
        <w:rPr>
          <w:rStyle w:val="Heading3Char"/>
          <w:sz w:val="22"/>
        </w:rPr>
        <w:t>Position number:</w:t>
      </w:r>
      <w:r w:rsidRPr="001327D4">
        <w:rPr>
          <w:sz w:val="22"/>
        </w:rPr>
        <w:tab/>
      </w:r>
      <w:r w:rsidR="00A8673E">
        <w:rPr>
          <w:sz w:val="22"/>
        </w:rPr>
        <w:t>372703</w:t>
      </w:r>
    </w:p>
    <w:p w14:paraId="27DBD4B1" w14:textId="77777777" w:rsidR="009D0B4B" w:rsidRPr="001327D4" w:rsidRDefault="009D0B4B" w:rsidP="009D0B4B">
      <w:pPr>
        <w:tabs>
          <w:tab w:val="clear" w:pos="2835"/>
          <w:tab w:val="right" w:pos="0"/>
          <w:tab w:val="left" w:pos="3119"/>
        </w:tabs>
        <w:ind w:right="-1"/>
        <w:jc w:val="both"/>
        <w:rPr>
          <w:sz w:val="22"/>
        </w:rPr>
      </w:pPr>
      <w:r w:rsidRPr="001327D4">
        <w:rPr>
          <w:rStyle w:val="Heading3Char"/>
          <w:sz w:val="22"/>
        </w:rPr>
        <w:t>Award/Agreement:</w:t>
      </w:r>
      <w:r w:rsidRPr="001327D4">
        <w:rPr>
          <w:sz w:val="22"/>
        </w:rPr>
        <w:t xml:space="preserve"> </w:t>
      </w:r>
      <w:r w:rsidRPr="001327D4">
        <w:rPr>
          <w:sz w:val="22"/>
        </w:rPr>
        <w:tab/>
      </w:r>
      <w:r>
        <w:rPr>
          <w:rStyle w:val="Heading3Char"/>
          <w:b w:val="0"/>
          <w:sz w:val="22"/>
        </w:rPr>
        <w:t>Tasmanian State Service Award</w:t>
      </w:r>
    </w:p>
    <w:p w14:paraId="377B58D4" w14:textId="77777777" w:rsidR="009D0B4B" w:rsidRPr="001327D4" w:rsidRDefault="009D0B4B" w:rsidP="009D0B4B">
      <w:pPr>
        <w:tabs>
          <w:tab w:val="clear" w:pos="2835"/>
          <w:tab w:val="left" w:pos="3119"/>
          <w:tab w:val="left" w:pos="3261"/>
        </w:tabs>
        <w:rPr>
          <w:sz w:val="22"/>
        </w:rPr>
      </w:pPr>
      <w:r w:rsidRPr="001327D4">
        <w:rPr>
          <w:rStyle w:val="Heading3Char"/>
          <w:sz w:val="22"/>
        </w:rPr>
        <w:t>Classification level:</w:t>
      </w:r>
      <w:r w:rsidRPr="001327D4">
        <w:rPr>
          <w:sz w:val="22"/>
        </w:rPr>
        <w:tab/>
      </w:r>
      <w:r>
        <w:rPr>
          <w:rStyle w:val="Heading3Char"/>
          <w:b w:val="0"/>
          <w:sz w:val="22"/>
        </w:rPr>
        <w:t>General Stream Band 5</w:t>
      </w:r>
    </w:p>
    <w:p w14:paraId="120B7E48" w14:textId="77777777" w:rsidR="009D0B4B" w:rsidRPr="001327D4" w:rsidRDefault="009D0B4B" w:rsidP="009D0B4B">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Pr>
          <w:rStyle w:val="Heading3Char"/>
          <w:b w:val="0"/>
          <w:sz w:val="22"/>
        </w:rPr>
        <w:t>Office of the Coordinator General</w:t>
      </w:r>
    </w:p>
    <w:p w14:paraId="0D3FD35C" w14:textId="76E58930" w:rsidR="003E1EB7" w:rsidRPr="003E1EB7" w:rsidRDefault="009D0B4B" w:rsidP="009D0B4B">
      <w:pPr>
        <w:tabs>
          <w:tab w:val="clear" w:pos="2835"/>
          <w:tab w:val="left" w:pos="3119"/>
          <w:tab w:val="left" w:pos="3261"/>
        </w:tabs>
        <w:rPr>
          <w:rStyle w:val="Heading3Char"/>
          <w:b w:val="0"/>
          <w:bCs/>
          <w:sz w:val="22"/>
        </w:rPr>
      </w:pPr>
      <w:r w:rsidRPr="001327D4">
        <w:rPr>
          <w:rStyle w:val="Heading3Char"/>
          <w:sz w:val="22"/>
        </w:rPr>
        <w:t>Location:</w:t>
      </w:r>
      <w:r w:rsidRPr="00CB7AC6">
        <w:rPr>
          <w:rStyle w:val="Heading3Char"/>
          <w:sz w:val="22"/>
        </w:rPr>
        <w:tab/>
      </w:r>
      <w:r w:rsidR="003E1EB7" w:rsidRPr="003E1EB7">
        <w:rPr>
          <w:rStyle w:val="Heading3Char"/>
          <w:b w:val="0"/>
          <w:bCs/>
          <w:sz w:val="22"/>
        </w:rPr>
        <w:t>Statewide</w:t>
      </w:r>
    </w:p>
    <w:p w14:paraId="197B01B0" w14:textId="649C289E" w:rsidR="009D0B4B" w:rsidRDefault="009D0B4B" w:rsidP="009D0B4B">
      <w:pPr>
        <w:tabs>
          <w:tab w:val="clear" w:pos="2835"/>
          <w:tab w:val="left" w:pos="3119"/>
          <w:tab w:val="left" w:pos="3261"/>
        </w:tabs>
        <w:rPr>
          <w:rStyle w:val="Heading3Char"/>
          <w:sz w:val="22"/>
        </w:rPr>
      </w:pPr>
      <w:r w:rsidRPr="001327D4">
        <w:rPr>
          <w:rStyle w:val="Heading3Char"/>
          <w:sz w:val="22"/>
        </w:rPr>
        <w:t>Employment status:</w:t>
      </w:r>
      <w:r w:rsidRPr="00CB7AC6">
        <w:rPr>
          <w:rStyle w:val="Heading3Char"/>
          <w:sz w:val="22"/>
        </w:rPr>
        <w:tab/>
      </w:r>
      <w:r w:rsidRPr="00CB7AC6">
        <w:rPr>
          <w:rStyle w:val="Heading3Char"/>
          <w:b w:val="0"/>
          <w:sz w:val="22"/>
        </w:rPr>
        <w:t xml:space="preserve">Flexible  </w:t>
      </w:r>
    </w:p>
    <w:p w14:paraId="1EFC835F" w14:textId="6C7D7E3E" w:rsidR="009D0B4B" w:rsidRPr="00CB7AC6" w:rsidRDefault="009D0B4B" w:rsidP="009D0B4B">
      <w:pPr>
        <w:tabs>
          <w:tab w:val="clear" w:pos="2835"/>
          <w:tab w:val="left" w:pos="3119"/>
          <w:tab w:val="left" w:pos="3261"/>
        </w:tabs>
        <w:rPr>
          <w:rStyle w:val="Heading3Char"/>
          <w:sz w:val="22"/>
        </w:rPr>
      </w:pPr>
      <w:r w:rsidRPr="001327D4">
        <w:rPr>
          <w:rStyle w:val="Heading3Char"/>
          <w:sz w:val="22"/>
        </w:rPr>
        <w:t>Supervisor:</w:t>
      </w:r>
      <w:r w:rsidRPr="00CB7AC6">
        <w:rPr>
          <w:rStyle w:val="Heading3Char"/>
          <w:sz w:val="22"/>
        </w:rPr>
        <w:tab/>
      </w:r>
      <w:r w:rsidR="00996BD9">
        <w:rPr>
          <w:rStyle w:val="Heading3Char"/>
          <w:b w:val="0"/>
          <w:sz w:val="22"/>
        </w:rPr>
        <w:t>Director, North</w:t>
      </w:r>
      <w:r w:rsidR="00D52D85">
        <w:rPr>
          <w:rStyle w:val="Heading3Char"/>
          <w:b w:val="0"/>
          <w:sz w:val="22"/>
        </w:rPr>
        <w:t xml:space="preserve"> </w:t>
      </w:r>
      <w:r w:rsidR="009F6FEF">
        <w:rPr>
          <w:rStyle w:val="Heading3Char"/>
          <w:b w:val="0"/>
          <w:sz w:val="22"/>
        </w:rPr>
        <w:t>/</w:t>
      </w:r>
      <w:r w:rsidR="00C20F42">
        <w:rPr>
          <w:rStyle w:val="Heading3Char"/>
          <w:b w:val="0"/>
          <w:sz w:val="22"/>
        </w:rPr>
        <w:t xml:space="preserve"> </w:t>
      </w:r>
      <w:r w:rsidR="009F6FEF">
        <w:rPr>
          <w:rStyle w:val="Heading3Char"/>
          <w:b w:val="0"/>
          <w:sz w:val="22"/>
        </w:rPr>
        <w:t>Executive Director</w:t>
      </w:r>
      <w:r w:rsidR="003E1EB7">
        <w:rPr>
          <w:rStyle w:val="Heading3Char"/>
          <w:b w:val="0"/>
          <w:sz w:val="22"/>
        </w:rPr>
        <w:t>, Attraction</w:t>
      </w:r>
      <w:r w:rsidR="009F6FEF">
        <w:rPr>
          <w:rStyle w:val="Heading3Char"/>
          <w:b w:val="0"/>
          <w:sz w:val="22"/>
        </w:rPr>
        <w:t xml:space="preserve"> Investment </w:t>
      </w:r>
    </w:p>
    <w:p w14:paraId="5848A376" w14:textId="77777777" w:rsidR="00A27736" w:rsidRPr="001327D4" w:rsidRDefault="00A27736" w:rsidP="00A44F84">
      <w:pPr>
        <w:pStyle w:val="Heading3"/>
        <w:pBdr>
          <w:top w:val="single" w:sz="4" w:space="1" w:color="auto"/>
        </w:pBdr>
        <w:spacing w:before="0" w:after="0" w:line="240" w:lineRule="auto"/>
        <w:rPr>
          <w:b w:val="0"/>
          <w:sz w:val="22"/>
        </w:rPr>
      </w:pPr>
    </w:p>
    <w:p w14:paraId="75B3B86F" w14:textId="77777777" w:rsidR="00CD42F8" w:rsidRPr="00B5403C" w:rsidRDefault="00CD42F8" w:rsidP="009D0B4B">
      <w:pPr>
        <w:pStyle w:val="Heading3"/>
      </w:pPr>
      <w:r w:rsidRPr="00B5403C">
        <w:t>Position Objective</w:t>
      </w:r>
    </w:p>
    <w:p w14:paraId="0AB780F9" w14:textId="77777777" w:rsidR="009D0B4B" w:rsidRPr="009D0B4B" w:rsidRDefault="009D0B4B" w:rsidP="003E1EB7">
      <w:pPr>
        <w:pStyle w:val="BodyText"/>
        <w:spacing w:before="123"/>
        <w:ind w:right="289"/>
        <w:jc w:val="both"/>
        <w:rPr>
          <w:rFonts w:cs="Arial"/>
          <w:sz w:val="22"/>
        </w:rPr>
      </w:pPr>
      <w:r w:rsidRPr="009D0B4B">
        <w:rPr>
          <w:rFonts w:cs="Arial"/>
          <w:sz w:val="22"/>
        </w:rPr>
        <w:t>Support the delivery of projects and activities in investment attraction, major project facilitation and regulation reduction to help achieve the objectives of the Office of the Coordinator-General which are of high priority and strategic importance to the State.</w:t>
      </w:r>
    </w:p>
    <w:p w14:paraId="41987DB4" w14:textId="77777777" w:rsidR="00D52D85" w:rsidRPr="00E76FB1" w:rsidRDefault="00D52D85" w:rsidP="003E1EB7">
      <w:pPr>
        <w:pStyle w:val="Heading3"/>
        <w:jc w:val="both"/>
      </w:pPr>
      <w:r w:rsidRPr="00E63513">
        <w:rPr>
          <w:szCs w:val="24"/>
        </w:rPr>
        <w:t>Work Environment</w:t>
      </w:r>
    </w:p>
    <w:p w14:paraId="121B38F0" w14:textId="77777777" w:rsidR="00D52D85" w:rsidRPr="00E63513" w:rsidRDefault="00D52D85" w:rsidP="003E1EB7">
      <w:pPr>
        <w:pStyle w:val="Heading3"/>
        <w:jc w:val="both"/>
        <w:rPr>
          <w:rFonts w:cs="Arial"/>
          <w:b w:val="0"/>
          <w:color w:val="auto"/>
          <w:sz w:val="22"/>
        </w:rPr>
      </w:pPr>
      <w:r>
        <w:rPr>
          <w:rFonts w:cs="Arial"/>
          <w:b w:val="0"/>
          <w:color w:val="auto"/>
          <w:sz w:val="22"/>
        </w:rPr>
        <w:t>The Office of the Coordinator-</w:t>
      </w:r>
      <w:r w:rsidRPr="00E63513">
        <w:rPr>
          <w:rFonts w:cs="Arial"/>
          <w:b w:val="0"/>
          <w:color w:val="auto"/>
          <w:sz w:val="22"/>
        </w:rPr>
        <w:t>General is a small business-facing, client-orientated office committed to professionalism, excellent customer servic</w:t>
      </w:r>
      <w:r>
        <w:rPr>
          <w:rFonts w:cs="Arial"/>
          <w:b w:val="0"/>
          <w:color w:val="auto"/>
          <w:sz w:val="22"/>
        </w:rPr>
        <w:t>e and creative problem solving.</w:t>
      </w:r>
      <w:r w:rsidRPr="00E63513">
        <w:rPr>
          <w:rFonts w:cs="Arial"/>
          <w:b w:val="0"/>
          <w:color w:val="auto"/>
          <w:sz w:val="22"/>
        </w:rPr>
        <w:t xml:space="preserve"> To deliver the Office’s service-level commitments team members will need to work flexibly and collaboratively.</w:t>
      </w:r>
    </w:p>
    <w:p w14:paraId="3963FACC" w14:textId="77777777" w:rsidR="00D52D85" w:rsidRPr="00E63513" w:rsidRDefault="00D52D85" w:rsidP="003E1EB7">
      <w:pPr>
        <w:jc w:val="both"/>
        <w:rPr>
          <w:sz w:val="22"/>
        </w:rPr>
      </w:pPr>
      <w:r w:rsidRPr="00E63513">
        <w:rPr>
          <w:sz w:val="22"/>
        </w:rPr>
        <w:t>The occupant may need to conduct work outside of normal business hours to meet business needs.</w:t>
      </w:r>
    </w:p>
    <w:p w14:paraId="4B993302" w14:textId="56EA241D" w:rsidR="00D52D85" w:rsidRPr="00E63513" w:rsidRDefault="00D52D85" w:rsidP="003E1EB7">
      <w:pPr>
        <w:jc w:val="both"/>
        <w:rPr>
          <w:sz w:val="22"/>
        </w:rPr>
      </w:pPr>
      <w:r w:rsidRPr="00E63513">
        <w:rPr>
          <w:sz w:val="22"/>
        </w:rPr>
        <w:t>The posit</w:t>
      </w:r>
      <w:r>
        <w:rPr>
          <w:sz w:val="22"/>
        </w:rPr>
        <w:t>i</w:t>
      </w:r>
      <w:r w:rsidRPr="00E63513">
        <w:rPr>
          <w:sz w:val="22"/>
        </w:rPr>
        <w:t xml:space="preserve">on operates in an </w:t>
      </w:r>
      <w:r w:rsidR="00C20F42" w:rsidRPr="00E63513">
        <w:rPr>
          <w:sz w:val="22"/>
        </w:rPr>
        <w:t>office-based</w:t>
      </w:r>
      <w:r w:rsidRPr="00E63513">
        <w:rPr>
          <w:sz w:val="22"/>
        </w:rPr>
        <w:t xml:space="preserve"> environment where regular intrastate travel may be required.</w:t>
      </w:r>
    </w:p>
    <w:p w14:paraId="4F46B7D5" w14:textId="77777777" w:rsidR="00D52D85" w:rsidRPr="005D6761" w:rsidRDefault="00D52D85" w:rsidP="003E1EB7">
      <w:pPr>
        <w:pStyle w:val="BodyText"/>
        <w:jc w:val="both"/>
        <w:rPr>
          <w:rFonts w:cs="Arial"/>
          <w:sz w:val="22"/>
        </w:rPr>
      </w:pPr>
      <w:r w:rsidRPr="005D6761">
        <w:rPr>
          <w:rFonts w:cs="Arial"/>
          <w:sz w:val="22"/>
        </w:rPr>
        <w:t xml:space="preserve">Due to the confidential nature of the information accessed in this role, the occupant will be required to maintain the highest level of confidentiality and to </w:t>
      </w:r>
      <w:r>
        <w:rPr>
          <w:rFonts w:cs="Arial"/>
          <w:sz w:val="22"/>
        </w:rPr>
        <w:t xml:space="preserve">complete appropriate </w:t>
      </w:r>
      <w:r w:rsidRPr="005D6761">
        <w:rPr>
          <w:rFonts w:cs="Arial"/>
          <w:sz w:val="22"/>
        </w:rPr>
        <w:t>declaration</w:t>
      </w:r>
      <w:r>
        <w:rPr>
          <w:rFonts w:cs="Arial"/>
          <w:sz w:val="22"/>
        </w:rPr>
        <w:t>s to this end</w:t>
      </w:r>
      <w:r w:rsidRPr="005D6761">
        <w:rPr>
          <w:rFonts w:cs="Arial"/>
          <w:sz w:val="22"/>
        </w:rPr>
        <w:t>.</w:t>
      </w:r>
    </w:p>
    <w:p w14:paraId="670733A1" w14:textId="77777777" w:rsidR="00D52D85" w:rsidRPr="00E63513" w:rsidRDefault="00D52D85" w:rsidP="003E1EB7">
      <w:pPr>
        <w:jc w:val="both"/>
        <w:rPr>
          <w:sz w:val="22"/>
        </w:rPr>
      </w:pPr>
      <w:r w:rsidRPr="00E63513">
        <w:rPr>
          <w:sz w:val="22"/>
        </w:rPr>
        <w:t xml:space="preserve">See the Office’s website at </w:t>
      </w:r>
      <w:hyperlink r:id="rId8">
        <w:r w:rsidRPr="00E63513">
          <w:rPr>
            <w:color w:val="0000FF"/>
            <w:sz w:val="22"/>
            <w:u w:val="single" w:color="0000FF"/>
          </w:rPr>
          <w:t xml:space="preserve">www.cg.tas.gov.au </w:t>
        </w:r>
      </w:hyperlink>
      <w:r w:rsidRPr="00E63513">
        <w:rPr>
          <w:sz w:val="22"/>
        </w:rPr>
        <w:t>for more information.</w:t>
      </w:r>
    </w:p>
    <w:p w14:paraId="4EBCDE56" w14:textId="77777777" w:rsidR="00CD42F8" w:rsidRPr="009D0B4B" w:rsidRDefault="00CD42F8" w:rsidP="003E1EB7">
      <w:pPr>
        <w:pStyle w:val="Heading3"/>
        <w:jc w:val="both"/>
      </w:pPr>
      <w:r w:rsidRPr="009D0B4B">
        <w:t>Major Duties</w:t>
      </w:r>
    </w:p>
    <w:p w14:paraId="77744E1B" w14:textId="12CCDC79" w:rsidR="00A7332B" w:rsidRPr="009D0B4B" w:rsidRDefault="00A7332B" w:rsidP="003E1EB7">
      <w:pPr>
        <w:pStyle w:val="BodyText"/>
        <w:numPr>
          <w:ilvl w:val="0"/>
          <w:numId w:val="18"/>
        </w:numPr>
        <w:ind w:left="426" w:hanging="426"/>
        <w:jc w:val="both"/>
        <w:rPr>
          <w:rFonts w:cs="Arial"/>
          <w:sz w:val="22"/>
        </w:rPr>
      </w:pPr>
      <w:r w:rsidRPr="009D0B4B">
        <w:rPr>
          <w:rFonts w:cs="Arial"/>
          <w:sz w:val="22"/>
        </w:rPr>
        <w:t xml:space="preserve">Prepare a variety of presentations </w:t>
      </w:r>
      <w:r>
        <w:rPr>
          <w:rFonts w:cs="Arial"/>
          <w:sz w:val="22"/>
        </w:rPr>
        <w:t xml:space="preserve">and documents </w:t>
      </w:r>
      <w:r w:rsidRPr="009D0B4B">
        <w:rPr>
          <w:rFonts w:cs="Arial"/>
          <w:sz w:val="22"/>
        </w:rPr>
        <w:t>that aim to promote the State as an investment location by demonstrating Tasmania’s competitive advantages and highlighting key statistics relevant to both individual investors and investment intermediaries.</w:t>
      </w:r>
    </w:p>
    <w:p w14:paraId="7ED5F7B9" w14:textId="403A8561" w:rsidR="00A7332B" w:rsidRPr="009D0B4B" w:rsidRDefault="00A7332B" w:rsidP="003E1EB7">
      <w:pPr>
        <w:pStyle w:val="BodyText"/>
        <w:numPr>
          <w:ilvl w:val="0"/>
          <w:numId w:val="18"/>
        </w:numPr>
        <w:ind w:left="426" w:hanging="426"/>
        <w:jc w:val="both"/>
        <w:rPr>
          <w:rFonts w:cs="Arial"/>
          <w:sz w:val="22"/>
        </w:rPr>
      </w:pPr>
      <w:r w:rsidRPr="009D0B4B">
        <w:rPr>
          <w:rFonts w:cs="Arial"/>
          <w:sz w:val="22"/>
        </w:rPr>
        <w:t>Create detailed business documents and work with spreadsheets in an advanced capacity.  Collect and interpret data about specific topics</w:t>
      </w:r>
      <w:r w:rsidR="002145F3">
        <w:rPr>
          <w:rFonts w:cs="Arial"/>
          <w:sz w:val="22"/>
        </w:rPr>
        <w:t>, companies and business divisions</w:t>
      </w:r>
      <w:r w:rsidRPr="009D0B4B">
        <w:rPr>
          <w:rFonts w:cs="Arial"/>
          <w:sz w:val="22"/>
        </w:rPr>
        <w:t xml:space="preserve"> of importance to the Office and Government.</w:t>
      </w:r>
    </w:p>
    <w:p w14:paraId="7A5AFC48" w14:textId="77777777" w:rsidR="00A7332B" w:rsidRPr="009D0B4B" w:rsidRDefault="00A7332B" w:rsidP="003E1EB7">
      <w:pPr>
        <w:pStyle w:val="BodyText"/>
        <w:numPr>
          <w:ilvl w:val="0"/>
          <w:numId w:val="18"/>
        </w:numPr>
        <w:ind w:left="426" w:hanging="426"/>
        <w:jc w:val="both"/>
        <w:rPr>
          <w:rFonts w:cs="Arial"/>
          <w:sz w:val="22"/>
        </w:rPr>
      </w:pPr>
      <w:r w:rsidRPr="009D0B4B">
        <w:rPr>
          <w:rFonts w:cs="Arial"/>
          <w:sz w:val="22"/>
        </w:rPr>
        <w:t>Provide research and support services, including the preparation of correspondence, minutes, reports and/or briefing notes to senior officers to assist in the Office’s services and projects.</w:t>
      </w:r>
    </w:p>
    <w:p w14:paraId="0F8D5876" w14:textId="77777777" w:rsidR="00A7332B" w:rsidRPr="009D0B4B" w:rsidRDefault="00A7332B" w:rsidP="003E1EB7">
      <w:pPr>
        <w:pStyle w:val="BodyText"/>
        <w:numPr>
          <w:ilvl w:val="0"/>
          <w:numId w:val="18"/>
        </w:numPr>
        <w:ind w:left="426" w:hanging="426"/>
        <w:jc w:val="both"/>
        <w:rPr>
          <w:rFonts w:cs="Arial"/>
          <w:sz w:val="22"/>
        </w:rPr>
      </w:pPr>
      <w:r w:rsidRPr="009D0B4B">
        <w:rPr>
          <w:rFonts w:cs="Arial"/>
          <w:sz w:val="22"/>
        </w:rPr>
        <w:t>Represent the Office on working groups and work with business and community managers to agree priorities and achieve identified project outcomes.</w:t>
      </w:r>
    </w:p>
    <w:p w14:paraId="3EAA7391" w14:textId="77777777" w:rsidR="009D0B4B" w:rsidRPr="009D0B4B" w:rsidRDefault="009D0B4B" w:rsidP="003E1EB7">
      <w:pPr>
        <w:pStyle w:val="BodyText"/>
        <w:numPr>
          <w:ilvl w:val="0"/>
          <w:numId w:val="18"/>
        </w:numPr>
        <w:ind w:left="426" w:hanging="426"/>
        <w:jc w:val="both"/>
        <w:rPr>
          <w:rFonts w:cs="Arial"/>
          <w:sz w:val="22"/>
        </w:rPr>
      </w:pPr>
      <w:r w:rsidRPr="009D0B4B">
        <w:rPr>
          <w:rFonts w:cs="Arial"/>
          <w:sz w:val="22"/>
        </w:rPr>
        <w:lastRenderedPageBreak/>
        <w:t>Conduct market analyses, collecting information and benchmarking locations and opportunities for investment.  Provide the Office with valuable insights into competitor investment locations as well as trends within industries to help identify opportunities.</w:t>
      </w:r>
    </w:p>
    <w:p w14:paraId="6EF0D94E" w14:textId="77777777" w:rsidR="009D0B4B" w:rsidRPr="009D0B4B" w:rsidRDefault="009D0B4B" w:rsidP="003E1EB7">
      <w:pPr>
        <w:pStyle w:val="BodyText"/>
        <w:numPr>
          <w:ilvl w:val="0"/>
          <w:numId w:val="18"/>
        </w:numPr>
        <w:ind w:left="426" w:hanging="426"/>
        <w:jc w:val="both"/>
        <w:rPr>
          <w:rFonts w:cs="Arial"/>
          <w:sz w:val="22"/>
        </w:rPr>
      </w:pPr>
      <w:r w:rsidRPr="009D0B4B">
        <w:rPr>
          <w:rFonts w:cs="Arial"/>
          <w:sz w:val="22"/>
        </w:rPr>
        <w:t xml:space="preserve">Develop and monitor data quality metrics and ensure business data and reporting needs are met. </w:t>
      </w:r>
    </w:p>
    <w:p w14:paraId="28CD7F9F" w14:textId="6F926558" w:rsidR="009D0B4B" w:rsidRDefault="009D0B4B" w:rsidP="003E1EB7">
      <w:pPr>
        <w:pStyle w:val="BodyText"/>
        <w:numPr>
          <w:ilvl w:val="0"/>
          <w:numId w:val="18"/>
        </w:numPr>
        <w:ind w:left="426" w:hanging="426"/>
        <w:jc w:val="both"/>
        <w:rPr>
          <w:rFonts w:cs="Arial"/>
          <w:sz w:val="22"/>
        </w:rPr>
      </w:pPr>
      <w:r w:rsidRPr="009D0B4B">
        <w:rPr>
          <w:rFonts w:cs="Arial"/>
          <w:sz w:val="22"/>
        </w:rPr>
        <w:t>Prepare business cases, forecasts and financial analysis combined with understanding of key performance indicators to drive fresh initiatives and business intelligence systems.</w:t>
      </w:r>
    </w:p>
    <w:p w14:paraId="6109BC93" w14:textId="77777777" w:rsidR="002145F3" w:rsidRPr="009D0B4B" w:rsidRDefault="002145F3" w:rsidP="003E1EB7">
      <w:pPr>
        <w:pStyle w:val="BodyText"/>
        <w:numPr>
          <w:ilvl w:val="0"/>
          <w:numId w:val="18"/>
        </w:numPr>
        <w:ind w:left="426" w:hanging="426"/>
        <w:jc w:val="both"/>
        <w:rPr>
          <w:rFonts w:cs="Arial"/>
          <w:sz w:val="22"/>
        </w:rPr>
      </w:pPr>
      <w:r>
        <w:rPr>
          <w:rFonts w:cs="Arial"/>
          <w:sz w:val="22"/>
        </w:rPr>
        <w:t>Contribute to</w:t>
      </w:r>
      <w:r w:rsidRPr="009D0B4B">
        <w:rPr>
          <w:rFonts w:cs="Arial"/>
          <w:sz w:val="22"/>
        </w:rPr>
        <w:t xml:space="preserve"> important projects and </w:t>
      </w:r>
      <w:r>
        <w:rPr>
          <w:rFonts w:cs="Arial"/>
          <w:sz w:val="22"/>
        </w:rPr>
        <w:t>maintain effective</w:t>
      </w:r>
      <w:r w:rsidRPr="009D0B4B">
        <w:rPr>
          <w:rFonts w:cs="Arial"/>
          <w:sz w:val="22"/>
        </w:rPr>
        <w:t xml:space="preserve"> relationships with a range of stakeholders.</w:t>
      </w:r>
    </w:p>
    <w:p w14:paraId="08488701" w14:textId="77777777" w:rsidR="00360930" w:rsidRPr="009D0B4B" w:rsidRDefault="00360930" w:rsidP="009D0B4B">
      <w:pPr>
        <w:pStyle w:val="Heading3"/>
      </w:pPr>
    </w:p>
    <w:p w14:paraId="616FE968" w14:textId="77777777" w:rsidR="00CD42F8" w:rsidRPr="009D0B4B" w:rsidRDefault="006C2ED7" w:rsidP="009D0B4B">
      <w:pPr>
        <w:pStyle w:val="Heading3"/>
      </w:pPr>
      <w:r w:rsidRPr="009D0B4B">
        <w:t>Scope of Work: (</w:t>
      </w:r>
      <w:r w:rsidR="00CD42F8" w:rsidRPr="009D0B4B">
        <w:t xml:space="preserve">Responsibility, Decision-Making and Direction </w:t>
      </w:r>
      <w:r w:rsidR="00D72CDA" w:rsidRPr="009D0B4B">
        <w:t>Received</w:t>
      </w:r>
      <w:r w:rsidRPr="009D0B4B">
        <w:t>)</w:t>
      </w:r>
    </w:p>
    <w:p w14:paraId="1D5A35E4" w14:textId="77777777" w:rsidR="009D0B4B" w:rsidRPr="009D0B4B" w:rsidRDefault="009D0B4B" w:rsidP="003E1EB7">
      <w:pPr>
        <w:jc w:val="both"/>
        <w:rPr>
          <w:rFonts w:cs="Arial"/>
          <w:sz w:val="22"/>
        </w:rPr>
      </w:pPr>
      <w:r w:rsidRPr="009D0B4B">
        <w:rPr>
          <w:rFonts w:cs="Arial"/>
          <w:sz w:val="22"/>
        </w:rPr>
        <w:t>Work performed by this position will impact on the effectiveness and efficiency of the externally focussed Office of the Coordinator-General. Work will be required to be performed with considerable initiative, judgement, tact and discretion.</w:t>
      </w:r>
    </w:p>
    <w:p w14:paraId="28D23004" w14:textId="77777777" w:rsidR="009D0B4B" w:rsidRPr="009D0B4B" w:rsidRDefault="009D0B4B" w:rsidP="003E1EB7">
      <w:pPr>
        <w:jc w:val="both"/>
        <w:rPr>
          <w:rFonts w:cs="Arial"/>
          <w:sz w:val="22"/>
        </w:rPr>
      </w:pPr>
      <w:r w:rsidRPr="009D0B4B">
        <w:rPr>
          <w:rFonts w:cs="Arial"/>
          <w:sz w:val="22"/>
        </w:rPr>
        <w:t>The role exercises a degree of autonomy in performing the core work functions and, as necessary, consults with the supervisor to agree on a suitable course of action in matters that are sensitive, high-risk or  business critical, or for those issues that have far reaching implications with respect to resourcing or advice.</w:t>
      </w:r>
    </w:p>
    <w:p w14:paraId="2288C82C" w14:textId="77777777" w:rsidR="009D0B4B" w:rsidRPr="009D0B4B" w:rsidRDefault="009D0B4B" w:rsidP="003E1EB7">
      <w:pPr>
        <w:jc w:val="both"/>
        <w:rPr>
          <w:rFonts w:cs="Arial"/>
          <w:sz w:val="22"/>
        </w:rPr>
      </w:pPr>
      <w:r w:rsidRPr="009D0B4B">
        <w:rPr>
          <w:rFonts w:cs="Arial"/>
          <w:sz w:val="22"/>
        </w:rPr>
        <w:t>The role also exercises professional judgement to ensure that competing and conflicting business priorities are met within agreed timeframes and to the required standard. Competing priorities are often impacted by non-negotiable deadlines, requiring the successful candidate to influence and manage stakeholder demands. It is an expectation that a professional, consistent and reliable approach to stakeholder engagement is achieved, and authoritative advice delivered.</w:t>
      </w:r>
    </w:p>
    <w:p w14:paraId="7473F4BB" w14:textId="77777777" w:rsidR="00360930" w:rsidRPr="009D0B4B" w:rsidRDefault="009D0B4B" w:rsidP="003E1EB7">
      <w:pPr>
        <w:jc w:val="both"/>
        <w:rPr>
          <w:rFonts w:cs="Arial"/>
          <w:sz w:val="22"/>
        </w:rPr>
      </w:pPr>
      <w:r w:rsidRPr="009D0B4B">
        <w:rPr>
          <w:rFonts w:cs="Arial"/>
          <w:sz w:val="22"/>
        </w:rPr>
        <w:t>The role is multi-skilled in nature and could be flexibly utilised across the Office to meet business needs. The successful candidate must be flexible in the scope and range of activities performed to ensure that the Office achieves its objectives. This is key to the delivery of strategic projects and initiatives that support performance and improvement.</w:t>
      </w:r>
    </w:p>
    <w:p w14:paraId="1CFB603A" w14:textId="6D2FA090" w:rsidR="001327D4" w:rsidRDefault="00726176" w:rsidP="009D0B4B">
      <w:pPr>
        <w:pStyle w:val="Heading3"/>
      </w:pPr>
      <w:r w:rsidRPr="009D0B4B">
        <w:t>Selection Criteria (</w:t>
      </w:r>
      <w:r w:rsidR="00D17EEE" w:rsidRPr="009D0B4B">
        <w:t>Knowledge and Skills</w:t>
      </w:r>
      <w:r w:rsidRPr="009D0B4B">
        <w:t>)</w:t>
      </w:r>
      <w:r w:rsidR="00D17EEE" w:rsidRPr="009D0B4B">
        <w:t>:</w:t>
      </w:r>
    </w:p>
    <w:p w14:paraId="5C103EFE" w14:textId="77777777" w:rsidR="00D52D85" w:rsidRPr="00E76FB1" w:rsidRDefault="00D52D85" w:rsidP="00D52D85">
      <w:pPr>
        <w:rPr>
          <w:rFonts w:cs="Arial"/>
          <w:sz w:val="22"/>
        </w:rPr>
      </w:pPr>
      <w:r w:rsidRPr="00E76FB1">
        <w:rPr>
          <w:rFonts w:cs="Arial"/>
          <w:sz w:val="22"/>
        </w:rPr>
        <w:t>The Office of the Coordinator-General operates in a collaborative and consultative approach, especially involving integrity, respect and openness in dealing with others and believes teamwork, effective communication and professionalism are essential in achieving higher quality outcomes.</w:t>
      </w:r>
    </w:p>
    <w:p w14:paraId="15C9C2DD" w14:textId="77E5AD34" w:rsidR="009D0B4B" w:rsidRPr="00C20F42" w:rsidRDefault="009D0B4B" w:rsidP="00C20F42">
      <w:pPr>
        <w:numPr>
          <w:ilvl w:val="0"/>
          <w:numId w:val="25"/>
        </w:numPr>
        <w:spacing w:before="0" w:after="0"/>
        <w:ind w:right="-1"/>
        <w:rPr>
          <w:rFonts w:cs="Arial"/>
          <w:sz w:val="22"/>
        </w:rPr>
      </w:pPr>
      <w:r w:rsidRPr="00D52D85">
        <w:rPr>
          <w:rFonts w:cs="Arial"/>
          <w:sz w:val="22"/>
        </w:rPr>
        <w:t>Knowledge of and experience in project administration, including a well-developed ability to coordinate others to meet deadlines, solve problems and demonstrate flexibility and adaptability in an environment of continuous improvement.</w:t>
      </w:r>
    </w:p>
    <w:p w14:paraId="012F7308" w14:textId="77777777" w:rsidR="002145F3" w:rsidRPr="00C20F42" w:rsidRDefault="002145F3" w:rsidP="00C20F42">
      <w:pPr>
        <w:numPr>
          <w:ilvl w:val="0"/>
          <w:numId w:val="25"/>
        </w:numPr>
        <w:spacing w:before="0" w:after="0"/>
        <w:ind w:right="-1"/>
        <w:rPr>
          <w:rFonts w:cs="Arial"/>
          <w:sz w:val="22"/>
        </w:rPr>
      </w:pPr>
      <w:r w:rsidRPr="00C20F42">
        <w:rPr>
          <w:rFonts w:cs="Arial"/>
          <w:sz w:val="22"/>
        </w:rPr>
        <w:t>Highly developed presentation preparation skills with a proven ability to develop well-structured pitches and presentations using contemporary visual information skills to present highly complex data to a range of audiences</w:t>
      </w:r>
    </w:p>
    <w:p w14:paraId="145CB7A6" w14:textId="77777777" w:rsidR="002145F3" w:rsidRPr="00C20F42" w:rsidRDefault="002145F3" w:rsidP="00C20F42">
      <w:pPr>
        <w:numPr>
          <w:ilvl w:val="0"/>
          <w:numId w:val="25"/>
        </w:numPr>
        <w:spacing w:before="0" w:after="0"/>
        <w:ind w:right="-1"/>
        <w:rPr>
          <w:rFonts w:cs="Arial"/>
          <w:sz w:val="22"/>
        </w:rPr>
      </w:pPr>
      <w:r w:rsidRPr="00C20F42">
        <w:rPr>
          <w:rFonts w:cs="Arial"/>
          <w:sz w:val="22"/>
        </w:rPr>
        <w:t>Strong technology skills.  Proven research, conceptual and statistical analysis skills and experience working with complex data sets and the collection, organisation, and interpretation of data combined with advanced skills in excel and statistical software packages.</w:t>
      </w:r>
    </w:p>
    <w:p w14:paraId="784548C3" w14:textId="33B9AD32" w:rsidR="009D0B4B" w:rsidRPr="00C20F42" w:rsidRDefault="009D0B4B" w:rsidP="00C20F42">
      <w:pPr>
        <w:numPr>
          <w:ilvl w:val="0"/>
          <w:numId w:val="25"/>
        </w:numPr>
        <w:spacing w:before="0" w:after="0"/>
        <w:ind w:right="-1"/>
        <w:rPr>
          <w:rFonts w:cs="Arial"/>
          <w:sz w:val="22"/>
        </w:rPr>
      </w:pPr>
      <w:r w:rsidRPr="00C20F42">
        <w:rPr>
          <w:rFonts w:cs="Arial"/>
          <w:sz w:val="22"/>
        </w:rPr>
        <w:lastRenderedPageBreak/>
        <w:t>Well-developed interpersonal and communication skills, including effective relationship management</w:t>
      </w:r>
      <w:r w:rsidR="00003563" w:rsidRPr="00C20F42">
        <w:rPr>
          <w:rFonts w:cs="Arial"/>
          <w:sz w:val="22"/>
        </w:rPr>
        <w:t xml:space="preserve"> and networking</w:t>
      </w:r>
      <w:r w:rsidRPr="00C20F42">
        <w:rPr>
          <w:rFonts w:cs="Arial"/>
          <w:sz w:val="22"/>
        </w:rPr>
        <w:t xml:space="preserve"> skills and the ability to work effectively with stakeholders at all levels.</w:t>
      </w:r>
    </w:p>
    <w:p w14:paraId="15054EB0" w14:textId="77777777" w:rsidR="009D0B4B" w:rsidRPr="00C20F42" w:rsidRDefault="009D0B4B" w:rsidP="00C20F42">
      <w:pPr>
        <w:numPr>
          <w:ilvl w:val="0"/>
          <w:numId w:val="25"/>
        </w:numPr>
        <w:spacing w:before="0" w:after="0"/>
        <w:ind w:right="-1"/>
        <w:rPr>
          <w:rFonts w:cs="Arial"/>
          <w:sz w:val="22"/>
        </w:rPr>
      </w:pPr>
      <w:r w:rsidRPr="00C20F42">
        <w:rPr>
          <w:rFonts w:cs="Arial"/>
          <w:sz w:val="22"/>
        </w:rPr>
        <w:t>Strong initiative with high level ability to apply judgement, balance competing priorities and work effectively in a team based and client service environment with an action-oriented outlook.</w:t>
      </w:r>
    </w:p>
    <w:p w14:paraId="07A87482" w14:textId="77777777" w:rsidR="009D0B4B" w:rsidRPr="00C20F42" w:rsidRDefault="009D0B4B" w:rsidP="00C20F42">
      <w:pPr>
        <w:numPr>
          <w:ilvl w:val="0"/>
          <w:numId w:val="25"/>
        </w:numPr>
        <w:spacing w:before="0" w:after="0"/>
        <w:ind w:right="-1"/>
        <w:rPr>
          <w:rFonts w:cs="Arial"/>
          <w:sz w:val="22"/>
        </w:rPr>
      </w:pPr>
      <w:r w:rsidRPr="00C20F42">
        <w:rPr>
          <w:rFonts w:cs="Arial"/>
          <w:sz w:val="22"/>
        </w:rPr>
        <w:t>Well-developed written and communication skills including experience in writing reports, preparing and delivering compelling presentations, preparing detailed information and correspondence.</w:t>
      </w:r>
    </w:p>
    <w:p w14:paraId="514E78AE" w14:textId="77777777" w:rsidR="004E3A2A" w:rsidRPr="009D0B4B" w:rsidRDefault="004E3A2A" w:rsidP="009D0B4B">
      <w:pPr>
        <w:tabs>
          <w:tab w:val="clear" w:pos="2835"/>
        </w:tabs>
        <w:spacing w:before="0" w:after="0" w:line="240" w:lineRule="auto"/>
        <w:ind w:left="3261" w:right="-1" w:hanging="3261"/>
        <w:rPr>
          <w:rFonts w:cs="Arial"/>
          <w:bCs/>
          <w:sz w:val="22"/>
        </w:rPr>
      </w:pPr>
    </w:p>
    <w:p w14:paraId="4A7886D9" w14:textId="77777777" w:rsidR="006C2ED7" w:rsidRPr="009D0B4B" w:rsidRDefault="006C2ED7" w:rsidP="009D0B4B">
      <w:pPr>
        <w:pStyle w:val="Heading3"/>
      </w:pPr>
      <w:r w:rsidRPr="009D0B4B">
        <w:t>Position Requirements</w:t>
      </w:r>
    </w:p>
    <w:p w14:paraId="0CDA124B" w14:textId="77777777" w:rsidR="00F86C79" w:rsidRPr="009D0B4B" w:rsidRDefault="00F86C79" w:rsidP="009D0B4B">
      <w:pPr>
        <w:pStyle w:val="Heading4"/>
        <w:rPr>
          <w:rFonts w:ascii="Gill Sans MT" w:hAnsi="Gill Sans MT"/>
          <w:color w:val="auto"/>
          <w:sz w:val="22"/>
        </w:rPr>
      </w:pPr>
      <w:r w:rsidRPr="009D0B4B">
        <w:rPr>
          <w:rFonts w:ascii="Gill Sans MT" w:hAnsi="Gill Sans MT"/>
          <w:color w:val="auto"/>
          <w:sz w:val="22"/>
        </w:rPr>
        <w:t>Pre-employment</w:t>
      </w:r>
    </w:p>
    <w:p w14:paraId="24FC8A75" w14:textId="77777777" w:rsidR="00F86C79" w:rsidRPr="009D0B4B" w:rsidRDefault="00F86C79" w:rsidP="009D0B4B">
      <w:pPr>
        <w:pStyle w:val="ListParagraph"/>
        <w:numPr>
          <w:ilvl w:val="0"/>
          <w:numId w:val="17"/>
        </w:numPr>
        <w:tabs>
          <w:tab w:val="clear" w:pos="2835"/>
        </w:tabs>
        <w:spacing w:before="0" w:after="200"/>
        <w:ind w:left="426"/>
        <w:rPr>
          <w:b/>
          <w:i/>
          <w:sz w:val="22"/>
        </w:rPr>
      </w:pPr>
      <w:r w:rsidRPr="009D0B4B">
        <w:rPr>
          <w:rFonts w:cs="Arial"/>
          <w:i/>
          <w:sz w:val="22"/>
        </w:rPr>
        <w:t>Nil</w:t>
      </w:r>
    </w:p>
    <w:p w14:paraId="452277D7" w14:textId="77777777" w:rsidR="00D40030" w:rsidRDefault="00D40030" w:rsidP="00D40030">
      <w:pPr>
        <w:pStyle w:val="Heading4"/>
        <w:rPr>
          <w:rFonts w:ascii="Gill Sans MT" w:hAnsi="Gill Sans MT"/>
          <w:color w:val="auto"/>
          <w:sz w:val="22"/>
        </w:rPr>
      </w:pPr>
      <w:r>
        <w:rPr>
          <w:rFonts w:ascii="Gill Sans MT" w:hAnsi="Gill Sans MT"/>
          <w:color w:val="auto"/>
          <w:sz w:val="22"/>
        </w:rPr>
        <w:t>Essential</w:t>
      </w:r>
    </w:p>
    <w:p w14:paraId="565C5B42" w14:textId="77777777" w:rsidR="00D40030" w:rsidRPr="006A4D9B" w:rsidRDefault="00D40030" w:rsidP="00D40030">
      <w:pPr>
        <w:rPr>
          <w:rFonts w:ascii="Calibri" w:hAnsi="Calibri"/>
          <w:sz w:val="22"/>
        </w:rPr>
      </w:pPr>
      <w:r w:rsidRPr="006A4D9B">
        <w:rPr>
          <w:sz w:val="22"/>
        </w:rPr>
        <w:t xml:space="preserve">A person is to provide evidence that they are vaccinated against COVID-19 or have an approved exemption. </w:t>
      </w:r>
    </w:p>
    <w:p w14:paraId="3025CFE4" w14:textId="77777777" w:rsidR="00D40030" w:rsidRPr="006A4D9B" w:rsidRDefault="00D40030" w:rsidP="00D40030">
      <w:pPr>
        <w:rPr>
          <w:sz w:val="22"/>
        </w:rPr>
      </w:pPr>
      <w:r w:rsidRPr="006A4D9B">
        <w:rPr>
          <w:sz w:val="22"/>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35A51A4C" w14:textId="77777777" w:rsidR="00D40030" w:rsidRPr="006A4D9B" w:rsidRDefault="00D40030" w:rsidP="00D40030">
      <w:pPr>
        <w:rPr>
          <w:sz w:val="22"/>
        </w:rPr>
      </w:pPr>
      <w:r w:rsidRPr="006A4D9B">
        <w:rPr>
          <w:sz w:val="22"/>
        </w:rPr>
        <w:t xml:space="preserve">A person may be granted an exemption from the requirement to be vaccinated against the disease where the person demonstrates –   </w:t>
      </w:r>
    </w:p>
    <w:p w14:paraId="19EE9F7E" w14:textId="77777777" w:rsidR="00D40030" w:rsidRPr="006A4D9B" w:rsidRDefault="00D40030" w:rsidP="00D40030">
      <w:pPr>
        <w:pStyle w:val="ListParagraph"/>
        <w:numPr>
          <w:ilvl w:val="0"/>
          <w:numId w:val="27"/>
        </w:numPr>
        <w:ind w:left="360"/>
        <w:rPr>
          <w:sz w:val="22"/>
        </w:rPr>
      </w:pPr>
      <w:r w:rsidRPr="006A4D9B">
        <w:rPr>
          <w:sz w:val="22"/>
        </w:rPr>
        <w:t>Medical contraindication</w:t>
      </w:r>
    </w:p>
    <w:p w14:paraId="72695BFE" w14:textId="77777777" w:rsidR="00D40030" w:rsidRPr="006A4D9B" w:rsidRDefault="00D40030" w:rsidP="00D40030">
      <w:pPr>
        <w:ind w:left="360"/>
        <w:rPr>
          <w:sz w:val="22"/>
        </w:rPr>
      </w:pPr>
      <w:r w:rsidRPr="006A4D9B">
        <w:rPr>
          <w:sz w:val="22"/>
        </w:rPr>
        <w:t xml:space="preserve">A person is unable to be vaccinated against the disease due to a medical contraindication if they: </w:t>
      </w:r>
    </w:p>
    <w:p w14:paraId="4EFB1A74" w14:textId="77777777" w:rsidR="00D40030" w:rsidRPr="006A4D9B" w:rsidRDefault="00D40030" w:rsidP="00D40030">
      <w:pPr>
        <w:pStyle w:val="ListParagraph"/>
        <w:numPr>
          <w:ilvl w:val="0"/>
          <w:numId w:val="26"/>
        </w:numPr>
        <w:tabs>
          <w:tab w:val="clear" w:pos="2835"/>
        </w:tabs>
        <w:spacing w:before="0" w:after="0" w:line="240" w:lineRule="auto"/>
        <w:ind w:left="1125"/>
        <w:contextualSpacing w:val="0"/>
        <w:rPr>
          <w:sz w:val="22"/>
        </w:rPr>
      </w:pPr>
      <w:r w:rsidRPr="006A4D9B">
        <w:rPr>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1232C5A9" w14:textId="77777777" w:rsidR="00D40030" w:rsidRPr="006A4D9B" w:rsidRDefault="00D40030" w:rsidP="00D40030">
      <w:pPr>
        <w:ind w:left="360" w:firstLine="720"/>
        <w:rPr>
          <w:sz w:val="22"/>
        </w:rPr>
      </w:pPr>
      <w:r w:rsidRPr="006A4D9B">
        <w:rPr>
          <w:sz w:val="22"/>
        </w:rPr>
        <w:t>Or</w:t>
      </w:r>
    </w:p>
    <w:p w14:paraId="40D59EFD" w14:textId="77777777" w:rsidR="00D40030" w:rsidRPr="006A4D9B" w:rsidRDefault="00D40030" w:rsidP="00D40030">
      <w:pPr>
        <w:pStyle w:val="ListParagraph"/>
        <w:numPr>
          <w:ilvl w:val="0"/>
          <w:numId w:val="26"/>
        </w:numPr>
        <w:tabs>
          <w:tab w:val="clear" w:pos="2835"/>
        </w:tabs>
        <w:spacing w:before="0" w:line="240" w:lineRule="auto"/>
        <w:ind w:left="1125"/>
        <w:contextualSpacing w:val="0"/>
        <w:rPr>
          <w:sz w:val="22"/>
        </w:rPr>
      </w:pPr>
      <w:r w:rsidRPr="006A4D9B">
        <w:rPr>
          <w:sz w:val="22"/>
        </w:rPr>
        <w:t>have a medical exemption, that applies to the vaccinations for the disease, that has been recorded on the Australian Immunisation Register, operated by or on behalf of the Commonwealth Government.</w:t>
      </w:r>
    </w:p>
    <w:p w14:paraId="5E412B65" w14:textId="77777777" w:rsidR="00D40030" w:rsidRPr="006A4D9B" w:rsidRDefault="00D40030" w:rsidP="00D40030">
      <w:pPr>
        <w:pStyle w:val="ListParagraph"/>
        <w:numPr>
          <w:ilvl w:val="0"/>
          <w:numId w:val="27"/>
        </w:numPr>
        <w:spacing w:before="240"/>
        <w:ind w:left="354" w:hanging="357"/>
        <w:rPr>
          <w:sz w:val="22"/>
        </w:rPr>
      </w:pPr>
      <w:r w:rsidRPr="006A4D9B">
        <w:rPr>
          <w:sz w:val="22"/>
        </w:rPr>
        <w:t>Exceptional circumstances demonstrated to the satisfaction of the Head of Agency</w:t>
      </w:r>
      <w:r>
        <w:rPr>
          <w:sz w:val="22"/>
        </w:rPr>
        <w:t>.</w:t>
      </w:r>
    </w:p>
    <w:p w14:paraId="5610F3CB" w14:textId="77777777" w:rsidR="00CD42F8" w:rsidRPr="009D0B4B" w:rsidRDefault="00E15171" w:rsidP="009D0B4B">
      <w:pPr>
        <w:pStyle w:val="Heading4"/>
        <w:rPr>
          <w:rFonts w:ascii="Gill Sans MT" w:hAnsi="Gill Sans MT"/>
          <w:color w:val="auto"/>
          <w:sz w:val="22"/>
        </w:rPr>
      </w:pPr>
      <w:r w:rsidRPr="009D0B4B">
        <w:rPr>
          <w:rFonts w:ascii="Gill Sans MT" w:hAnsi="Gill Sans MT"/>
          <w:color w:val="auto"/>
          <w:sz w:val="22"/>
        </w:rPr>
        <w:t>Desirable</w:t>
      </w:r>
    </w:p>
    <w:p w14:paraId="63659A38" w14:textId="77777777" w:rsidR="009D0B4B" w:rsidRPr="009D0B4B" w:rsidRDefault="009D0B4B" w:rsidP="009D0B4B">
      <w:pPr>
        <w:pStyle w:val="ListParagraph"/>
        <w:numPr>
          <w:ilvl w:val="0"/>
          <w:numId w:val="17"/>
        </w:numPr>
        <w:spacing w:line="240" w:lineRule="auto"/>
        <w:ind w:left="426" w:right="397"/>
        <w:rPr>
          <w:rFonts w:cs="Arial"/>
          <w:i/>
          <w:sz w:val="22"/>
        </w:rPr>
      </w:pPr>
      <w:r w:rsidRPr="009D0B4B">
        <w:rPr>
          <w:rFonts w:cs="Arial"/>
          <w:i/>
          <w:sz w:val="22"/>
        </w:rPr>
        <w:t>Current driver’s licence</w:t>
      </w:r>
    </w:p>
    <w:p w14:paraId="3BD3A431" w14:textId="7A930976" w:rsidR="00BB1930" w:rsidRDefault="00BB1930" w:rsidP="009D0B4B">
      <w:pPr>
        <w:tabs>
          <w:tab w:val="clear" w:pos="2835"/>
        </w:tabs>
        <w:spacing w:before="0" w:after="200"/>
        <w:rPr>
          <w:b/>
          <w:color w:val="000000" w:themeColor="text1"/>
        </w:rPr>
      </w:pPr>
    </w:p>
    <w:p w14:paraId="75DEED19" w14:textId="043AD464" w:rsidR="00D40030" w:rsidRDefault="00D40030" w:rsidP="009D0B4B">
      <w:pPr>
        <w:tabs>
          <w:tab w:val="clear" w:pos="2835"/>
        </w:tabs>
        <w:spacing w:before="0" w:after="200"/>
        <w:rPr>
          <w:b/>
          <w:color w:val="000000" w:themeColor="text1"/>
        </w:rPr>
      </w:pPr>
    </w:p>
    <w:p w14:paraId="5FF2C0FD" w14:textId="7EE2A0BE" w:rsidR="00D40030" w:rsidRDefault="00D40030" w:rsidP="009D0B4B">
      <w:pPr>
        <w:tabs>
          <w:tab w:val="clear" w:pos="2835"/>
        </w:tabs>
        <w:spacing w:before="0" w:after="200"/>
        <w:rPr>
          <w:b/>
          <w:color w:val="000000" w:themeColor="text1"/>
        </w:rPr>
      </w:pPr>
    </w:p>
    <w:p w14:paraId="573D9C5F" w14:textId="77777777" w:rsidR="00D40030" w:rsidRDefault="00D40030" w:rsidP="009D0B4B">
      <w:pPr>
        <w:tabs>
          <w:tab w:val="clear" w:pos="2835"/>
        </w:tabs>
        <w:spacing w:before="0" w:after="200"/>
        <w:rPr>
          <w:b/>
          <w:color w:val="000000" w:themeColor="text1"/>
        </w:rPr>
      </w:pPr>
    </w:p>
    <w:p w14:paraId="414EB814" w14:textId="77777777" w:rsidR="00D0799A" w:rsidRDefault="00D0799A" w:rsidP="009D0B4B">
      <w:pPr>
        <w:pStyle w:val="Heading3"/>
        <w:spacing w:before="0" w:after="0" w:line="240" w:lineRule="auto"/>
      </w:pPr>
      <w:r>
        <w:lastRenderedPageBreak/>
        <w:t>Working at State Growth</w:t>
      </w:r>
    </w:p>
    <w:p w14:paraId="5BC0D179" w14:textId="77777777" w:rsidR="00D52D85" w:rsidRDefault="00D52D85" w:rsidP="00D52D85">
      <w:pPr>
        <w:pStyle w:val="BodyText"/>
        <w:jc w:val="both"/>
        <w:rPr>
          <w:rFonts w:cs="Arial"/>
          <w:sz w:val="22"/>
        </w:rPr>
      </w:pPr>
      <w:r>
        <w:rPr>
          <w:rFonts w:cs="Arial"/>
          <w:sz w:val="22"/>
        </w:rPr>
        <w:t>The Office of the Coordinator-General reports directly to the Minister for State Growth, and administratively it is part of the Department of State Growth (Department).</w:t>
      </w:r>
    </w:p>
    <w:p w14:paraId="32BF46FD" w14:textId="77777777" w:rsidR="00C20F42" w:rsidRPr="00A4261D" w:rsidRDefault="00C20F42" w:rsidP="00C20F42">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6F133199" w14:textId="77777777" w:rsidR="00C20F42" w:rsidRPr="0063697D" w:rsidRDefault="00C20F42" w:rsidP="00C20F42">
      <w:pPr>
        <w:pStyle w:val="BodyText"/>
        <w:rPr>
          <w:rFonts w:cs="Arial"/>
          <w:sz w:val="22"/>
        </w:rPr>
      </w:pPr>
      <w:r w:rsidRPr="0063697D">
        <w:rPr>
          <w:rFonts w:cs="Arial"/>
          <w:sz w:val="22"/>
        </w:rPr>
        <w:t xml:space="preserve">The </w:t>
      </w:r>
      <w:hyperlink r:id="rId9"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4E62A4AE" w14:textId="77777777" w:rsidR="00C20F42" w:rsidRPr="00E44F81" w:rsidRDefault="00C20F42" w:rsidP="00C20F42">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395488D8" w14:textId="22D5D184" w:rsidR="00C20F42" w:rsidRPr="00C67374" w:rsidRDefault="00C20F42" w:rsidP="00C20F42">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r w:rsidR="00736953" w:rsidRPr="00C67374">
        <w:rPr>
          <w:rFonts w:cs="Arial"/>
          <w:sz w:val="22"/>
        </w:rPr>
        <w:t>values-based</w:t>
      </w:r>
      <w:r w:rsidRPr="00C67374">
        <w:rPr>
          <w:rFonts w:cs="Arial"/>
          <w:sz w:val="22"/>
        </w:rPr>
        <w:t xml:space="preserve"> culture.  Our values and behaviours reflect what we consider to be important, that is </w:t>
      </w:r>
    </w:p>
    <w:p w14:paraId="7B1293F1" w14:textId="77777777" w:rsidR="00C20F42" w:rsidRPr="00121056" w:rsidRDefault="00C20F42" w:rsidP="00C20F42">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12C27DB7" w14:textId="77777777" w:rsidR="00C20F42" w:rsidRPr="00121056" w:rsidRDefault="00C20F42" w:rsidP="00C20F42">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4A5D7E04" w14:textId="77777777" w:rsidR="00C20F42" w:rsidRPr="00121056" w:rsidRDefault="00C20F42" w:rsidP="00C20F42">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7FB8438E" w14:textId="77777777" w:rsidR="00C20F42" w:rsidRPr="00121056" w:rsidRDefault="00C20F42" w:rsidP="00C20F42">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5B049233" w14:textId="77777777" w:rsidR="00C20F42" w:rsidRPr="00121056" w:rsidRDefault="00C20F42" w:rsidP="00C20F42">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96992DB" w14:textId="77777777" w:rsidR="00C20F42" w:rsidRPr="00121056" w:rsidRDefault="00C20F42" w:rsidP="00C20F42">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4233BDB7" w14:textId="77777777" w:rsidR="00C20F42" w:rsidRPr="00DE4220" w:rsidRDefault="00C20F42" w:rsidP="00C20F42">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5601ED5F" w14:textId="77777777" w:rsidR="00C20F42" w:rsidRDefault="00C20F42" w:rsidP="00C20F42">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Pr="00EF2C16">
          <w:rPr>
            <w:rStyle w:val="Hyperlink"/>
            <w:rFonts w:cs="Arial"/>
            <w:sz w:val="22"/>
          </w:rPr>
          <w:t>www.dpac.tas.gov.au/divisions/ssmo</w:t>
        </w:r>
      </w:hyperlink>
      <w:r w:rsidRPr="0063697D">
        <w:rPr>
          <w:rFonts w:cs="Arial"/>
          <w:sz w:val="22"/>
        </w:rPr>
        <w:t>)</w:t>
      </w:r>
    </w:p>
    <w:p w14:paraId="3E1E9F1C" w14:textId="77777777" w:rsidR="0063697D" w:rsidRPr="0063697D" w:rsidRDefault="0063697D" w:rsidP="009D0B4B">
      <w:pPr>
        <w:pStyle w:val="BodyText"/>
        <w:ind w:right="43"/>
        <w:jc w:val="both"/>
        <w:rPr>
          <w:rFonts w:cs="Arial"/>
          <w:color w:val="0000FF" w:themeColor="hyperlink"/>
          <w:sz w:val="22"/>
          <w:u w:val="single"/>
        </w:rPr>
      </w:pPr>
    </w:p>
    <w:p w14:paraId="37CAC7E5" w14:textId="77777777" w:rsidR="009759C1" w:rsidRPr="009759C1" w:rsidRDefault="009759C1" w:rsidP="009D0B4B">
      <w:pPr>
        <w:pBdr>
          <w:top w:val="single" w:sz="4" w:space="1" w:color="auto"/>
        </w:pBdr>
        <w:spacing w:before="0" w:after="0"/>
        <w:rPr>
          <w:b/>
          <w:sz w:val="20"/>
          <w:szCs w:val="20"/>
        </w:rPr>
      </w:pPr>
    </w:p>
    <w:p w14:paraId="7963640B" w14:textId="466EC50D" w:rsidR="009759C1" w:rsidRPr="009759C1" w:rsidRDefault="009759C1" w:rsidP="009D0B4B">
      <w:pPr>
        <w:pBdr>
          <w:top w:val="single" w:sz="4" w:space="1" w:color="auto"/>
        </w:pBdr>
        <w:spacing w:before="0" w:after="0"/>
        <w:rPr>
          <w:sz w:val="20"/>
          <w:szCs w:val="20"/>
        </w:rPr>
      </w:pPr>
      <w:r w:rsidRPr="009759C1">
        <w:rPr>
          <w:b/>
          <w:sz w:val="20"/>
          <w:szCs w:val="20"/>
        </w:rPr>
        <w:t xml:space="preserve">Approved </w:t>
      </w:r>
      <w:r w:rsidR="00C63C61" w:rsidRPr="005B6403">
        <w:rPr>
          <w:sz w:val="20"/>
          <w:szCs w:val="20"/>
        </w:rPr>
        <w:t>Executive Director – Investment Attraction</w:t>
      </w:r>
      <w:r w:rsidR="00736953" w:rsidRPr="009759C1">
        <w:rPr>
          <w:sz w:val="20"/>
          <w:szCs w:val="20"/>
        </w:rPr>
        <w:tab/>
      </w:r>
      <w:r w:rsidR="00736953">
        <w:rPr>
          <w:sz w:val="20"/>
          <w:szCs w:val="20"/>
        </w:rPr>
        <w:t xml:space="preserve"> 30</w:t>
      </w:r>
      <w:r w:rsidR="002145F3">
        <w:rPr>
          <w:sz w:val="20"/>
          <w:szCs w:val="20"/>
        </w:rPr>
        <w:t xml:space="preserve"> August</w:t>
      </w:r>
      <w:r w:rsidR="002145F3">
        <w:rPr>
          <w:b/>
          <w:sz w:val="20"/>
          <w:szCs w:val="20"/>
        </w:rPr>
        <w:t xml:space="preserve"> 2021</w:t>
      </w:r>
    </w:p>
    <w:p w14:paraId="7502019D" w14:textId="77777777" w:rsidR="009759C1" w:rsidRPr="009759C1" w:rsidRDefault="009759C1" w:rsidP="009D0B4B">
      <w:pPr>
        <w:pBdr>
          <w:top w:val="single" w:sz="4" w:space="1" w:color="auto"/>
        </w:pBdr>
        <w:spacing w:before="0" w:after="0"/>
        <w:rPr>
          <w:sz w:val="20"/>
          <w:szCs w:val="20"/>
        </w:rPr>
      </w:pPr>
    </w:p>
    <w:p w14:paraId="6904DB8B" w14:textId="77777777" w:rsidR="009759C1" w:rsidRPr="009759C1" w:rsidRDefault="009759C1" w:rsidP="009D0B4B">
      <w:pPr>
        <w:pBdr>
          <w:top w:val="single" w:sz="4" w:space="1" w:color="auto"/>
        </w:pBdr>
        <w:spacing w:before="0" w:after="0"/>
        <w:rPr>
          <w:sz w:val="20"/>
          <w:szCs w:val="20"/>
        </w:rPr>
      </w:pPr>
      <w:r w:rsidRPr="009759C1">
        <w:rPr>
          <w:b/>
          <w:sz w:val="20"/>
          <w:szCs w:val="20"/>
        </w:rPr>
        <w:t>Classification approved</w:t>
      </w:r>
      <w:r w:rsidRPr="009759C1">
        <w:rPr>
          <w:sz w:val="20"/>
          <w:szCs w:val="20"/>
        </w:rPr>
        <w:t xml:space="preserve"> </w:t>
      </w:r>
      <w:r w:rsidR="00C63C61" w:rsidRPr="005B6403">
        <w:rPr>
          <w:sz w:val="20"/>
          <w:szCs w:val="20"/>
        </w:rPr>
        <w:t>April 2020</w:t>
      </w:r>
    </w:p>
    <w:p w14:paraId="7A6758E8" w14:textId="77777777" w:rsidR="00BE7277" w:rsidRPr="001327D4" w:rsidRDefault="00BE7277" w:rsidP="009D0B4B">
      <w:pPr>
        <w:pBdr>
          <w:top w:val="single" w:sz="4" w:space="1" w:color="auto"/>
        </w:pBdr>
        <w:spacing w:before="0" w:after="0"/>
        <w:rPr>
          <w:sz w:val="22"/>
        </w:rPr>
      </w:pPr>
    </w:p>
    <w:sectPr w:rsidR="00BE7277" w:rsidRPr="001327D4" w:rsidSect="003E1EB7">
      <w:footerReference w:type="default" r:id="rId11"/>
      <w:footerReference w:type="first" r:id="rId12"/>
      <w:pgSz w:w="11906" w:h="16838"/>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50F5A" w14:textId="77777777" w:rsidR="005A6638" w:rsidRDefault="005A6638" w:rsidP="00BC49A5">
      <w:r>
        <w:separator/>
      </w:r>
    </w:p>
  </w:endnote>
  <w:endnote w:type="continuationSeparator" w:id="0">
    <w:p w14:paraId="374D2BA2" w14:textId="77777777" w:rsidR="005A6638" w:rsidRDefault="005A663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A39A078"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51290A">
          <w:rPr>
            <w:noProof/>
          </w:rPr>
          <w:t>4</w:t>
        </w:r>
        <w:r w:rsidR="007F73E6">
          <w:rPr>
            <w:noProof/>
          </w:rPr>
          <w:fldChar w:fldCharType="end"/>
        </w:r>
      </w:p>
    </w:sdtContent>
  </w:sdt>
  <w:p w14:paraId="7FCDD2F6" w14:textId="77777777" w:rsidR="00745948" w:rsidRDefault="00745948"/>
  <w:p w14:paraId="1623307D" w14:textId="77777777" w:rsidR="00745948" w:rsidRDefault="00745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49626"/>
      <w:docPartObj>
        <w:docPartGallery w:val="Page Numbers (Bottom of Page)"/>
        <w:docPartUnique/>
      </w:docPartObj>
    </w:sdtPr>
    <w:sdtEndPr>
      <w:rPr>
        <w:noProof/>
      </w:rPr>
    </w:sdtEndPr>
    <w:sdtContent>
      <w:p w14:paraId="4E54613D" w14:textId="77777777" w:rsidR="00745948" w:rsidRDefault="00C63C61" w:rsidP="00C63C61">
        <w:pPr>
          <w:pStyle w:val="Footer"/>
          <w:tabs>
            <w:tab w:val="clear" w:pos="4513"/>
            <w:tab w:val="left" w:pos="7973"/>
            <w:tab w:val="center" w:pos="8222"/>
          </w:tabs>
        </w:pPr>
        <w:r>
          <w:t xml:space="preserve">  </w:t>
        </w:r>
        <w:r>
          <w:tab/>
        </w:r>
        <w:r>
          <w:fldChar w:fldCharType="begin"/>
        </w:r>
        <w:r>
          <w:instrText xml:space="preserve"> PAGE   \* MERGEFORMAT </w:instrText>
        </w:r>
        <w:r>
          <w:fldChar w:fldCharType="separate"/>
        </w:r>
        <w:r w:rsidR="00FD0E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C0A0" w14:textId="77777777" w:rsidR="005A6638" w:rsidRDefault="005A6638" w:rsidP="00BC49A5">
      <w:r>
        <w:separator/>
      </w:r>
    </w:p>
  </w:footnote>
  <w:footnote w:type="continuationSeparator" w:id="0">
    <w:p w14:paraId="34266D25" w14:textId="77777777" w:rsidR="005A6638" w:rsidRDefault="005A6638"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1A08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99837FC"/>
    <w:multiLevelType w:val="hybridMultilevel"/>
    <w:tmpl w:val="ED406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DA1D09"/>
    <w:multiLevelType w:val="hybridMultilevel"/>
    <w:tmpl w:val="2C3C4D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2"/>
  </w:num>
  <w:num w:numId="4">
    <w:abstractNumId w:val="6"/>
  </w:num>
  <w:num w:numId="5">
    <w:abstractNumId w:val="3"/>
  </w:num>
  <w:num w:numId="6">
    <w:abstractNumId w:val="23"/>
  </w:num>
  <w:num w:numId="7">
    <w:abstractNumId w:val="5"/>
  </w:num>
  <w:num w:numId="8">
    <w:abstractNumId w:val="25"/>
  </w:num>
  <w:num w:numId="9">
    <w:abstractNumId w:val="4"/>
  </w:num>
  <w:num w:numId="10">
    <w:abstractNumId w:val="1"/>
  </w:num>
  <w:num w:numId="11">
    <w:abstractNumId w:val="11"/>
  </w:num>
  <w:num w:numId="12">
    <w:abstractNumId w:val="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8"/>
  </w:num>
  <w:num w:numId="17">
    <w:abstractNumId w:val="14"/>
  </w:num>
  <w:num w:numId="18">
    <w:abstractNumId w:val="15"/>
  </w:num>
  <w:num w:numId="19">
    <w:abstractNumId w:val="13"/>
  </w:num>
  <w:num w:numId="20">
    <w:abstractNumId w:val="22"/>
  </w:num>
  <w:num w:numId="21">
    <w:abstractNumId w:val="18"/>
  </w:num>
  <w:num w:numId="22">
    <w:abstractNumId w:val="9"/>
  </w:num>
  <w:num w:numId="23">
    <w:abstractNumId w:val="7"/>
  </w:num>
  <w:num w:numId="24">
    <w:abstractNumId w:val="24"/>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3563"/>
    <w:rsid w:val="000436F6"/>
    <w:rsid w:val="00051D67"/>
    <w:rsid w:val="0006640C"/>
    <w:rsid w:val="00066D45"/>
    <w:rsid w:val="00085651"/>
    <w:rsid w:val="00094E6B"/>
    <w:rsid w:val="000A687B"/>
    <w:rsid w:val="000D117E"/>
    <w:rsid w:val="000E1C69"/>
    <w:rsid w:val="00101061"/>
    <w:rsid w:val="001067A0"/>
    <w:rsid w:val="001165AA"/>
    <w:rsid w:val="00121056"/>
    <w:rsid w:val="001327D4"/>
    <w:rsid w:val="0016305A"/>
    <w:rsid w:val="001658D9"/>
    <w:rsid w:val="00174C09"/>
    <w:rsid w:val="0017690F"/>
    <w:rsid w:val="00185BDA"/>
    <w:rsid w:val="00186BB1"/>
    <w:rsid w:val="001947A1"/>
    <w:rsid w:val="00194A48"/>
    <w:rsid w:val="00194B22"/>
    <w:rsid w:val="001963E4"/>
    <w:rsid w:val="001A06E6"/>
    <w:rsid w:val="001A4B29"/>
    <w:rsid w:val="001A7FED"/>
    <w:rsid w:val="001C06F8"/>
    <w:rsid w:val="001E7B7E"/>
    <w:rsid w:val="00202D61"/>
    <w:rsid w:val="00211EB7"/>
    <w:rsid w:val="002145F3"/>
    <w:rsid w:val="00226289"/>
    <w:rsid w:val="002347D1"/>
    <w:rsid w:val="002506A1"/>
    <w:rsid w:val="00263E12"/>
    <w:rsid w:val="0027099F"/>
    <w:rsid w:val="002804C0"/>
    <w:rsid w:val="00285365"/>
    <w:rsid w:val="00296558"/>
    <w:rsid w:val="002A584C"/>
    <w:rsid w:val="002B256E"/>
    <w:rsid w:val="002E221A"/>
    <w:rsid w:val="002E33F1"/>
    <w:rsid w:val="002F142D"/>
    <w:rsid w:val="003058D6"/>
    <w:rsid w:val="00331842"/>
    <w:rsid w:val="003420FF"/>
    <w:rsid w:val="00360930"/>
    <w:rsid w:val="00371F59"/>
    <w:rsid w:val="00391075"/>
    <w:rsid w:val="003951E9"/>
    <w:rsid w:val="0039695F"/>
    <w:rsid w:val="003B0A4C"/>
    <w:rsid w:val="003C5DE2"/>
    <w:rsid w:val="003E0CDE"/>
    <w:rsid w:val="003E1EB7"/>
    <w:rsid w:val="003F1C1E"/>
    <w:rsid w:val="003F442E"/>
    <w:rsid w:val="00411FA3"/>
    <w:rsid w:val="00417933"/>
    <w:rsid w:val="004674FB"/>
    <w:rsid w:val="00476271"/>
    <w:rsid w:val="00486C56"/>
    <w:rsid w:val="00490402"/>
    <w:rsid w:val="004A7FFC"/>
    <w:rsid w:val="004C0312"/>
    <w:rsid w:val="004C7642"/>
    <w:rsid w:val="004D70E5"/>
    <w:rsid w:val="004E3A2A"/>
    <w:rsid w:val="004F14B2"/>
    <w:rsid w:val="004F2DAF"/>
    <w:rsid w:val="004F67EC"/>
    <w:rsid w:val="0051290A"/>
    <w:rsid w:val="00523008"/>
    <w:rsid w:val="00542542"/>
    <w:rsid w:val="00547824"/>
    <w:rsid w:val="00562D6C"/>
    <w:rsid w:val="005864CE"/>
    <w:rsid w:val="005A1849"/>
    <w:rsid w:val="005A351A"/>
    <w:rsid w:val="005A6638"/>
    <w:rsid w:val="005D5969"/>
    <w:rsid w:val="005E3736"/>
    <w:rsid w:val="00600395"/>
    <w:rsid w:val="00602D0C"/>
    <w:rsid w:val="0060621A"/>
    <w:rsid w:val="00623F92"/>
    <w:rsid w:val="00626D9C"/>
    <w:rsid w:val="0063697D"/>
    <w:rsid w:val="00644FB9"/>
    <w:rsid w:val="00646492"/>
    <w:rsid w:val="006526AA"/>
    <w:rsid w:val="00671978"/>
    <w:rsid w:val="00697962"/>
    <w:rsid w:val="006A23DC"/>
    <w:rsid w:val="006A2A48"/>
    <w:rsid w:val="006B623C"/>
    <w:rsid w:val="006C2ED7"/>
    <w:rsid w:val="006F2AF5"/>
    <w:rsid w:val="00702359"/>
    <w:rsid w:val="00703D04"/>
    <w:rsid w:val="00710239"/>
    <w:rsid w:val="00711086"/>
    <w:rsid w:val="00712B9C"/>
    <w:rsid w:val="00726176"/>
    <w:rsid w:val="00736953"/>
    <w:rsid w:val="00742AA5"/>
    <w:rsid w:val="00743A19"/>
    <w:rsid w:val="00745948"/>
    <w:rsid w:val="0074742E"/>
    <w:rsid w:val="00751A0E"/>
    <w:rsid w:val="00773BAA"/>
    <w:rsid w:val="0077632F"/>
    <w:rsid w:val="00794567"/>
    <w:rsid w:val="007B61E0"/>
    <w:rsid w:val="007C2B83"/>
    <w:rsid w:val="007C478E"/>
    <w:rsid w:val="007F73E6"/>
    <w:rsid w:val="00805347"/>
    <w:rsid w:val="008171F0"/>
    <w:rsid w:val="00822C14"/>
    <w:rsid w:val="00840A9D"/>
    <w:rsid w:val="008728F7"/>
    <w:rsid w:val="008732A5"/>
    <w:rsid w:val="00877B74"/>
    <w:rsid w:val="008A18A5"/>
    <w:rsid w:val="008A3C6E"/>
    <w:rsid w:val="008B26CF"/>
    <w:rsid w:val="008F1AEF"/>
    <w:rsid w:val="008F3009"/>
    <w:rsid w:val="008F3F19"/>
    <w:rsid w:val="00905B48"/>
    <w:rsid w:val="0093612C"/>
    <w:rsid w:val="00946348"/>
    <w:rsid w:val="00956D67"/>
    <w:rsid w:val="009601AD"/>
    <w:rsid w:val="00967EC2"/>
    <w:rsid w:val="009759C1"/>
    <w:rsid w:val="00996BD9"/>
    <w:rsid w:val="00997371"/>
    <w:rsid w:val="009A1040"/>
    <w:rsid w:val="009A65F9"/>
    <w:rsid w:val="009B4518"/>
    <w:rsid w:val="009C1CB0"/>
    <w:rsid w:val="009C299E"/>
    <w:rsid w:val="009C31F1"/>
    <w:rsid w:val="009D0B4B"/>
    <w:rsid w:val="009D278A"/>
    <w:rsid w:val="009D522C"/>
    <w:rsid w:val="009D73F8"/>
    <w:rsid w:val="009F6C23"/>
    <w:rsid w:val="009F6FEF"/>
    <w:rsid w:val="00A124DA"/>
    <w:rsid w:val="00A1362F"/>
    <w:rsid w:val="00A27736"/>
    <w:rsid w:val="00A355B8"/>
    <w:rsid w:val="00A44F84"/>
    <w:rsid w:val="00A7332B"/>
    <w:rsid w:val="00A8213E"/>
    <w:rsid w:val="00A8673E"/>
    <w:rsid w:val="00A87A2B"/>
    <w:rsid w:val="00A93A80"/>
    <w:rsid w:val="00AC5F3A"/>
    <w:rsid w:val="00AC6312"/>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49A5"/>
    <w:rsid w:val="00BC5BFE"/>
    <w:rsid w:val="00BD238B"/>
    <w:rsid w:val="00BE0907"/>
    <w:rsid w:val="00BE7277"/>
    <w:rsid w:val="00BF28DD"/>
    <w:rsid w:val="00C105FB"/>
    <w:rsid w:val="00C12643"/>
    <w:rsid w:val="00C20F42"/>
    <w:rsid w:val="00C26B92"/>
    <w:rsid w:val="00C538DE"/>
    <w:rsid w:val="00C63C61"/>
    <w:rsid w:val="00C648C9"/>
    <w:rsid w:val="00C77318"/>
    <w:rsid w:val="00C96242"/>
    <w:rsid w:val="00CB23AA"/>
    <w:rsid w:val="00CC6B72"/>
    <w:rsid w:val="00CD15B0"/>
    <w:rsid w:val="00CD42F8"/>
    <w:rsid w:val="00CE44EE"/>
    <w:rsid w:val="00D0096D"/>
    <w:rsid w:val="00D0799A"/>
    <w:rsid w:val="00D17EEE"/>
    <w:rsid w:val="00D21223"/>
    <w:rsid w:val="00D40030"/>
    <w:rsid w:val="00D52D85"/>
    <w:rsid w:val="00D72CDA"/>
    <w:rsid w:val="00D74D9D"/>
    <w:rsid w:val="00D935B9"/>
    <w:rsid w:val="00DD1205"/>
    <w:rsid w:val="00DE291A"/>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ED4B63"/>
    <w:rsid w:val="00F141DE"/>
    <w:rsid w:val="00F14B42"/>
    <w:rsid w:val="00F164E1"/>
    <w:rsid w:val="00F2319D"/>
    <w:rsid w:val="00F2463C"/>
    <w:rsid w:val="00F44EC7"/>
    <w:rsid w:val="00F72184"/>
    <w:rsid w:val="00F821D2"/>
    <w:rsid w:val="00F86C79"/>
    <w:rsid w:val="00F87DED"/>
    <w:rsid w:val="00FB0F73"/>
    <w:rsid w:val="00FB18A6"/>
    <w:rsid w:val="00FC6745"/>
    <w:rsid w:val="00FD0E56"/>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5DB3"/>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40030"/>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4ED4-F807-4EB5-AE15-C941BCEE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Ferraro, Sandra</cp:lastModifiedBy>
  <cp:revision>3</cp:revision>
  <cp:lastPrinted>2021-09-15T02:27:00Z</cp:lastPrinted>
  <dcterms:created xsi:type="dcterms:W3CDTF">2021-12-24T00:06:00Z</dcterms:created>
  <dcterms:modified xsi:type="dcterms:W3CDTF">2021-12-24T00:06:00Z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