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3C122475" w:rsidR="00845111" w:rsidRDefault="00D975A5" w:rsidP="00845111">
      <w:pPr>
        <w:pStyle w:val="Heading1"/>
      </w:pPr>
      <w:r>
        <w:t>Victims Support Service</w:t>
      </w:r>
    </w:p>
    <w:p w14:paraId="3EEECCD9" w14:textId="6EA81E11" w:rsidR="00845111" w:rsidRDefault="00D975A5" w:rsidP="00FE28E6">
      <w:pPr>
        <w:pStyle w:val="Heading2centre"/>
      </w:pPr>
      <w:r>
        <w:t>Court Support Officer</w:t>
      </w:r>
      <w:r w:rsidR="000906F1">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33F3E5B3" w14:textId="454A046C" w:rsidR="00D975A5" w:rsidRPr="00D975A5" w:rsidRDefault="00D975A5" w:rsidP="00D975A5">
      <w:pPr>
        <w:spacing w:after="0"/>
        <w:jc w:val="both"/>
        <w:rPr>
          <w:rFonts w:cs="Arial"/>
          <w:szCs w:val="22"/>
        </w:rPr>
      </w:pPr>
      <w:r w:rsidRPr="00D975A5">
        <w:rPr>
          <w:rFonts w:cs="Arial"/>
          <w:szCs w:val="22"/>
        </w:rPr>
        <w:t xml:space="preserve">The Court Support and Liaison Service was established due to the implementation of the Safe at Home program, will provide guidance, information, support, assistance and empowerment for adult and child victims of family violence. </w:t>
      </w:r>
    </w:p>
    <w:p w14:paraId="66B5370A" w14:textId="77777777" w:rsidR="00E83CD7" w:rsidRPr="00F71D29" w:rsidRDefault="00E83CD7" w:rsidP="00134FDE">
      <w:pPr>
        <w:pStyle w:val="Heading3"/>
        <w:spacing w:before="240"/>
      </w:pPr>
      <w:r w:rsidRPr="00F71D29">
        <w:t>Duties</w:t>
      </w:r>
    </w:p>
    <w:p w14:paraId="4A646641" w14:textId="77777777" w:rsidR="00D975A5" w:rsidRPr="00D975A5" w:rsidRDefault="00D975A5" w:rsidP="00D975A5">
      <w:pPr>
        <w:numPr>
          <w:ilvl w:val="0"/>
          <w:numId w:val="39"/>
        </w:numPr>
        <w:spacing w:before="60" w:after="60"/>
        <w:jc w:val="both"/>
        <w:rPr>
          <w:rFonts w:cs="Arial"/>
          <w:szCs w:val="22"/>
          <w:lang w:val="en-GB"/>
        </w:rPr>
      </w:pPr>
      <w:r w:rsidRPr="00D975A5">
        <w:rPr>
          <w:rFonts w:cs="Arial"/>
          <w:szCs w:val="22"/>
          <w:lang w:val="en-GB"/>
        </w:rPr>
        <w:t>Assist adults and child victims of crime by:</w:t>
      </w:r>
    </w:p>
    <w:p w14:paraId="08B39E90" w14:textId="77777777" w:rsidR="00D975A5" w:rsidRPr="00D975A5" w:rsidRDefault="00D975A5" w:rsidP="00D975A5">
      <w:pPr>
        <w:numPr>
          <w:ilvl w:val="1"/>
          <w:numId w:val="39"/>
        </w:numPr>
        <w:spacing w:before="60" w:after="60"/>
        <w:jc w:val="both"/>
        <w:rPr>
          <w:rFonts w:cs="Arial"/>
          <w:szCs w:val="22"/>
        </w:rPr>
      </w:pPr>
      <w:r w:rsidRPr="00D975A5">
        <w:rPr>
          <w:rFonts w:cs="Arial"/>
          <w:szCs w:val="22"/>
        </w:rPr>
        <w:t>explaining court processes and terminology used by Court personnel;</w:t>
      </w:r>
    </w:p>
    <w:p w14:paraId="6DD6B0B5" w14:textId="77777777" w:rsidR="00D975A5" w:rsidRPr="00D975A5" w:rsidRDefault="00D975A5" w:rsidP="00D975A5">
      <w:pPr>
        <w:numPr>
          <w:ilvl w:val="1"/>
          <w:numId w:val="39"/>
        </w:numPr>
        <w:spacing w:before="60" w:after="60"/>
        <w:jc w:val="both"/>
        <w:rPr>
          <w:rFonts w:cs="Arial"/>
          <w:szCs w:val="22"/>
        </w:rPr>
      </w:pPr>
      <w:r w:rsidRPr="00D975A5">
        <w:rPr>
          <w:rFonts w:cs="Arial"/>
          <w:szCs w:val="22"/>
        </w:rPr>
        <w:t>describing physical orientation of court layouts;</w:t>
      </w:r>
    </w:p>
    <w:p w14:paraId="60460B02" w14:textId="77777777" w:rsidR="00D975A5" w:rsidRPr="00D975A5" w:rsidRDefault="00D975A5" w:rsidP="00D975A5">
      <w:pPr>
        <w:numPr>
          <w:ilvl w:val="1"/>
          <w:numId w:val="39"/>
        </w:numPr>
        <w:spacing w:before="60" w:after="60"/>
        <w:jc w:val="both"/>
        <w:rPr>
          <w:rFonts w:cs="Arial"/>
          <w:szCs w:val="22"/>
        </w:rPr>
      </w:pPr>
      <w:r w:rsidRPr="00D975A5">
        <w:rPr>
          <w:rFonts w:cs="Arial"/>
          <w:szCs w:val="22"/>
        </w:rPr>
        <w:t>providing information about court systems;</w:t>
      </w:r>
    </w:p>
    <w:p w14:paraId="7A214448" w14:textId="77777777" w:rsidR="00D975A5" w:rsidRPr="00D975A5" w:rsidRDefault="00D975A5" w:rsidP="00D975A5">
      <w:pPr>
        <w:numPr>
          <w:ilvl w:val="1"/>
          <w:numId w:val="39"/>
        </w:numPr>
        <w:spacing w:before="60" w:after="60"/>
        <w:jc w:val="both"/>
        <w:rPr>
          <w:rFonts w:cs="Arial"/>
          <w:szCs w:val="22"/>
        </w:rPr>
      </w:pPr>
      <w:r w:rsidRPr="00D975A5">
        <w:rPr>
          <w:rFonts w:cs="Arial"/>
          <w:szCs w:val="22"/>
        </w:rPr>
        <w:t>offering personal / emotional support throughout the Court process;</w:t>
      </w:r>
    </w:p>
    <w:p w14:paraId="69458852" w14:textId="77777777" w:rsidR="00D975A5" w:rsidRPr="00D975A5" w:rsidRDefault="00D975A5" w:rsidP="00D975A5">
      <w:pPr>
        <w:numPr>
          <w:ilvl w:val="1"/>
          <w:numId w:val="39"/>
        </w:numPr>
        <w:spacing w:before="60" w:after="60"/>
        <w:jc w:val="both"/>
        <w:rPr>
          <w:rFonts w:cs="Arial"/>
          <w:szCs w:val="22"/>
        </w:rPr>
      </w:pPr>
      <w:r w:rsidRPr="00D975A5">
        <w:rPr>
          <w:rFonts w:cs="Arial"/>
          <w:szCs w:val="22"/>
        </w:rPr>
        <w:t>discussing the impact of Magistrates/Judges decisions;</w:t>
      </w:r>
    </w:p>
    <w:p w14:paraId="2B8BAFE5" w14:textId="77777777" w:rsidR="00D975A5" w:rsidRPr="00D975A5" w:rsidRDefault="00D975A5" w:rsidP="00D975A5">
      <w:pPr>
        <w:numPr>
          <w:ilvl w:val="1"/>
          <w:numId w:val="39"/>
        </w:numPr>
        <w:spacing w:before="60" w:after="60"/>
        <w:jc w:val="both"/>
        <w:rPr>
          <w:rFonts w:cs="Arial"/>
          <w:szCs w:val="22"/>
        </w:rPr>
      </w:pPr>
      <w:r w:rsidRPr="00D975A5">
        <w:rPr>
          <w:rFonts w:cs="Arial"/>
          <w:szCs w:val="22"/>
        </w:rPr>
        <w:t>providing a de-briefing service to victims following court appearances;</w:t>
      </w:r>
    </w:p>
    <w:p w14:paraId="28E7B291" w14:textId="77777777" w:rsidR="00D975A5" w:rsidRPr="00D975A5" w:rsidRDefault="00D975A5" w:rsidP="00D975A5">
      <w:pPr>
        <w:numPr>
          <w:ilvl w:val="1"/>
          <w:numId w:val="39"/>
        </w:numPr>
        <w:spacing w:before="60" w:after="60"/>
        <w:jc w:val="both"/>
        <w:rPr>
          <w:rFonts w:cs="Arial"/>
          <w:szCs w:val="22"/>
        </w:rPr>
      </w:pPr>
      <w:r w:rsidRPr="00D975A5">
        <w:rPr>
          <w:rFonts w:cs="Arial"/>
          <w:szCs w:val="22"/>
        </w:rPr>
        <w:t>referring to appropriate support services;  and</w:t>
      </w:r>
    </w:p>
    <w:p w14:paraId="5BBA3E5D" w14:textId="77777777" w:rsidR="00D975A5" w:rsidRPr="00D975A5" w:rsidRDefault="00D975A5" w:rsidP="00D975A5">
      <w:pPr>
        <w:numPr>
          <w:ilvl w:val="1"/>
          <w:numId w:val="39"/>
        </w:numPr>
        <w:spacing w:before="60" w:after="60"/>
        <w:jc w:val="both"/>
        <w:rPr>
          <w:rFonts w:cs="Arial"/>
          <w:szCs w:val="22"/>
        </w:rPr>
      </w:pPr>
      <w:r w:rsidRPr="00D975A5">
        <w:rPr>
          <w:rFonts w:cs="Arial"/>
          <w:szCs w:val="22"/>
        </w:rPr>
        <w:t>assisting with the practical details of physically getting to Court</w:t>
      </w:r>
    </w:p>
    <w:p w14:paraId="12F75FE3" w14:textId="77777777" w:rsidR="00D975A5" w:rsidRPr="00D975A5" w:rsidRDefault="00D975A5" w:rsidP="00D975A5">
      <w:pPr>
        <w:numPr>
          <w:ilvl w:val="0"/>
          <w:numId w:val="39"/>
        </w:numPr>
        <w:spacing w:before="60" w:after="60"/>
        <w:jc w:val="both"/>
        <w:rPr>
          <w:rFonts w:cs="Arial"/>
          <w:szCs w:val="22"/>
        </w:rPr>
      </w:pPr>
      <w:r w:rsidRPr="00D975A5">
        <w:rPr>
          <w:rFonts w:cs="Arial"/>
          <w:szCs w:val="22"/>
        </w:rPr>
        <w:t>Accompany adult and child victims to court, police interviews, medical appointments and support services.</w:t>
      </w:r>
    </w:p>
    <w:p w14:paraId="372642BC" w14:textId="77777777" w:rsidR="00D975A5" w:rsidRPr="00D975A5" w:rsidRDefault="00D975A5" w:rsidP="00D975A5">
      <w:pPr>
        <w:numPr>
          <w:ilvl w:val="0"/>
          <w:numId w:val="39"/>
        </w:numPr>
        <w:spacing w:before="60" w:after="60"/>
        <w:jc w:val="both"/>
        <w:rPr>
          <w:rFonts w:cs="Arial"/>
          <w:szCs w:val="22"/>
        </w:rPr>
      </w:pPr>
      <w:r w:rsidRPr="00D975A5">
        <w:rPr>
          <w:rFonts w:cs="Arial"/>
          <w:szCs w:val="22"/>
        </w:rPr>
        <w:t>Assist in the preparation of age appropriate policy and advertising material required for the Court Support and Liaison Services.</w:t>
      </w:r>
    </w:p>
    <w:p w14:paraId="51DAF3C6" w14:textId="77777777" w:rsidR="00D975A5" w:rsidRPr="00D975A5" w:rsidRDefault="00D975A5" w:rsidP="00D975A5">
      <w:pPr>
        <w:numPr>
          <w:ilvl w:val="0"/>
          <w:numId w:val="39"/>
        </w:numPr>
        <w:spacing w:before="60" w:after="60"/>
        <w:jc w:val="both"/>
        <w:rPr>
          <w:rFonts w:cs="Arial"/>
          <w:szCs w:val="22"/>
        </w:rPr>
      </w:pPr>
      <w:r w:rsidRPr="00D975A5">
        <w:rPr>
          <w:rFonts w:cs="Arial"/>
          <w:szCs w:val="22"/>
        </w:rPr>
        <w:t>Operate as a member of the Safe at Home interdepartmental project team.</w:t>
      </w:r>
    </w:p>
    <w:p w14:paraId="57C6C5B9" w14:textId="77777777" w:rsidR="00D975A5" w:rsidRPr="00D975A5" w:rsidRDefault="00D975A5" w:rsidP="00D975A5">
      <w:pPr>
        <w:numPr>
          <w:ilvl w:val="0"/>
          <w:numId w:val="39"/>
        </w:numPr>
        <w:spacing w:before="60" w:after="60"/>
        <w:jc w:val="both"/>
        <w:rPr>
          <w:rFonts w:cs="Arial"/>
          <w:szCs w:val="22"/>
        </w:rPr>
      </w:pPr>
      <w:r w:rsidRPr="00D975A5">
        <w:rPr>
          <w:rFonts w:cs="Arial"/>
          <w:szCs w:val="22"/>
        </w:rPr>
        <w:t>Provide relevant client information to associated programs and referral to appropriate support services.</w:t>
      </w:r>
    </w:p>
    <w:p w14:paraId="7F9C3F64" w14:textId="77777777" w:rsidR="00D975A5" w:rsidRPr="00D975A5" w:rsidRDefault="00D975A5" w:rsidP="00D975A5">
      <w:pPr>
        <w:numPr>
          <w:ilvl w:val="0"/>
          <w:numId w:val="39"/>
        </w:numPr>
        <w:spacing w:before="60" w:after="60"/>
        <w:jc w:val="both"/>
        <w:rPr>
          <w:rFonts w:cs="Arial"/>
          <w:szCs w:val="22"/>
        </w:rPr>
      </w:pPr>
      <w:r w:rsidRPr="00D975A5">
        <w:rPr>
          <w:rFonts w:cs="Arial"/>
          <w:szCs w:val="22"/>
        </w:rPr>
        <w:t>Liaise with Divisional Managers and community based organisations.</w:t>
      </w:r>
    </w:p>
    <w:p w14:paraId="2838E2D4" w14:textId="77777777" w:rsidR="00D975A5" w:rsidRPr="00D975A5" w:rsidRDefault="00D975A5" w:rsidP="00D975A5">
      <w:pPr>
        <w:numPr>
          <w:ilvl w:val="0"/>
          <w:numId w:val="39"/>
        </w:numPr>
        <w:spacing w:before="60" w:after="60"/>
        <w:jc w:val="both"/>
        <w:rPr>
          <w:rFonts w:cs="Arial"/>
          <w:szCs w:val="22"/>
        </w:rPr>
      </w:pPr>
      <w:r w:rsidRPr="00D975A5">
        <w:rPr>
          <w:rFonts w:cs="Arial"/>
          <w:szCs w:val="22"/>
        </w:rPr>
        <w:t>Provide high level administrative support to the Victims Assistance Unit.</w:t>
      </w:r>
    </w:p>
    <w:p w14:paraId="13ED7978" w14:textId="77777777" w:rsidR="00E83CD7" w:rsidRPr="0027445A" w:rsidRDefault="00E83CD7" w:rsidP="00134FDE">
      <w:pPr>
        <w:pStyle w:val="Heading3"/>
        <w:spacing w:before="240"/>
      </w:pPr>
      <w:r w:rsidRPr="0027445A">
        <w:t>Level of responsibility</w:t>
      </w:r>
    </w:p>
    <w:p w14:paraId="5B3D9128" w14:textId="77777777" w:rsidR="00D975A5" w:rsidRPr="009E7EB8" w:rsidRDefault="00D975A5" w:rsidP="00D975A5">
      <w:pPr>
        <w:pStyle w:val="ListBullet"/>
      </w:pPr>
      <w:r w:rsidRPr="00453C84">
        <w:t xml:space="preserve">Responsible for day-to-day decision making and providing advice and recommendations to the Team Leader on complex matters. </w:t>
      </w:r>
    </w:p>
    <w:p w14:paraId="4239EFAC" w14:textId="77777777" w:rsidR="003F0C85" w:rsidRPr="00AD02BB" w:rsidRDefault="003F0C85" w:rsidP="00AD02BB">
      <w:pPr>
        <w:numPr>
          <w:ilvl w:val="0"/>
          <w:numId w:val="27"/>
        </w:numPr>
      </w:pPr>
      <w:r w:rsidRPr="00AD02BB">
        <w:t>Conduct your work in a safe manner such that it does not put yourself or others at risk.</w:t>
      </w:r>
    </w:p>
    <w:p w14:paraId="43AC83CF" w14:textId="77777777" w:rsidR="003F0C85" w:rsidRPr="00AD02BB" w:rsidRDefault="003F0C85" w:rsidP="00AD02BB">
      <w:pPr>
        <w:numPr>
          <w:ilvl w:val="0"/>
          <w:numId w:val="27"/>
        </w:numPr>
      </w:pPr>
      <w:r w:rsidRPr="00AD02BB">
        <w:t>Comply with any reasonable instruction contained in WHS policies, procedures and instructions and report hazards, near misses and incidents to your supervisors.</w:t>
      </w:r>
    </w:p>
    <w:p w14:paraId="4C496C5F" w14:textId="77777777" w:rsidR="003F0C85" w:rsidRDefault="003F0C85" w:rsidP="00AD02BB">
      <w:pPr>
        <w:numPr>
          <w:ilvl w:val="0"/>
          <w:numId w:val="27"/>
        </w:numPr>
      </w:pPr>
      <w:r>
        <w:t xml:space="preserve">You are responsible for upholding the values of Integrity, Respect, Accountability and actively contributing to make our workplaces Inclusive and Collaborative. </w:t>
      </w:r>
    </w:p>
    <w:p w14:paraId="29A240D5" w14:textId="77777777" w:rsidR="00E83CD7" w:rsidRDefault="00E83CD7" w:rsidP="00134FDE">
      <w:pPr>
        <w:pStyle w:val="Heading3"/>
        <w:spacing w:before="240"/>
      </w:pPr>
      <w:r w:rsidRPr="00B0084B">
        <w:lastRenderedPageBreak/>
        <w:t>Direction and supervision received</w:t>
      </w:r>
    </w:p>
    <w:p w14:paraId="6615C406" w14:textId="77777777" w:rsidR="00D975A5" w:rsidRPr="00D975A5" w:rsidRDefault="00D975A5" w:rsidP="00D975A5">
      <w:pPr>
        <w:numPr>
          <w:ilvl w:val="0"/>
          <w:numId w:val="40"/>
        </w:numPr>
        <w:spacing w:after="0"/>
        <w:rPr>
          <w:rFonts w:cs="Arial"/>
          <w:szCs w:val="22"/>
        </w:rPr>
      </w:pPr>
      <w:r w:rsidRPr="00D975A5">
        <w:rPr>
          <w:rFonts w:cs="Arial"/>
          <w:szCs w:val="22"/>
        </w:rPr>
        <w:t xml:space="preserve">General supervision provided by the Team Leader, Court Support and Liaison Services. </w:t>
      </w:r>
    </w:p>
    <w:p w14:paraId="3951DD55" w14:textId="77777777" w:rsidR="00E83CD7" w:rsidRPr="0027445A" w:rsidRDefault="00E83CD7" w:rsidP="00134FDE">
      <w:pPr>
        <w:pStyle w:val="Heading3"/>
        <w:spacing w:before="240"/>
      </w:pPr>
      <w:r w:rsidRPr="0027445A">
        <w:t>Selection criteria</w:t>
      </w:r>
    </w:p>
    <w:p w14:paraId="3C3AADEE" w14:textId="77777777" w:rsidR="00D975A5" w:rsidRPr="00D975A5" w:rsidRDefault="00D975A5" w:rsidP="00D975A5">
      <w:pPr>
        <w:numPr>
          <w:ilvl w:val="0"/>
          <w:numId w:val="28"/>
        </w:numPr>
        <w:spacing w:after="0"/>
        <w:jc w:val="both"/>
        <w:rPr>
          <w:rFonts w:cs="Arial"/>
          <w:szCs w:val="22"/>
        </w:rPr>
      </w:pPr>
      <w:r w:rsidRPr="00D975A5">
        <w:rPr>
          <w:rFonts w:cs="Arial"/>
          <w:szCs w:val="22"/>
        </w:rPr>
        <w:t xml:space="preserve">Sound knowledge of issues affecting adults and children related to family violence and an understanding of and a commitment to the principles of the </w:t>
      </w:r>
      <w:r w:rsidRPr="00D975A5">
        <w:rPr>
          <w:rFonts w:cs="Arial"/>
          <w:i/>
          <w:szCs w:val="22"/>
        </w:rPr>
        <w:t>Safe at Home</w:t>
      </w:r>
      <w:r w:rsidRPr="00D975A5">
        <w:rPr>
          <w:rFonts w:cs="Arial"/>
          <w:szCs w:val="22"/>
        </w:rPr>
        <w:t xml:space="preserve"> project.</w:t>
      </w:r>
    </w:p>
    <w:p w14:paraId="322F4F97" w14:textId="77777777" w:rsidR="00D975A5" w:rsidRPr="00D975A5" w:rsidRDefault="00D975A5" w:rsidP="00D975A5">
      <w:pPr>
        <w:numPr>
          <w:ilvl w:val="0"/>
          <w:numId w:val="28"/>
        </w:numPr>
        <w:spacing w:after="0"/>
        <w:jc w:val="both"/>
        <w:rPr>
          <w:rFonts w:cs="Arial"/>
          <w:szCs w:val="22"/>
        </w:rPr>
      </w:pPr>
      <w:r w:rsidRPr="00D975A5">
        <w:rPr>
          <w:rFonts w:cs="Arial"/>
          <w:szCs w:val="22"/>
        </w:rPr>
        <w:t>High level communication, negotiation and conflict resolution skills, including the ability to communicate sensitively and effectively with adult and child victims of crime, as well as an ability to liaise with government and non-government staff in relation to planning and service delivery issues.</w:t>
      </w:r>
    </w:p>
    <w:p w14:paraId="5C0D1C4F" w14:textId="02A87BA4" w:rsidR="00D975A5" w:rsidRPr="00D975A5" w:rsidRDefault="00D975A5" w:rsidP="00D975A5">
      <w:pPr>
        <w:numPr>
          <w:ilvl w:val="0"/>
          <w:numId w:val="28"/>
        </w:numPr>
        <w:spacing w:after="0"/>
        <w:jc w:val="both"/>
        <w:rPr>
          <w:rFonts w:cs="Arial"/>
          <w:szCs w:val="22"/>
        </w:rPr>
      </w:pPr>
      <w:r w:rsidRPr="00D975A5">
        <w:rPr>
          <w:rFonts w:cs="Arial"/>
          <w:szCs w:val="22"/>
        </w:rPr>
        <w:t>Well-developed case management skills including the capacity to assess and respond appropriately to adult and children’s needs and to undertake the challenges of working on a face-to-face basis with ad</w:t>
      </w:r>
      <w:r>
        <w:rPr>
          <w:rFonts w:cs="Arial"/>
          <w:szCs w:val="22"/>
        </w:rPr>
        <w:t>ult and child  victims of crime.</w:t>
      </w:r>
    </w:p>
    <w:p w14:paraId="7E03F556" w14:textId="77777777" w:rsidR="00D975A5" w:rsidRPr="00D975A5" w:rsidRDefault="00D975A5" w:rsidP="00D975A5">
      <w:pPr>
        <w:numPr>
          <w:ilvl w:val="0"/>
          <w:numId w:val="28"/>
        </w:numPr>
        <w:spacing w:after="0"/>
        <w:jc w:val="both"/>
        <w:rPr>
          <w:rFonts w:cs="Arial"/>
          <w:szCs w:val="22"/>
        </w:rPr>
      </w:pPr>
      <w:r w:rsidRPr="00D975A5">
        <w:rPr>
          <w:rFonts w:cs="Arial"/>
          <w:szCs w:val="22"/>
        </w:rPr>
        <w:t>Proven strategic, conceptual, analytical and creative skills and an ability to understand the political, social and organisational environment in which the Agency operates.</w:t>
      </w:r>
    </w:p>
    <w:p w14:paraId="78E7E0FF" w14:textId="77777777" w:rsidR="00D975A5" w:rsidRPr="00D975A5" w:rsidRDefault="00D975A5" w:rsidP="00D975A5">
      <w:pPr>
        <w:numPr>
          <w:ilvl w:val="0"/>
          <w:numId w:val="28"/>
        </w:numPr>
        <w:spacing w:after="0"/>
        <w:jc w:val="both"/>
        <w:rPr>
          <w:rFonts w:cs="Arial"/>
          <w:szCs w:val="22"/>
        </w:rPr>
      </w:pPr>
      <w:r w:rsidRPr="00D975A5">
        <w:rPr>
          <w:rFonts w:cs="Arial"/>
          <w:szCs w:val="22"/>
        </w:rPr>
        <w:t>Well-developed ability, both individually and as a member of a team to plan, organise, and work effectively in an environment subject to work pressure and changing priorities.</w:t>
      </w:r>
    </w:p>
    <w:p w14:paraId="72AF811B" w14:textId="77777777" w:rsidR="00D975A5" w:rsidRPr="00D975A5" w:rsidRDefault="00D975A5" w:rsidP="00D975A5">
      <w:pPr>
        <w:numPr>
          <w:ilvl w:val="0"/>
          <w:numId w:val="28"/>
        </w:numPr>
        <w:spacing w:after="0"/>
        <w:jc w:val="both"/>
        <w:rPr>
          <w:rFonts w:cs="Arial"/>
          <w:szCs w:val="22"/>
        </w:rPr>
      </w:pPr>
      <w:r w:rsidRPr="00D975A5">
        <w:rPr>
          <w:rFonts w:cs="Arial"/>
          <w:szCs w:val="22"/>
        </w:rPr>
        <w:t xml:space="preserve">Knowledge of the justice system including police investigations, court operations, offender management and rehabilitation, and the application of restorative justice principles, or ability to quickly acquire such knowledge. </w:t>
      </w:r>
    </w:p>
    <w:p w14:paraId="2282181A" w14:textId="77777777" w:rsidR="00E83CD7" w:rsidRDefault="00E83CD7" w:rsidP="00134FDE">
      <w:pPr>
        <w:pStyle w:val="Heading3"/>
        <w:spacing w:before="240"/>
      </w:pPr>
      <w:r w:rsidRPr="0027445A">
        <w:t>Essentia</w:t>
      </w:r>
      <w:r>
        <w:t>l requirements</w:t>
      </w:r>
      <w:r w:rsidR="000906F1">
        <w:t xml:space="preserve"> </w:t>
      </w:r>
    </w:p>
    <w:p w14:paraId="7B954F8D" w14:textId="0BDECFC4" w:rsidR="00785528" w:rsidRPr="00D975A5" w:rsidRDefault="00D975A5" w:rsidP="00D975A5">
      <w:pPr>
        <w:pStyle w:val="ListBullet"/>
      </w:pPr>
      <w:r w:rsidRPr="009E7EB8">
        <w:t>Current Driver’s License</w:t>
      </w:r>
      <w:r>
        <w:t>.</w:t>
      </w:r>
    </w:p>
    <w:p w14:paraId="12CD81CC" w14:textId="2C21EA6A" w:rsidR="00785528" w:rsidRPr="007428EC" w:rsidRDefault="00785528" w:rsidP="00785528">
      <w:pPr>
        <w:pStyle w:val="ListBullet"/>
      </w:pPr>
      <w:r w:rsidRPr="007428EC">
        <w:t>A person is to provide evidence that they are vaccinated against COVID-19 or have an approved exemption</w:t>
      </w:r>
      <w:r w:rsidR="00467494">
        <w:t xml:space="preserve"> (details below)</w:t>
      </w:r>
      <w:r w:rsidRPr="007428EC">
        <w:t xml:space="preserve">. </w:t>
      </w:r>
    </w:p>
    <w:p w14:paraId="2E286ADE" w14:textId="77777777" w:rsidR="007428EC" w:rsidRPr="007428EC" w:rsidRDefault="007428EC" w:rsidP="00134FDE">
      <w:pPr>
        <w:spacing w:before="120"/>
        <w:ind w:left="709"/>
      </w:pPr>
      <w:r w:rsidRPr="007428EC">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5EEC773F" w14:textId="1C4CAAA0" w:rsidR="007428EC" w:rsidRPr="007428EC" w:rsidRDefault="007428EC" w:rsidP="00134FDE">
      <w:pPr>
        <w:spacing w:before="120"/>
        <w:ind w:left="709"/>
      </w:pPr>
      <w:r w:rsidRPr="007428EC">
        <w:t xml:space="preserve">A person may be granted an exemption from providing evidence that they are vaccinated against the disease where the person demonstrates –    </w:t>
      </w:r>
    </w:p>
    <w:p w14:paraId="7A57EF5A" w14:textId="3A14EB19" w:rsidR="007428EC" w:rsidRDefault="007428EC" w:rsidP="00134FDE">
      <w:pPr>
        <w:pStyle w:val="ListParagraph"/>
        <w:numPr>
          <w:ilvl w:val="0"/>
          <w:numId w:val="37"/>
        </w:numPr>
        <w:shd w:val="clear" w:color="auto" w:fill="FFFFFF"/>
        <w:autoSpaceDE w:val="0"/>
        <w:autoSpaceDN w:val="0"/>
        <w:spacing w:before="240" w:after="0"/>
        <w:ind w:left="992" w:hanging="357"/>
        <w:contextualSpacing/>
        <w:rPr>
          <w:rStyle w:val="normaltextrun"/>
          <w:rFonts w:cs="Calibri"/>
          <w:b/>
          <w:bCs/>
        </w:rPr>
      </w:pPr>
      <w:r w:rsidRPr="007428EC">
        <w:rPr>
          <w:rStyle w:val="normaltextrun"/>
          <w:rFonts w:cs="Calibri"/>
          <w:b/>
          <w:bCs/>
        </w:rPr>
        <w:t>Medical contraindication</w:t>
      </w:r>
    </w:p>
    <w:p w14:paraId="1A863AFF" w14:textId="26D373DF" w:rsidR="007428EC" w:rsidRDefault="007428EC" w:rsidP="00134FDE">
      <w:pPr>
        <w:shd w:val="clear" w:color="auto" w:fill="FFFFFF"/>
        <w:spacing w:before="120" w:after="0"/>
        <w:ind w:left="709"/>
        <w:rPr>
          <w:rFonts w:cs="Calibri"/>
          <w:color w:val="000000"/>
        </w:rPr>
      </w:pPr>
      <w:r w:rsidRPr="007428EC">
        <w:rPr>
          <w:rFonts w:cs="Calibri"/>
          <w:color w:val="000000"/>
        </w:rPr>
        <w:t xml:space="preserve">A person is unable to be vaccinated against the disease due to a medical contraindication if they: </w:t>
      </w:r>
    </w:p>
    <w:p w14:paraId="2A92004F" w14:textId="6811CAB1" w:rsidR="007428EC" w:rsidRPr="007428EC" w:rsidRDefault="007428EC" w:rsidP="00134FDE">
      <w:pPr>
        <w:pStyle w:val="ListParagraph"/>
        <w:numPr>
          <w:ilvl w:val="0"/>
          <w:numId w:val="38"/>
        </w:numPr>
        <w:shd w:val="clear" w:color="auto" w:fill="FFFFFF"/>
        <w:autoSpaceDE w:val="0"/>
        <w:autoSpaceDN w:val="0"/>
        <w:spacing w:before="120" w:after="0"/>
        <w:ind w:left="1134" w:hanging="357"/>
        <w:contextualSpacing/>
        <w:rPr>
          <w:rFonts w:cs="Calibri"/>
          <w:color w:val="000000"/>
        </w:rPr>
      </w:pPr>
      <w:r w:rsidRPr="007428EC">
        <w:rPr>
          <w:rFonts w:cs="Calibri"/>
          <w:color w:val="000000"/>
        </w:rPr>
        <w:t xml:space="preserve">provide evidence in a form provided and accepted by the Head of Agency from a medical practitioner (as defined by the Australian Immunisation Register as a medical practitioner </w:t>
      </w:r>
      <w:hyperlink r:id="rId7" w:history="1">
        <w:r w:rsidRPr="007428EC">
          <w:rPr>
            <w:rStyle w:val="Hyperlink"/>
            <w:rFonts w:cs="Calibri"/>
            <w:color w:val="000000"/>
          </w:rPr>
          <w:t>who can grant a medical exemption</w:t>
        </w:r>
      </w:hyperlink>
      <w:r w:rsidRPr="007428EC">
        <w:rPr>
          <w:rFonts w:cs="Calibri"/>
          <w:color w:val="000000"/>
        </w:rPr>
        <w:t xml:space="preserve">) which certifies that the person has a medical contraindication that prevents them from being vaccinated against the disease.  </w:t>
      </w:r>
    </w:p>
    <w:p w14:paraId="3E22AEF7" w14:textId="6811CAB1" w:rsidR="007428EC" w:rsidRPr="007428EC" w:rsidRDefault="007428EC" w:rsidP="00467494">
      <w:pPr>
        <w:shd w:val="clear" w:color="auto" w:fill="FFFFFF"/>
        <w:spacing w:after="0"/>
        <w:ind w:firstLine="720"/>
        <w:rPr>
          <w:rFonts w:cs="Calibri"/>
          <w:color w:val="000000"/>
        </w:rPr>
      </w:pPr>
      <w:r w:rsidRPr="007428EC">
        <w:rPr>
          <w:rFonts w:cs="Calibri"/>
          <w:color w:val="000000"/>
        </w:rPr>
        <w:t>Or</w:t>
      </w:r>
    </w:p>
    <w:p w14:paraId="0F07C45E" w14:textId="0BE473B5" w:rsidR="007428EC" w:rsidRDefault="007428EC" w:rsidP="00134FDE">
      <w:pPr>
        <w:pStyle w:val="ListParagraph"/>
        <w:numPr>
          <w:ilvl w:val="0"/>
          <w:numId w:val="38"/>
        </w:numPr>
        <w:shd w:val="clear" w:color="auto" w:fill="FFFFFF"/>
        <w:autoSpaceDE w:val="0"/>
        <w:autoSpaceDN w:val="0"/>
        <w:spacing w:before="120" w:after="0"/>
        <w:ind w:left="1134" w:hanging="357"/>
        <w:contextualSpacing/>
        <w:rPr>
          <w:rFonts w:cs="Calibri"/>
          <w:color w:val="000000"/>
        </w:rPr>
      </w:pPr>
      <w:r w:rsidRPr="007428EC">
        <w:rPr>
          <w:rFonts w:cs="Calibri"/>
          <w:color w:val="000000"/>
        </w:rPr>
        <w:lastRenderedPageBreak/>
        <w:t>have a medical exemption, that applies to the vaccinations for the disease, that has  been recorded on the Australian Immunisation Register, operated by or on behalf of the Commonwealth Government.</w:t>
      </w:r>
    </w:p>
    <w:p w14:paraId="5637A013" w14:textId="77777777" w:rsidR="007428EC" w:rsidRPr="007428EC" w:rsidRDefault="007428EC" w:rsidP="007428EC">
      <w:pPr>
        <w:shd w:val="clear" w:color="auto" w:fill="FFFFFF"/>
        <w:autoSpaceDE w:val="0"/>
        <w:autoSpaceDN w:val="0"/>
        <w:spacing w:after="0"/>
        <w:contextualSpacing/>
        <w:rPr>
          <w:rFonts w:cs="Calibri"/>
          <w:color w:val="000000"/>
        </w:rPr>
      </w:pPr>
    </w:p>
    <w:p w14:paraId="46C42AB9" w14:textId="43E0985F" w:rsidR="007428EC" w:rsidRPr="007428EC" w:rsidRDefault="007428EC" w:rsidP="00134FDE">
      <w:pPr>
        <w:pStyle w:val="ListParagraph"/>
        <w:numPr>
          <w:ilvl w:val="0"/>
          <w:numId w:val="37"/>
        </w:numPr>
        <w:shd w:val="clear" w:color="auto" w:fill="FFFFFF"/>
        <w:autoSpaceDE w:val="0"/>
        <w:autoSpaceDN w:val="0"/>
        <w:spacing w:after="0"/>
        <w:ind w:left="993"/>
        <w:contextualSpacing/>
        <w:rPr>
          <w:rStyle w:val="normaltextrun"/>
          <w:rFonts w:cs="Calibri"/>
          <w:color w:val="000000"/>
        </w:rPr>
      </w:pPr>
      <w:r w:rsidRPr="007428EC">
        <w:rPr>
          <w:rStyle w:val="normaltextrun"/>
          <w:rFonts w:cs="Calibri"/>
          <w:b/>
          <w:bCs/>
        </w:rPr>
        <w:t>Exceptional circumstances</w:t>
      </w:r>
    </w:p>
    <w:p w14:paraId="5B41EA09" w14:textId="77777777" w:rsidR="007428EC" w:rsidRPr="007428EC" w:rsidRDefault="007428EC" w:rsidP="00134FDE">
      <w:pPr>
        <w:shd w:val="clear" w:color="auto" w:fill="FFFFFF"/>
        <w:autoSpaceDE w:val="0"/>
        <w:autoSpaceDN w:val="0"/>
        <w:spacing w:before="120" w:after="0"/>
        <w:ind w:left="992"/>
        <w:contextualSpacing/>
        <w:rPr>
          <w:rStyle w:val="normaltextrun"/>
          <w:rFonts w:cs="Calibri"/>
          <w:color w:val="000000"/>
        </w:rPr>
      </w:pPr>
      <w:r w:rsidRPr="007428EC">
        <w:rPr>
          <w:rStyle w:val="normaltextrun"/>
          <w:rFonts w:cs="Calibri"/>
        </w:rPr>
        <w:t xml:space="preserve">Demonstrated to the satisfaction of the Head of Agency. </w:t>
      </w:r>
    </w:p>
    <w:p w14:paraId="780DC111" w14:textId="77777777" w:rsidR="00E83CD7" w:rsidRDefault="00E83CD7" w:rsidP="00134FDE">
      <w:pPr>
        <w:pStyle w:val="Heading3"/>
        <w:spacing w:before="240"/>
      </w:pPr>
      <w:r w:rsidRPr="0027445A">
        <w:t>Desirable</w:t>
      </w:r>
      <w:r>
        <w:t xml:space="preserve"> requirements</w:t>
      </w:r>
      <w:r w:rsidR="000906F1">
        <w:t xml:space="preserve"> </w:t>
      </w:r>
    </w:p>
    <w:p w14:paraId="5155AA25" w14:textId="1A32436C" w:rsidR="00D975A5" w:rsidRDefault="00D975A5" w:rsidP="00D975A5">
      <w:pPr>
        <w:pStyle w:val="ListBullet"/>
      </w:pPr>
      <w:r>
        <w:t>Qualifications in counselling and/or trauma counselling or similar discipline.</w:t>
      </w:r>
    </w:p>
    <w:p w14:paraId="29093205" w14:textId="1F4510A7" w:rsidR="00E83CD7" w:rsidRPr="000906F1" w:rsidRDefault="00D975A5" w:rsidP="00134FDE">
      <w:pPr>
        <w:pStyle w:val="Heading3"/>
        <w:spacing w:before="240"/>
      </w:pPr>
      <w:r>
        <w:t>Pre-employment Checks</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134FDE">
      <w:pPr>
        <w:pStyle w:val="ListNumber"/>
        <w:numPr>
          <w:ilvl w:val="0"/>
          <w:numId w:val="12"/>
        </w:numPr>
        <w:tabs>
          <w:tab w:val="clear" w:pos="360"/>
          <w:tab w:val="num" w:pos="284"/>
        </w:tabs>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134FDE">
      <w:pPr>
        <w:pStyle w:val="ListNumber"/>
        <w:tabs>
          <w:tab w:val="clear" w:pos="360"/>
        </w:tabs>
        <w:ind w:left="284" w:hanging="284"/>
      </w:pPr>
      <w:r w:rsidRPr="00A479BA">
        <w:t>Disciplinary action in previous employment.</w:t>
      </w:r>
    </w:p>
    <w:p w14:paraId="0362195C" w14:textId="77777777" w:rsidR="00E83CD7" w:rsidRPr="00A479BA" w:rsidRDefault="00E83CD7" w:rsidP="00134FDE">
      <w:pPr>
        <w:pStyle w:val="ListNumber"/>
        <w:tabs>
          <w:tab w:val="clear" w:pos="360"/>
        </w:tabs>
        <w:ind w:left="284" w:hanging="284"/>
      </w:pPr>
      <w:r w:rsidRPr="00A479BA">
        <w:t>Identification check.</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lastRenderedPageBreak/>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D975A5" w:rsidRPr="00005DBB" w14:paraId="4BE22557" w14:textId="77777777" w:rsidTr="00D975A5">
        <w:trPr>
          <w:tblHeader/>
        </w:trPr>
        <w:tc>
          <w:tcPr>
            <w:tcW w:w="3319" w:type="dxa"/>
            <w:shd w:val="clear" w:color="auto" w:fill="EEECE1"/>
            <w:vAlign w:val="center"/>
          </w:tcPr>
          <w:p w14:paraId="722C9963" w14:textId="77777777" w:rsidR="00D975A5" w:rsidRPr="00B9618A" w:rsidRDefault="00D975A5" w:rsidP="00D975A5">
            <w:pPr>
              <w:pStyle w:val="Heading3table"/>
            </w:pPr>
            <w:r w:rsidRPr="00B9618A">
              <w:t>Title</w:t>
            </w:r>
          </w:p>
        </w:tc>
        <w:tc>
          <w:tcPr>
            <w:tcW w:w="6085" w:type="dxa"/>
            <w:shd w:val="clear" w:color="auto" w:fill="EEECE1"/>
            <w:vAlign w:val="center"/>
          </w:tcPr>
          <w:p w14:paraId="78196D05" w14:textId="2AF2D9CD" w:rsidR="00D975A5" w:rsidRPr="00005DBB" w:rsidRDefault="00D975A5" w:rsidP="00D975A5">
            <w:pPr>
              <w:pStyle w:val="Normaltable"/>
            </w:pPr>
            <w:r>
              <w:t xml:space="preserve">Court Support Officer </w:t>
            </w:r>
          </w:p>
        </w:tc>
      </w:tr>
      <w:tr w:rsidR="00D975A5" w:rsidRPr="00005DBB" w14:paraId="457B1CCE" w14:textId="77777777" w:rsidTr="00D975A5">
        <w:trPr>
          <w:tblHeader/>
        </w:trPr>
        <w:tc>
          <w:tcPr>
            <w:tcW w:w="3319" w:type="dxa"/>
            <w:shd w:val="clear" w:color="auto" w:fill="EEECE1"/>
            <w:vAlign w:val="center"/>
          </w:tcPr>
          <w:p w14:paraId="3DBF5844" w14:textId="77777777" w:rsidR="00D975A5" w:rsidRPr="00B9618A" w:rsidRDefault="00D975A5" w:rsidP="00D975A5">
            <w:pPr>
              <w:pStyle w:val="Heading3table"/>
            </w:pPr>
            <w:r w:rsidRPr="00B9618A">
              <w:t>Number</w:t>
            </w:r>
          </w:p>
        </w:tc>
        <w:tc>
          <w:tcPr>
            <w:tcW w:w="6085" w:type="dxa"/>
            <w:shd w:val="clear" w:color="auto" w:fill="EEECE1"/>
            <w:vAlign w:val="center"/>
          </w:tcPr>
          <w:p w14:paraId="5F045AAA" w14:textId="69324BD7" w:rsidR="00D975A5" w:rsidRPr="00005DBB" w:rsidRDefault="000624DB" w:rsidP="00D975A5">
            <w:pPr>
              <w:pStyle w:val="Normaltable"/>
            </w:pPr>
            <w:r>
              <w:t>357267</w:t>
            </w:r>
          </w:p>
        </w:tc>
      </w:tr>
      <w:tr w:rsidR="00D975A5" w:rsidRPr="00005DBB" w14:paraId="4D5C2EC6" w14:textId="77777777" w:rsidTr="00D975A5">
        <w:trPr>
          <w:tblHeader/>
        </w:trPr>
        <w:tc>
          <w:tcPr>
            <w:tcW w:w="3319" w:type="dxa"/>
            <w:shd w:val="clear" w:color="auto" w:fill="EEECE1"/>
            <w:vAlign w:val="center"/>
          </w:tcPr>
          <w:p w14:paraId="1F0CEC2C" w14:textId="77777777" w:rsidR="00D975A5" w:rsidRPr="00B9618A" w:rsidRDefault="00D975A5" w:rsidP="00D975A5">
            <w:pPr>
              <w:pStyle w:val="Heading3table"/>
            </w:pPr>
            <w:r w:rsidRPr="00B9618A">
              <w:t>Award</w:t>
            </w:r>
          </w:p>
        </w:tc>
        <w:tc>
          <w:tcPr>
            <w:tcW w:w="6085" w:type="dxa"/>
            <w:shd w:val="clear" w:color="auto" w:fill="EEECE1"/>
            <w:vAlign w:val="center"/>
          </w:tcPr>
          <w:p w14:paraId="20E53440" w14:textId="5A77855F" w:rsidR="00D975A5" w:rsidRPr="00005DBB" w:rsidRDefault="00D975A5" w:rsidP="00D975A5">
            <w:pPr>
              <w:pStyle w:val="Normaltable"/>
            </w:pPr>
            <w:r>
              <w:t>Tasmanian State Service Award</w:t>
            </w:r>
          </w:p>
        </w:tc>
      </w:tr>
      <w:tr w:rsidR="00D975A5" w:rsidRPr="00005DBB" w14:paraId="36C2D7CF" w14:textId="77777777" w:rsidTr="00D975A5">
        <w:trPr>
          <w:tblHeader/>
        </w:trPr>
        <w:tc>
          <w:tcPr>
            <w:tcW w:w="3319" w:type="dxa"/>
            <w:shd w:val="clear" w:color="auto" w:fill="EEECE1"/>
            <w:vAlign w:val="center"/>
          </w:tcPr>
          <w:p w14:paraId="647B2F41" w14:textId="77777777" w:rsidR="00D975A5" w:rsidRPr="00B9618A" w:rsidRDefault="00D975A5" w:rsidP="00D975A5">
            <w:pPr>
              <w:pStyle w:val="Heading3table"/>
            </w:pPr>
            <w:r w:rsidRPr="00B9618A">
              <w:t>Classification</w:t>
            </w:r>
          </w:p>
        </w:tc>
        <w:tc>
          <w:tcPr>
            <w:tcW w:w="6085" w:type="dxa"/>
            <w:shd w:val="clear" w:color="auto" w:fill="EEECE1"/>
            <w:vAlign w:val="center"/>
          </w:tcPr>
          <w:p w14:paraId="185DE9D5" w14:textId="36448087" w:rsidR="00D975A5" w:rsidRPr="00005DBB" w:rsidRDefault="00D975A5" w:rsidP="00D975A5">
            <w:pPr>
              <w:pStyle w:val="Normaltable"/>
            </w:pPr>
            <w:r>
              <w:t>General Stream Band 4</w:t>
            </w:r>
          </w:p>
        </w:tc>
      </w:tr>
      <w:tr w:rsidR="00D975A5" w:rsidRPr="00005DBB" w14:paraId="4D875102" w14:textId="77777777" w:rsidTr="00D975A5">
        <w:trPr>
          <w:tblHeader/>
        </w:trPr>
        <w:tc>
          <w:tcPr>
            <w:tcW w:w="3319" w:type="dxa"/>
            <w:shd w:val="clear" w:color="auto" w:fill="EEECE1"/>
            <w:vAlign w:val="center"/>
          </w:tcPr>
          <w:p w14:paraId="6BDDFC95" w14:textId="77777777" w:rsidR="00D975A5" w:rsidRPr="00B9618A" w:rsidRDefault="00D975A5" w:rsidP="00D975A5">
            <w:pPr>
              <w:pStyle w:val="Heading3table"/>
            </w:pPr>
            <w:r>
              <w:t>Division</w:t>
            </w:r>
          </w:p>
        </w:tc>
        <w:tc>
          <w:tcPr>
            <w:tcW w:w="6085" w:type="dxa"/>
            <w:shd w:val="clear" w:color="auto" w:fill="EEECE1"/>
            <w:vAlign w:val="center"/>
          </w:tcPr>
          <w:p w14:paraId="6861312D" w14:textId="7D038DE9" w:rsidR="00D975A5" w:rsidRPr="00005DBB" w:rsidRDefault="00D975A5" w:rsidP="00D975A5">
            <w:pPr>
              <w:pStyle w:val="Normaltable"/>
            </w:pPr>
            <w:r>
              <w:t xml:space="preserve">Regulation and Service Delivery  </w:t>
            </w:r>
          </w:p>
        </w:tc>
      </w:tr>
      <w:tr w:rsidR="00D975A5" w:rsidRPr="00005DBB" w14:paraId="57DCAB15" w14:textId="77777777" w:rsidTr="00D975A5">
        <w:trPr>
          <w:tblHeader/>
        </w:trPr>
        <w:tc>
          <w:tcPr>
            <w:tcW w:w="3319" w:type="dxa"/>
            <w:shd w:val="clear" w:color="auto" w:fill="EEECE1"/>
            <w:vAlign w:val="center"/>
          </w:tcPr>
          <w:p w14:paraId="5B3B94B0" w14:textId="77777777" w:rsidR="00D975A5" w:rsidRPr="00B9618A" w:rsidRDefault="00D975A5" w:rsidP="00D975A5">
            <w:pPr>
              <w:pStyle w:val="Heading3table"/>
            </w:pPr>
            <w:r w:rsidRPr="00B9618A">
              <w:t>Full Time Equivalent</w:t>
            </w:r>
          </w:p>
        </w:tc>
        <w:tc>
          <w:tcPr>
            <w:tcW w:w="6085" w:type="dxa"/>
            <w:shd w:val="clear" w:color="auto" w:fill="EEECE1"/>
            <w:vAlign w:val="center"/>
          </w:tcPr>
          <w:p w14:paraId="20F09513" w14:textId="0C681FCE" w:rsidR="00D975A5" w:rsidRPr="00005DBB" w:rsidRDefault="00D975A5" w:rsidP="00D975A5">
            <w:pPr>
              <w:pStyle w:val="Normaltable"/>
            </w:pPr>
            <w:r>
              <w:t>1.0</w:t>
            </w:r>
          </w:p>
        </w:tc>
      </w:tr>
      <w:tr w:rsidR="00D975A5" w:rsidRPr="00005DBB" w14:paraId="6F6DF9D6" w14:textId="77777777" w:rsidTr="00D975A5">
        <w:trPr>
          <w:tblHeader/>
        </w:trPr>
        <w:tc>
          <w:tcPr>
            <w:tcW w:w="3319" w:type="dxa"/>
            <w:shd w:val="clear" w:color="auto" w:fill="EEECE1"/>
            <w:vAlign w:val="center"/>
          </w:tcPr>
          <w:p w14:paraId="479C1879" w14:textId="77777777" w:rsidR="00D975A5" w:rsidRPr="00B9618A" w:rsidRDefault="00D975A5" w:rsidP="00D975A5">
            <w:pPr>
              <w:pStyle w:val="Heading3table"/>
            </w:pPr>
            <w:r>
              <w:t>Output Group</w:t>
            </w:r>
          </w:p>
        </w:tc>
        <w:tc>
          <w:tcPr>
            <w:tcW w:w="6085" w:type="dxa"/>
            <w:shd w:val="clear" w:color="auto" w:fill="EEECE1"/>
            <w:vAlign w:val="center"/>
          </w:tcPr>
          <w:p w14:paraId="65A5A5F1" w14:textId="1198D491" w:rsidR="00D975A5" w:rsidRPr="00005DBB" w:rsidRDefault="00D975A5" w:rsidP="00D975A5">
            <w:pPr>
              <w:pStyle w:val="Normaltable"/>
            </w:pPr>
            <w:r>
              <w:t>Victims Support Service</w:t>
            </w:r>
          </w:p>
        </w:tc>
      </w:tr>
      <w:tr w:rsidR="00D975A5" w:rsidRPr="00005DBB" w14:paraId="5CDF6195" w14:textId="77777777" w:rsidTr="00D975A5">
        <w:trPr>
          <w:tblHeader/>
        </w:trPr>
        <w:tc>
          <w:tcPr>
            <w:tcW w:w="3319" w:type="dxa"/>
            <w:shd w:val="clear" w:color="auto" w:fill="EEECE1"/>
            <w:vAlign w:val="center"/>
          </w:tcPr>
          <w:p w14:paraId="691683B8" w14:textId="77777777" w:rsidR="00D975A5" w:rsidRPr="00B9618A" w:rsidRDefault="00D975A5" w:rsidP="00D975A5">
            <w:pPr>
              <w:pStyle w:val="Heading3table"/>
            </w:pPr>
            <w:r w:rsidRPr="00B9618A">
              <w:t>Branch</w:t>
            </w:r>
          </w:p>
        </w:tc>
        <w:tc>
          <w:tcPr>
            <w:tcW w:w="6085" w:type="dxa"/>
            <w:shd w:val="clear" w:color="auto" w:fill="EEECE1"/>
            <w:vAlign w:val="center"/>
          </w:tcPr>
          <w:p w14:paraId="77A83C64" w14:textId="2F1F7107" w:rsidR="00D975A5" w:rsidRPr="00005DBB" w:rsidRDefault="00D975A5" w:rsidP="00D975A5">
            <w:pPr>
              <w:pStyle w:val="Normaltable"/>
            </w:pPr>
            <w:r>
              <w:t>Safe at Home</w:t>
            </w:r>
          </w:p>
        </w:tc>
      </w:tr>
      <w:tr w:rsidR="00D975A5" w:rsidRPr="00005DBB" w14:paraId="339F5E12" w14:textId="77777777" w:rsidTr="00D975A5">
        <w:trPr>
          <w:tblHeader/>
        </w:trPr>
        <w:tc>
          <w:tcPr>
            <w:tcW w:w="3319" w:type="dxa"/>
            <w:shd w:val="clear" w:color="auto" w:fill="EEECE1"/>
            <w:vAlign w:val="center"/>
          </w:tcPr>
          <w:p w14:paraId="00AF759D" w14:textId="77777777" w:rsidR="00D975A5" w:rsidRPr="00B9618A" w:rsidRDefault="00D975A5" w:rsidP="00D975A5">
            <w:pPr>
              <w:pStyle w:val="Heading3table"/>
            </w:pPr>
            <w:r w:rsidRPr="00B9618A">
              <w:t>Supervisor</w:t>
            </w:r>
          </w:p>
        </w:tc>
        <w:tc>
          <w:tcPr>
            <w:tcW w:w="6085" w:type="dxa"/>
            <w:shd w:val="clear" w:color="auto" w:fill="EEECE1"/>
            <w:vAlign w:val="center"/>
          </w:tcPr>
          <w:p w14:paraId="0578EDC8" w14:textId="643FF5C7" w:rsidR="00D975A5" w:rsidRPr="00EE50F8" w:rsidRDefault="00D975A5" w:rsidP="00D975A5">
            <w:pPr>
              <w:pStyle w:val="Normaltable"/>
              <w:rPr>
                <w:rFonts w:cs="Arial"/>
              </w:rPr>
            </w:pPr>
            <w:r>
              <w:rPr>
                <w:rFonts w:cs="Arial"/>
              </w:rPr>
              <w:t xml:space="preserve">Team Leader, Court Support and Liaison Service </w:t>
            </w:r>
          </w:p>
        </w:tc>
      </w:tr>
      <w:tr w:rsidR="00D975A5" w:rsidRPr="00005DBB" w14:paraId="0FAE8296" w14:textId="77777777" w:rsidTr="00D975A5">
        <w:trPr>
          <w:tblHeader/>
        </w:trPr>
        <w:tc>
          <w:tcPr>
            <w:tcW w:w="3319" w:type="dxa"/>
            <w:shd w:val="clear" w:color="auto" w:fill="EEECE1"/>
            <w:vAlign w:val="center"/>
          </w:tcPr>
          <w:p w14:paraId="03E89AB4" w14:textId="77777777" w:rsidR="00D975A5" w:rsidRPr="00B9618A" w:rsidRDefault="00D975A5" w:rsidP="00D975A5">
            <w:pPr>
              <w:pStyle w:val="Heading3table"/>
            </w:pPr>
            <w:r w:rsidRPr="00B9618A">
              <w:t>Direct Reports</w:t>
            </w:r>
          </w:p>
        </w:tc>
        <w:tc>
          <w:tcPr>
            <w:tcW w:w="6085" w:type="dxa"/>
            <w:shd w:val="clear" w:color="auto" w:fill="EEECE1"/>
            <w:vAlign w:val="center"/>
          </w:tcPr>
          <w:p w14:paraId="32F1B2F3" w14:textId="04C4C424" w:rsidR="00D975A5" w:rsidRPr="00EE50F8" w:rsidRDefault="00D975A5" w:rsidP="00D975A5">
            <w:pPr>
              <w:pStyle w:val="Normaltable"/>
              <w:rPr>
                <w:rFonts w:cs="Arial"/>
              </w:rPr>
            </w:pPr>
            <w:r>
              <w:rPr>
                <w:rFonts w:cs="Arial"/>
              </w:rPr>
              <w:t>Nil</w:t>
            </w:r>
          </w:p>
        </w:tc>
      </w:tr>
      <w:tr w:rsidR="00D975A5" w:rsidRPr="00005DBB" w14:paraId="5F7BBE5E" w14:textId="77777777" w:rsidTr="00D975A5">
        <w:trPr>
          <w:tblHeader/>
        </w:trPr>
        <w:tc>
          <w:tcPr>
            <w:tcW w:w="3319" w:type="dxa"/>
            <w:shd w:val="clear" w:color="auto" w:fill="EEECE1"/>
            <w:vAlign w:val="center"/>
          </w:tcPr>
          <w:p w14:paraId="34D47F6C" w14:textId="77777777" w:rsidR="00D975A5" w:rsidRPr="00B9618A" w:rsidRDefault="00D975A5" w:rsidP="00D975A5">
            <w:pPr>
              <w:pStyle w:val="Heading3table"/>
            </w:pPr>
            <w:r w:rsidRPr="00B9618A">
              <w:t>Location</w:t>
            </w:r>
          </w:p>
        </w:tc>
        <w:tc>
          <w:tcPr>
            <w:tcW w:w="6085" w:type="dxa"/>
            <w:shd w:val="clear" w:color="auto" w:fill="EEECE1"/>
            <w:vAlign w:val="center"/>
          </w:tcPr>
          <w:p w14:paraId="0971AFC2" w14:textId="0994111A" w:rsidR="00D975A5" w:rsidRPr="00EE50F8" w:rsidRDefault="000624DB" w:rsidP="00D975A5">
            <w:pPr>
              <w:pStyle w:val="Normaltable"/>
              <w:rPr>
                <w:rFonts w:cs="Arial"/>
              </w:rPr>
            </w:pPr>
            <w:r>
              <w:rPr>
                <w:rFonts w:cs="Arial"/>
              </w:rPr>
              <w:t>Launceston</w:t>
            </w:r>
          </w:p>
        </w:tc>
      </w:tr>
      <w:tr w:rsidR="00D975A5" w:rsidRPr="00005DBB" w14:paraId="69F22350" w14:textId="77777777" w:rsidTr="00D975A5">
        <w:trPr>
          <w:tblHeader/>
        </w:trPr>
        <w:tc>
          <w:tcPr>
            <w:tcW w:w="3319" w:type="dxa"/>
            <w:shd w:val="clear" w:color="auto" w:fill="EEECE1"/>
            <w:vAlign w:val="center"/>
          </w:tcPr>
          <w:p w14:paraId="294312E9" w14:textId="77777777" w:rsidR="00D975A5" w:rsidRPr="00B9618A" w:rsidRDefault="00D975A5" w:rsidP="00D975A5">
            <w:pPr>
              <w:pStyle w:val="Heading3table"/>
            </w:pPr>
            <w:r w:rsidRPr="00B9618A">
              <w:t>Position category and funding</w:t>
            </w:r>
          </w:p>
        </w:tc>
        <w:tc>
          <w:tcPr>
            <w:tcW w:w="6085" w:type="dxa"/>
            <w:shd w:val="clear" w:color="auto" w:fill="EEECE1"/>
            <w:vAlign w:val="center"/>
          </w:tcPr>
          <w:p w14:paraId="13DDF3AA" w14:textId="7552899E" w:rsidR="00D975A5" w:rsidRPr="00995F4A" w:rsidRDefault="000624DB" w:rsidP="00D975A5">
            <w:pPr>
              <w:pStyle w:val="Normaltable"/>
            </w:pPr>
            <w:r>
              <w:rPr>
                <w:rFonts w:cs="Arial"/>
                <w:szCs w:val="22"/>
              </w:rPr>
              <w:t>A336</w:t>
            </w:r>
            <w:bookmarkStart w:id="0" w:name="_GoBack"/>
            <w:bookmarkEnd w:id="0"/>
          </w:p>
        </w:tc>
      </w:tr>
    </w:tbl>
    <w:p w14:paraId="09419FD0" w14:textId="77777777" w:rsidR="00B00073" w:rsidRPr="00B00073" w:rsidRDefault="00B00073" w:rsidP="00B00073"/>
    <w:p w14:paraId="359CA9AF" w14:textId="77777777" w:rsidR="00C552B9" w:rsidRPr="00FE28E6" w:rsidRDefault="00C552B9" w:rsidP="00A479BA">
      <w:pPr>
        <w:pStyle w:val="ListBullet"/>
        <w:numPr>
          <w:ilvl w:val="0"/>
          <w:numId w:val="0"/>
        </w:numPr>
      </w:pPr>
      <w:r w:rsidRPr="00FE28E6">
        <w:tab/>
      </w:r>
      <w:r w:rsidRPr="00FE28E6">
        <w:tab/>
      </w:r>
    </w:p>
    <w:sectPr w:rsidR="00C552B9" w:rsidRPr="00FE28E6" w:rsidSect="00C27F0D">
      <w:footerReference w:type="default" r:id="rId8"/>
      <w:headerReference w:type="first" r:id="rId9"/>
      <w:footerReference w:type="first" r:id="rId1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8A05" w14:textId="77777777" w:rsidR="00C91441" w:rsidRDefault="00C91441" w:rsidP="00967FD5">
      <w:r>
        <w:separator/>
      </w:r>
    </w:p>
  </w:endnote>
  <w:endnote w:type="continuationSeparator" w:id="0">
    <w:p w14:paraId="6C18586F" w14:textId="77777777" w:rsidR="00C91441" w:rsidRDefault="00C91441"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01DA4AE9" w:rsidR="00C27F0D" w:rsidRDefault="00C27F0D">
        <w:pPr>
          <w:pStyle w:val="Footer"/>
          <w:jc w:val="right"/>
        </w:pPr>
        <w:r>
          <w:fldChar w:fldCharType="begin"/>
        </w:r>
        <w:r>
          <w:instrText xml:space="preserve"> PAGE   \* MERGEFORMAT </w:instrText>
        </w:r>
        <w:r>
          <w:fldChar w:fldCharType="separate"/>
        </w:r>
        <w:r w:rsidR="000624DB">
          <w:rPr>
            <w:noProof/>
          </w:rPr>
          <w:t>4</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318314EC" w:rsidR="00C27F0D" w:rsidRDefault="00061E20">
        <w:pPr>
          <w:pStyle w:val="Footer"/>
        </w:pPr>
        <w:r w:rsidRPr="00FD6807">
          <w:rPr>
            <w:i/>
          </w:rPr>
          <w:t xml:space="preserve">Last reviewed: </w:t>
        </w:r>
        <w:r w:rsidR="00D975A5">
          <w:rPr>
            <w:i/>
          </w:rPr>
          <w:t>March 2021</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F5DF" w14:textId="77777777" w:rsidR="00C91441" w:rsidRDefault="00C91441" w:rsidP="00967FD5">
      <w:r>
        <w:separator/>
      </w:r>
    </w:p>
  </w:footnote>
  <w:footnote w:type="continuationSeparator" w:id="0">
    <w:p w14:paraId="06168BBF" w14:textId="77777777" w:rsidR="00C91441" w:rsidRDefault="00C91441"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C38000C"/>
    <w:multiLevelType w:val="hybridMultilevel"/>
    <w:tmpl w:val="E38C3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0F409DB"/>
    <w:multiLevelType w:val="hybridMultilevel"/>
    <w:tmpl w:val="A5D683E6"/>
    <w:lvl w:ilvl="0" w:tplc="FEA6D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8"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6831D2"/>
    <w:multiLevelType w:val="hybridMultilevel"/>
    <w:tmpl w:val="2926E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6"/>
  </w:num>
  <w:num w:numId="5">
    <w:abstractNumId w:val="24"/>
  </w:num>
  <w:num w:numId="6">
    <w:abstractNumId w:val="12"/>
  </w:num>
  <w:num w:numId="7">
    <w:abstractNumId w:val="2"/>
  </w:num>
  <w:num w:numId="8">
    <w:abstractNumId w:val="9"/>
  </w:num>
  <w:num w:numId="9">
    <w:abstractNumId w:val="36"/>
  </w:num>
  <w:num w:numId="10">
    <w:abstractNumId w:val="13"/>
  </w:num>
  <w:num w:numId="11">
    <w:abstractNumId w:val="1"/>
  </w:num>
  <w:num w:numId="12">
    <w:abstractNumId w:val="1"/>
    <w:lvlOverride w:ilvl="0">
      <w:startOverride w:val="1"/>
    </w:lvlOverride>
  </w:num>
  <w:num w:numId="13">
    <w:abstractNumId w:val="0"/>
  </w:num>
  <w:num w:numId="14">
    <w:abstractNumId w:val="3"/>
  </w:num>
  <w:num w:numId="15">
    <w:abstractNumId w:val="34"/>
  </w:num>
  <w:num w:numId="16">
    <w:abstractNumId w:val="20"/>
  </w:num>
  <w:num w:numId="17">
    <w:abstractNumId w:val="25"/>
  </w:num>
  <w:num w:numId="18">
    <w:abstractNumId w:val="17"/>
  </w:num>
  <w:num w:numId="19">
    <w:abstractNumId w:val="26"/>
  </w:num>
  <w:num w:numId="20">
    <w:abstractNumId w:val="11"/>
  </w:num>
  <w:num w:numId="21">
    <w:abstractNumId w:val="22"/>
  </w:num>
  <w:num w:numId="22">
    <w:abstractNumId w:val="13"/>
  </w:num>
  <w:num w:numId="23">
    <w:abstractNumId w:val="13"/>
  </w:num>
  <w:num w:numId="24">
    <w:abstractNumId w:val="5"/>
  </w:num>
  <w:num w:numId="25">
    <w:abstractNumId w:val="35"/>
  </w:num>
  <w:num w:numId="26">
    <w:abstractNumId w:val="13"/>
  </w:num>
  <w:num w:numId="27">
    <w:abstractNumId w:val="28"/>
  </w:num>
  <w:num w:numId="28">
    <w:abstractNumId w:val="31"/>
  </w:num>
  <w:num w:numId="29">
    <w:abstractNumId w:val="33"/>
  </w:num>
  <w:num w:numId="30">
    <w:abstractNumId w:val="21"/>
  </w:num>
  <w:num w:numId="31">
    <w:abstractNumId w:val="30"/>
  </w:num>
  <w:num w:numId="32">
    <w:abstractNumId w:val="15"/>
  </w:num>
  <w:num w:numId="33">
    <w:abstractNumId w:val="23"/>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num>
  <w:num w:numId="39">
    <w:abstractNumId w:val="32"/>
  </w:num>
  <w:num w:numId="40">
    <w:abstractNumId w:val="7"/>
  </w:num>
  <w:num w:numId="41">
    <w:abstractNumId w:val="19"/>
  </w:num>
  <w:num w:numId="42">
    <w:abstractNumId w:val="13"/>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24DB"/>
    <w:rsid w:val="000632C1"/>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34FDE"/>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3751A"/>
    <w:rsid w:val="007428EC"/>
    <w:rsid w:val="00746D48"/>
    <w:rsid w:val="007552D7"/>
    <w:rsid w:val="007569BB"/>
    <w:rsid w:val="00764E72"/>
    <w:rsid w:val="00774BDE"/>
    <w:rsid w:val="00785528"/>
    <w:rsid w:val="007918C6"/>
    <w:rsid w:val="007A348A"/>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47E7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975A5"/>
    <w:rsid w:val="00DA0031"/>
    <w:rsid w:val="00DC1ECF"/>
    <w:rsid w:val="00DC42AD"/>
    <w:rsid w:val="00DC50E9"/>
    <w:rsid w:val="00DC7037"/>
    <w:rsid w:val="00DC71E3"/>
    <w:rsid w:val="00DD3AF1"/>
    <w:rsid w:val="00DD4878"/>
    <w:rsid w:val="00DD53BD"/>
    <w:rsid w:val="00DE2ADC"/>
    <w:rsid w:val="00DE3059"/>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s01.safelinks.protection.outlook.com/?url=https%3A%2F%2Fwww.servicesaustralia.gov.au%2Findividuals%2Fservices%2Fmedicare%2Faustralian-immunisation-register%2Fwhat-register%2Fimmunisation-medical-exemptions%23a3&amp;data=04%7C01%7CTracey.Mulcahy%40justice.tas.gov.au%7Ce12c8042e9ef411c6d4b08d9c10d05ab%7Cce3bd35aee3444939df75b9fa88fdf8e%7C0%7C0%7C637753083958785476%7CUnknown%7CTWFpbGZsb3d8eyJWIjoiMC4wLjAwMDAiLCJQIjoiV2luMzIiLCJBTiI6Ik1haWwiLCJXVCI6Mn0%3D%7C3000&amp;sdata=EoWRMQdY4MPicxU019FofXz%2F4UtdmvtsDfet3xgw870%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Statement of Duties</vt:lpstr>
    </vt:vector>
  </TitlesOfParts>
  <Company>DOJIR</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subject/>
  <dc:creator>Copelin, Shannon</dc:creator>
  <cp:keywords/>
  <cp:lastModifiedBy>Slater, Dianne</cp:lastModifiedBy>
  <cp:revision>2</cp:revision>
  <cp:lastPrinted>2013-03-18T23:23:00Z</cp:lastPrinted>
  <dcterms:created xsi:type="dcterms:W3CDTF">2022-06-22T07:27:00Z</dcterms:created>
  <dcterms:modified xsi:type="dcterms:W3CDTF">2022-06-22T07:27:00Z</dcterms:modified>
</cp:coreProperties>
</file>