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DCA6" w14:textId="77777777" w:rsidR="007475C7" w:rsidRDefault="00E10F6E" w:rsidP="00E36CF1">
      <w:pPr>
        <w:pStyle w:val="DocumentTitle"/>
      </w:pPr>
      <w:r>
        <w:rPr>
          <w:noProof/>
        </w:rPr>
        <mc:AlternateContent>
          <mc:Choice Requires="wps">
            <w:drawing>
              <wp:anchor distT="0" distB="0" distL="114300" distR="114300" simplePos="0" relativeHeight="251656192" behindDoc="1" locked="0" layoutInCell="1" allowOverlap="1" wp14:anchorId="756FEAF7" wp14:editId="61960927">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A3A3"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53/QEAAN0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" fillcolor="#036" stroked="f"/>
            </w:pict>
          </mc:Fallback>
        </mc:AlternateContent>
      </w:r>
      <w:r>
        <w:rPr>
          <w:noProof/>
        </w:rPr>
        <mc:AlternateContent>
          <mc:Choice Requires="wps">
            <w:drawing>
              <wp:anchor distT="0" distB="0" distL="114300" distR="114300" simplePos="0" relativeHeight="251655168" behindDoc="0" locked="0" layoutInCell="1" allowOverlap="1" wp14:anchorId="53EA0E16" wp14:editId="552B3191">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0377" w14:textId="77777777" w:rsidR="001C20D7" w:rsidRDefault="001C20D7" w:rsidP="001C20D7">
                            <w:pPr>
                              <w:pStyle w:val="DocumentTitle"/>
                            </w:pPr>
                          </w:p>
                          <w:p w14:paraId="40A7E4A4" w14:textId="77777777" w:rsidR="001C20D7" w:rsidRPr="00E36CF1" w:rsidRDefault="001C20D7" w:rsidP="001C20D7">
                            <w:pPr>
                              <w:pStyle w:val="DocumentTitle"/>
                            </w:pPr>
                            <w:r w:rsidRPr="00E36CF1">
                              <w:t>POSITION DESCRIPTION</w:t>
                            </w:r>
                            <w:r w:rsidRPr="00E36CF1">
                              <w:br/>
                            </w:r>
                          </w:p>
                          <w:p w14:paraId="03FB3D86"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0E16"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7C0E0377" w14:textId="77777777" w:rsidR="001C20D7" w:rsidRDefault="001C20D7" w:rsidP="001C20D7">
                      <w:pPr>
                        <w:pStyle w:val="DocumentTitle"/>
                      </w:pPr>
                    </w:p>
                    <w:p w14:paraId="40A7E4A4" w14:textId="77777777" w:rsidR="001C20D7" w:rsidRPr="00E36CF1" w:rsidRDefault="001C20D7" w:rsidP="001C20D7">
                      <w:pPr>
                        <w:pStyle w:val="DocumentTitle"/>
                      </w:pPr>
                      <w:r w:rsidRPr="00E36CF1">
                        <w:t>POSITION DESCRIPTION</w:t>
                      </w:r>
                      <w:r w:rsidRPr="00E36CF1">
                        <w:br/>
                      </w:r>
                    </w:p>
                    <w:p w14:paraId="03FB3D86"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5195DC4" wp14:editId="692F1D17">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E6691" w14:textId="77777777" w:rsidR="001C20D7" w:rsidRDefault="00E10F6E" w:rsidP="001C20D7">
                            <w:pPr>
                              <w:jc w:val="right"/>
                            </w:pPr>
                            <w:r w:rsidRPr="006A5FF7">
                              <w:rPr>
                                <w:noProof/>
                              </w:rPr>
                              <w:drawing>
                                <wp:inline distT="0" distB="0" distL="0" distR="0" wp14:anchorId="7DF68200" wp14:editId="74E63388">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195DC4"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" fillcolor="#036" stroked="f">
                <v:textbox style="mso-fit-shape-to-text:t" inset="6.5mm,9.3mm,12.5mm">
                  <w:txbxContent>
                    <w:p w14:paraId="74EE6691" w14:textId="77777777" w:rsidR="001C20D7" w:rsidRDefault="00E10F6E" w:rsidP="001C20D7">
                      <w:pPr>
                        <w:jc w:val="right"/>
                      </w:pPr>
                      <w:r w:rsidRPr="006A5FF7">
                        <w:rPr>
                          <w:noProof/>
                        </w:rPr>
                        <w:drawing>
                          <wp:inline distT="0" distB="0" distL="0" distR="0" wp14:anchorId="7DF68200" wp14:editId="74E63388">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609ABE32" w14:textId="77777777" w:rsidR="00AB7707" w:rsidRDefault="00AB7707" w:rsidP="00E36CF1">
      <w:pPr>
        <w:pStyle w:val="DocumentTitle"/>
      </w:pPr>
    </w:p>
    <w:p w14:paraId="2B7F619A" w14:textId="020BDC2D" w:rsidR="00686C96" w:rsidRPr="005C2A25" w:rsidRDefault="008B0652" w:rsidP="00ED4E51">
      <w:pPr>
        <w:pStyle w:val="OrgUnit"/>
      </w:pPr>
      <w:r>
        <w:t>Centre for Digital Transformation of Health</w:t>
      </w:r>
    </w:p>
    <w:p w14:paraId="50D017D4" w14:textId="77777777" w:rsidR="005C2A25" w:rsidRDefault="00335139" w:rsidP="00ED4E51">
      <w:pPr>
        <w:pStyle w:val="BudgetDivision"/>
      </w:pPr>
      <w:r w:rsidRPr="00335139">
        <w:t>Faculty of Medicine, Dentistry and Health Sciences</w:t>
      </w:r>
    </w:p>
    <w:p w14:paraId="5A2EF369" w14:textId="734A243E" w:rsidR="00601B18" w:rsidRPr="005C2A11" w:rsidRDefault="008B0652" w:rsidP="00601B18">
      <w:pPr>
        <w:pStyle w:val="PositionTitle"/>
      </w:pPr>
      <w:r>
        <w:t>Research Fellow</w:t>
      </w:r>
      <w:r w:rsidR="00C124FF">
        <w:t xml:space="preserve">- Digital </w:t>
      </w:r>
      <w:r w:rsidR="00A473D0">
        <w:t>H</w:t>
      </w:r>
      <w:r w:rsidR="00C124FF">
        <w:t>ealth Tech</w:t>
      </w:r>
      <w:r w:rsidR="00A473D0">
        <w:t>nology Assessment</w:t>
      </w:r>
    </w:p>
    <w:p w14:paraId="563CE35A" w14:textId="77777777" w:rsidR="001C20D7" w:rsidRPr="005C2A11" w:rsidRDefault="001C20D7" w:rsidP="00CB6408">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5C2A11" w14:paraId="1E0D0DE9" w14:textId="77777777" w:rsidTr="00222797">
        <w:tc>
          <w:tcPr>
            <w:tcW w:w="2267" w:type="dxa"/>
          </w:tcPr>
          <w:p w14:paraId="78EAD639" w14:textId="77777777" w:rsidR="005806D9" w:rsidRPr="005C2A11" w:rsidRDefault="005806D9" w:rsidP="00ED4E51">
            <w:pPr>
              <w:pStyle w:val="Positionmetadata"/>
            </w:pPr>
            <w:r w:rsidRPr="005C2A11">
              <w:t>Position No</w:t>
            </w:r>
          </w:p>
        </w:tc>
        <w:tc>
          <w:tcPr>
            <w:tcW w:w="6345" w:type="dxa"/>
          </w:tcPr>
          <w:p w14:paraId="64294370" w14:textId="3A0AF468" w:rsidR="005806D9" w:rsidRPr="005C2A11" w:rsidRDefault="00CE6780" w:rsidP="00ED4E51">
            <w:pPr>
              <w:pStyle w:val="BodyText"/>
            </w:pPr>
            <w:r w:rsidRPr="00CE6780">
              <w:t>0054723</w:t>
            </w:r>
          </w:p>
        </w:tc>
      </w:tr>
      <w:tr w:rsidR="005806D9" w:rsidRPr="005C2A11" w14:paraId="0EB9CA78" w14:textId="77777777" w:rsidTr="00222797">
        <w:tc>
          <w:tcPr>
            <w:tcW w:w="2267" w:type="dxa"/>
          </w:tcPr>
          <w:p w14:paraId="75DB5E89" w14:textId="77777777" w:rsidR="005806D9" w:rsidRPr="005C2A11" w:rsidRDefault="005806D9" w:rsidP="00ED4E51">
            <w:pPr>
              <w:pStyle w:val="Positionmetadata"/>
            </w:pPr>
            <w:r w:rsidRPr="005C2A11">
              <w:t>Classification</w:t>
            </w:r>
          </w:p>
        </w:tc>
        <w:tc>
          <w:tcPr>
            <w:tcW w:w="6345" w:type="dxa"/>
          </w:tcPr>
          <w:p w14:paraId="7BC6A521" w14:textId="44E65A37" w:rsidR="005806D9" w:rsidRPr="005C2A11" w:rsidRDefault="00EA37F4" w:rsidP="00ED4E51">
            <w:pPr>
              <w:pStyle w:val="BodyText"/>
            </w:pPr>
            <w:r>
              <w:t xml:space="preserve">Academic </w:t>
            </w:r>
            <w:r w:rsidR="008B0652">
              <w:t>Level B</w:t>
            </w:r>
          </w:p>
        </w:tc>
      </w:tr>
      <w:tr w:rsidR="005806D9" w:rsidRPr="00B25A95" w14:paraId="1496FA8A" w14:textId="77777777" w:rsidTr="00222797">
        <w:tc>
          <w:tcPr>
            <w:tcW w:w="2267" w:type="dxa"/>
          </w:tcPr>
          <w:p w14:paraId="08990B3B" w14:textId="77777777" w:rsidR="005806D9" w:rsidRPr="005C2A11" w:rsidRDefault="005806D9" w:rsidP="00ED4E51">
            <w:pPr>
              <w:pStyle w:val="Positionmetadata"/>
            </w:pPr>
            <w:r w:rsidRPr="005C2A11">
              <w:t>Salary</w:t>
            </w:r>
          </w:p>
        </w:tc>
        <w:tc>
          <w:tcPr>
            <w:tcW w:w="6345" w:type="dxa"/>
          </w:tcPr>
          <w:p w14:paraId="72507B4C" w14:textId="3F0F6343" w:rsidR="005806D9" w:rsidRPr="005B6661" w:rsidRDefault="00756CAC" w:rsidP="00ED4E51">
            <w:pPr>
              <w:pStyle w:val="BodyText"/>
            </w:pPr>
            <w:r>
              <w:t xml:space="preserve">$110,236 – $130,900 </w:t>
            </w:r>
            <w:r w:rsidR="00F35D89" w:rsidRPr="005C2A11">
              <w:rPr>
                <w:szCs w:val="20"/>
              </w:rPr>
              <w:t>p.a</w:t>
            </w:r>
            <w:r w:rsidR="00465A8B" w:rsidRPr="005C2A11">
              <w:t>.</w:t>
            </w:r>
          </w:p>
        </w:tc>
      </w:tr>
      <w:tr w:rsidR="005806D9" w:rsidRPr="00B25A95" w14:paraId="46F40202" w14:textId="77777777" w:rsidTr="00222797">
        <w:tc>
          <w:tcPr>
            <w:tcW w:w="2267" w:type="dxa"/>
          </w:tcPr>
          <w:p w14:paraId="7F163135" w14:textId="77777777" w:rsidR="005806D9" w:rsidRPr="00743F3C" w:rsidRDefault="005806D9" w:rsidP="00ED4E51">
            <w:pPr>
              <w:pStyle w:val="Positionmetadata"/>
            </w:pPr>
            <w:r w:rsidRPr="00743F3C">
              <w:t>Superannuation</w:t>
            </w:r>
          </w:p>
        </w:tc>
        <w:tc>
          <w:tcPr>
            <w:tcW w:w="6345" w:type="dxa"/>
          </w:tcPr>
          <w:p w14:paraId="116ABD7C" w14:textId="46DC4D89" w:rsidR="005806D9" w:rsidRPr="00994579" w:rsidRDefault="00605D33" w:rsidP="00ED4E51">
            <w:pPr>
              <w:pStyle w:val="BodyText"/>
              <w:rPr>
                <w:color w:val="000000" w:themeColor="text1"/>
              </w:rPr>
            </w:pPr>
            <w:r w:rsidRPr="00994579">
              <w:rPr>
                <w:color w:val="000000" w:themeColor="text1"/>
              </w:rPr>
              <w:t>E</w:t>
            </w:r>
            <w:r w:rsidR="007C444E" w:rsidRPr="00994579">
              <w:rPr>
                <w:color w:val="000000" w:themeColor="text1"/>
              </w:rPr>
              <w:t>mployer contribution</w:t>
            </w:r>
            <w:r w:rsidR="005806D9" w:rsidRPr="00994579">
              <w:rPr>
                <w:color w:val="000000" w:themeColor="text1"/>
              </w:rPr>
              <w:t xml:space="preserve"> of </w:t>
            </w:r>
            <w:r w:rsidR="001A4DC7">
              <w:rPr>
                <w:color w:val="000000" w:themeColor="text1"/>
              </w:rPr>
              <w:t>17</w:t>
            </w:r>
            <w:r w:rsidR="00465A8B" w:rsidRPr="00994579">
              <w:rPr>
                <w:color w:val="000000" w:themeColor="text1"/>
              </w:rPr>
              <w:t>%</w:t>
            </w:r>
          </w:p>
        </w:tc>
      </w:tr>
      <w:tr w:rsidR="00EB6810" w:rsidRPr="005F10D7" w14:paraId="5658802F" w14:textId="77777777" w:rsidTr="008217E9">
        <w:tc>
          <w:tcPr>
            <w:tcW w:w="2267" w:type="dxa"/>
          </w:tcPr>
          <w:p w14:paraId="69A27C46" w14:textId="2D3E8749" w:rsidR="00EB6810" w:rsidRPr="00743F3C" w:rsidRDefault="00EB6810" w:rsidP="00ED4E51">
            <w:pPr>
              <w:pStyle w:val="Positionmetadata"/>
            </w:pPr>
            <w:r>
              <w:t>WORKING HOURS</w:t>
            </w:r>
          </w:p>
        </w:tc>
        <w:tc>
          <w:tcPr>
            <w:tcW w:w="6345" w:type="dxa"/>
          </w:tcPr>
          <w:p w14:paraId="1986758E" w14:textId="6DDC5318" w:rsidR="00EB6810" w:rsidRPr="005F10D7" w:rsidRDefault="00EB6810" w:rsidP="00ED4E51">
            <w:pPr>
              <w:pStyle w:val="BodyText"/>
            </w:pPr>
            <w:r>
              <w:t>Full-time</w:t>
            </w:r>
          </w:p>
        </w:tc>
      </w:tr>
      <w:tr w:rsidR="00ED4E51" w:rsidRPr="005F10D7" w14:paraId="2CA6C6F4" w14:textId="77777777" w:rsidTr="008217E9">
        <w:tc>
          <w:tcPr>
            <w:tcW w:w="2267" w:type="dxa"/>
          </w:tcPr>
          <w:p w14:paraId="75FE77C9" w14:textId="28714C7D" w:rsidR="00ED4E51" w:rsidRDefault="00ED4E51" w:rsidP="00ED4E51">
            <w:pPr>
              <w:pStyle w:val="Positionmetadata"/>
            </w:pPr>
            <w:r>
              <w:t>BASIS OF EMPLOYMENT</w:t>
            </w:r>
          </w:p>
        </w:tc>
        <w:tc>
          <w:tcPr>
            <w:tcW w:w="6345" w:type="dxa"/>
          </w:tcPr>
          <w:p w14:paraId="3E465E91" w14:textId="508B75E0" w:rsidR="00ED4E51" w:rsidRDefault="001517C6" w:rsidP="00ED4E51">
            <w:pPr>
              <w:pStyle w:val="BodyText"/>
            </w:pPr>
            <w:r>
              <w:t xml:space="preserve">Fixed-term until </w:t>
            </w:r>
            <w:r w:rsidRPr="00AF66F4">
              <w:t>31/</w:t>
            </w:r>
            <w:r w:rsidR="00E15512" w:rsidRPr="00AF66F4">
              <w:t>12</w:t>
            </w:r>
            <w:r w:rsidRPr="00AF66F4">
              <w:t>/202</w:t>
            </w:r>
            <w:r w:rsidR="001A4DC7">
              <w:t>4</w:t>
            </w:r>
            <w:r w:rsidR="005C2A11" w:rsidRPr="005C2A11">
              <w:t xml:space="preserve"> </w:t>
            </w:r>
          </w:p>
        </w:tc>
      </w:tr>
      <w:tr w:rsidR="00EB6810" w:rsidRPr="00B25A95" w14:paraId="5D696310" w14:textId="77777777" w:rsidTr="00222797">
        <w:tc>
          <w:tcPr>
            <w:tcW w:w="2267" w:type="dxa"/>
          </w:tcPr>
          <w:p w14:paraId="1C3A5C60" w14:textId="77777777" w:rsidR="00EB6810" w:rsidRPr="00743F3C" w:rsidRDefault="00EB6810" w:rsidP="00ED4E51">
            <w:pPr>
              <w:pStyle w:val="Positionmetadata"/>
            </w:pPr>
            <w:r w:rsidRPr="00743F3C">
              <w:t>Other Benefits</w:t>
            </w:r>
          </w:p>
        </w:tc>
        <w:tc>
          <w:tcPr>
            <w:tcW w:w="6345" w:type="dxa"/>
          </w:tcPr>
          <w:p w14:paraId="05F6856D" w14:textId="77777777" w:rsidR="00EB6810" w:rsidRPr="005B6661" w:rsidRDefault="00733DFF" w:rsidP="00ED4E51">
            <w:pPr>
              <w:pStyle w:val="BodyText"/>
            </w:pPr>
            <w:hyperlink r:id="rId13" w:history="1">
              <w:r w:rsidR="00EB6810" w:rsidRPr="00774D1A">
                <w:rPr>
                  <w:rStyle w:val="Hyperlink"/>
                </w:rPr>
                <w:t>http://about.unimelb.edu.au/careers/working/benefits</w:t>
              </w:r>
            </w:hyperlink>
          </w:p>
        </w:tc>
      </w:tr>
      <w:tr w:rsidR="00EB6810" w:rsidRPr="00B25A95" w14:paraId="25096E4E" w14:textId="77777777" w:rsidTr="00222797">
        <w:tc>
          <w:tcPr>
            <w:tcW w:w="2267" w:type="dxa"/>
          </w:tcPr>
          <w:p w14:paraId="2F0A4D0E" w14:textId="77777777" w:rsidR="00EB6810" w:rsidRPr="00743F3C" w:rsidRDefault="00EB6810" w:rsidP="00ED4E51">
            <w:pPr>
              <w:pStyle w:val="Positionmetadata"/>
            </w:pPr>
            <w:r w:rsidRPr="00743F3C">
              <w:t>How to Apply</w:t>
            </w:r>
          </w:p>
        </w:tc>
        <w:tc>
          <w:tcPr>
            <w:tcW w:w="6345" w:type="dxa"/>
          </w:tcPr>
          <w:p w14:paraId="393AEFAC" w14:textId="740A8B90" w:rsidR="00EB6810" w:rsidRPr="005B6661" w:rsidRDefault="00870D80" w:rsidP="00ED4E51">
            <w:pPr>
              <w:pStyle w:val="BodyText"/>
            </w:pPr>
            <w:r w:rsidRPr="00045ECF">
              <w:t xml:space="preserve">Online applications are preferred. Go to </w:t>
            </w:r>
            <w:hyperlink r:id="rId14" w:history="1">
              <w:r w:rsidRPr="00045ECF">
                <w:rPr>
                  <w:rStyle w:val="Hyperlink"/>
                </w:rPr>
                <w:t>http://about.unimelb.edu.au/careers</w:t>
              </w:r>
            </w:hyperlink>
            <w:r w:rsidRPr="00045ECF">
              <w:t>, select the relevant option (‘Current Staff’ or ‘Prospective Staff’), then find the position by title or number.</w:t>
            </w:r>
          </w:p>
        </w:tc>
      </w:tr>
      <w:tr w:rsidR="00EB6810" w:rsidRPr="00B25A95" w14:paraId="4A3F3C7A" w14:textId="77777777" w:rsidTr="00222797">
        <w:tc>
          <w:tcPr>
            <w:tcW w:w="2267" w:type="dxa"/>
          </w:tcPr>
          <w:p w14:paraId="75D9717C" w14:textId="77777777" w:rsidR="00EB6810" w:rsidRPr="00743F3C" w:rsidRDefault="00EB6810" w:rsidP="00ED4E51">
            <w:pPr>
              <w:pStyle w:val="Positionmetadata"/>
            </w:pPr>
            <w:r w:rsidRPr="00743F3C">
              <w:t>contact</w:t>
            </w:r>
            <w:r>
              <w:br/>
            </w:r>
            <w:r w:rsidRPr="00743F3C">
              <w:t>For enquiries only</w:t>
            </w:r>
          </w:p>
        </w:tc>
        <w:tc>
          <w:tcPr>
            <w:tcW w:w="6345" w:type="dxa"/>
          </w:tcPr>
          <w:p w14:paraId="31E3A95E" w14:textId="2E226CD4" w:rsidR="00EB6810" w:rsidRPr="00EE3FCF" w:rsidRDefault="001A4DC7" w:rsidP="00ED4E51">
            <w:pPr>
              <w:pStyle w:val="Contact"/>
              <w:rPr>
                <w:lang w:val="fr-FR"/>
              </w:rPr>
            </w:pPr>
            <w:r>
              <w:rPr>
                <w:lang w:val="fr-FR"/>
              </w:rPr>
              <w:t>Prof Wendy Chapman</w:t>
            </w:r>
            <w:r w:rsidR="00EB6810" w:rsidRPr="00EE3FCF">
              <w:rPr>
                <w:lang w:val="fr-FR"/>
              </w:rPr>
              <w:br/>
              <w:t xml:space="preserve">Email </w:t>
            </w:r>
            <w:r>
              <w:t>wendy.chapman</w:t>
            </w:r>
            <w:r w:rsidR="008B0652" w:rsidRPr="008B0652">
              <w:t>@unimelb.edu.au</w:t>
            </w:r>
            <w:r w:rsidR="001517C6">
              <w:rPr>
                <w:lang w:val="fr-FR"/>
              </w:rPr>
              <w:t xml:space="preserve"> </w:t>
            </w:r>
          </w:p>
          <w:p w14:paraId="05E556CA" w14:textId="77777777" w:rsidR="00EB6810" w:rsidRPr="005B6661" w:rsidRDefault="00EB6810" w:rsidP="00ED4E51">
            <w:pPr>
              <w:pStyle w:val="BodyText"/>
              <w:rPr>
                <w:rStyle w:val="Inlineitalic"/>
              </w:rPr>
            </w:pPr>
            <w:r w:rsidRPr="005B6661">
              <w:rPr>
                <w:rStyle w:val="Inlineitalic"/>
              </w:rPr>
              <w:t>Please do not send your application to this contact</w:t>
            </w:r>
          </w:p>
        </w:tc>
      </w:tr>
    </w:tbl>
    <w:p w14:paraId="76FFFDE4"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55BC1168" w14:textId="77777777" w:rsidR="00F072CF" w:rsidRPr="005C2A11" w:rsidRDefault="00EA4C92" w:rsidP="00B36A9E">
      <w:pPr>
        <w:pStyle w:val="PositionSummary"/>
      </w:pPr>
      <w:r>
        <w:rPr>
          <w:rStyle w:val="URLonfrontpageChar"/>
        </w:rPr>
        <w:br w:type="page"/>
      </w:r>
      <w:r w:rsidR="00F072CF" w:rsidRPr="005C2A11">
        <w:lastRenderedPageBreak/>
        <w:t>Position Summary</w:t>
      </w:r>
    </w:p>
    <w:p w14:paraId="769C223E" w14:textId="19FF4CD0" w:rsidR="00F35D89" w:rsidRPr="0033392D" w:rsidRDefault="00AF40EA" w:rsidP="00AF40EA">
      <w:pPr>
        <w:spacing w:before="120" w:after="120" w:line="280" w:lineRule="auto"/>
        <w:rPr>
          <w:rFonts w:ascii="Arial" w:hAnsi="Arial" w:cs="Arial"/>
          <w:sz w:val="20"/>
          <w:szCs w:val="20"/>
        </w:rPr>
      </w:pPr>
      <w:r w:rsidRPr="0033392D">
        <w:rPr>
          <w:rFonts w:ascii="Arial" w:hAnsi="Arial" w:cs="Arial"/>
          <w:sz w:val="20"/>
          <w:szCs w:val="20"/>
        </w:rPr>
        <w:t xml:space="preserve">The </w:t>
      </w:r>
      <w:r w:rsidR="00F35D89" w:rsidRPr="0033392D">
        <w:rPr>
          <w:rFonts w:ascii="Arial" w:hAnsi="Arial" w:cs="Arial"/>
          <w:sz w:val="20"/>
          <w:szCs w:val="20"/>
        </w:rPr>
        <w:t xml:space="preserve">Research </w:t>
      </w:r>
      <w:r w:rsidR="008B0652">
        <w:rPr>
          <w:rFonts w:ascii="Arial" w:hAnsi="Arial" w:cs="Arial"/>
          <w:sz w:val="20"/>
          <w:szCs w:val="20"/>
        </w:rPr>
        <w:t xml:space="preserve">Fellow </w:t>
      </w:r>
      <w:r w:rsidR="00F35D89" w:rsidRPr="0033392D">
        <w:rPr>
          <w:rFonts w:ascii="Arial" w:hAnsi="Arial" w:cs="Arial"/>
          <w:sz w:val="20"/>
          <w:szCs w:val="20"/>
        </w:rPr>
        <w:t xml:space="preserve">will </w:t>
      </w:r>
      <w:r w:rsidR="008B0652">
        <w:rPr>
          <w:rFonts w:ascii="Arial" w:hAnsi="Arial" w:cs="Arial"/>
          <w:sz w:val="20"/>
          <w:szCs w:val="20"/>
        </w:rPr>
        <w:t xml:space="preserve">be a member of the </w:t>
      </w:r>
      <w:bookmarkStart w:id="0" w:name="_Hlk63674853"/>
      <w:r w:rsidR="008B0652">
        <w:rPr>
          <w:rFonts w:ascii="Arial" w:hAnsi="Arial" w:cs="Arial"/>
          <w:sz w:val="20"/>
          <w:szCs w:val="20"/>
        </w:rPr>
        <w:t xml:space="preserve">Centre for Digital Transformation of Health’s </w:t>
      </w:r>
      <w:bookmarkEnd w:id="0"/>
      <w:r w:rsidR="00FD0F5D">
        <w:rPr>
          <w:rFonts w:ascii="Arial" w:hAnsi="Arial" w:cs="Arial"/>
          <w:sz w:val="20"/>
          <w:szCs w:val="20"/>
        </w:rPr>
        <w:t xml:space="preserve">(DT4H) </w:t>
      </w:r>
      <w:r w:rsidR="008B0652">
        <w:rPr>
          <w:rFonts w:ascii="Arial" w:hAnsi="Arial" w:cs="Arial"/>
          <w:sz w:val="20"/>
          <w:szCs w:val="20"/>
        </w:rPr>
        <w:t xml:space="preserve">team that is developing the </w:t>
      </w:r>
      <w:r w:rsidR="000503E2">
        <w:rPr>
          <w:rFonts w:ascii="Arial" w:hAnsi="Arial" w:cs="Arial"/>
          <w:sz w:val="20"/>
          <w:szCs w:val="20"/>
        </w:rPr>
        <w:t>D</w:t>
      </w:r>
      <w:r w:rsidR="008B0652">
        <w:rPr>
          <w:rFonts w:ascii="Arial" w:hAnsi="Arial" w:cs="Arial"/>
          <w:sz w:val="20"/>
          <w:szCs w:val="20"/>
        </w:rPr>
        <w:t xml:space="preserve">igital Health Validitron, a novel and innovative pipeline for </w:t>
      </w:r>
      <w:r w:rsidR="008B0652" w:rsidRPr="008B0652">
        <w:rPr>
          <w:rFonts w:ascii="Arial" w:hAnsi="Arial" w:cs="Arial"/>
          <w:sz w:val="20"/>
          <w:szCs w:val="20"/>
        </w:rPr>
        <w:t xml:space="preserve">co-design, development, </w:t>
      </w:r>
      <w:r w:rsidR="000503E2">
        <w:rPr>
          <w:rFonts w:ascii="Arial" w:hAnsi="Arial" w:cs="Arial"/>
          <w:sz w:val="20"/>
          <w:szCs w:val="20"/>
        </w:rPr>
        <w:t>testing</w:t>
      </w:r>
      <w:r w:rsidR="008B0652" w:rsidRPr="008B0652">
        <w:rPr>
          <w:rFonts w:ascii="Arial" w:hAnsi="Arial" w:cs="Arial"/>
          <w:sz w:val="20"/>
          <w:szCs w:val="20"/>
        </w:rPr>
        <w:t xml:space="preserve"> and validation</w:t>
      </w:r>
      <w:r w:rsidR="000503E2">
        <w:rPr>
          <w:rFonts w:ascii="Arial" w:hAnsi="Arial" w:cs="Arial"/>
          <w:sz w:val="20"/>
          <w:szCs w:val="20"/>
        </w:rPr>
        <w:t xml:space="preserve"> of digital health solutions</w:t>
      </w:r>
      <w:r w:rsidRPr="0033392D">
        <w:rPr>
          <w:rFonts w:ascii="Arial" w:hAnsi="Arial" w:cs="Arial"/>
          <w:sz w:val="20"/>
          <w:szCs w:val="20"/>
        </w:rPr>
        <w:t xml:space="preserve">. </w:t>
      </w:r>
      <w:r w:rsidR="000503E2" w:rsidRPr="000503E2">
        <w:rPr>
          <w:rFonts w:ascii="Arial" w:hAnsi="Arial" w:cs="Arial"/>
          <w:sz w:val="20"/>
          <w:szCs w:val="20"/>
        </w:rPr>
        <w:t xml:space="preserve">The Digital Health Validitron </w:t>
      </w:r>
      <w:r w:rsidR="000503E2">
        <w:rPr>
          <w:rFonts w:ascii="Arial" w:hAnsi="Arial" w:cs="Arial"/>
          <w:sz w:val="20"/>
          <w:szCs w:val="20"/>
        </w:rPr>
        <w:t xml:space="preserve">will </w:t>
      </w:r>
      <w:r w:rsidR="000503E2" w:rsidRPr="000503E2">
        <w:rPr>
          <w:rFonts w:ascii="Arial" w:hAnsi="Arial" w:cs="Arial"/>
          <w:sz w:val="20"/>
          <w:szCs w:val="20"/>
        </w:rPr>
        <w:t xml:space="preserve">support developers </w:t>
      </w:r>
      <w:r w:rsidR="000503E2">
        <w:rPr>
          <w:rFonts w:ascii="Arial" w:hAnsi="Arial" w:cs="Arial"/>
          <w:sz w:val="20"/>
          <w:szCs w:val="20"/>
        </w:rPr>
        <w:t xml:space="preserve">from the industry, research or healthcare sectors </w:t>
      </w:r>
      <w:r w:rsidR="000503E2" w:rsidRPr="000503E2">
        <w:rPr>
          <w:rFonts w:ascii="Arial" w:hAnsi="Arial" w:cs="Arial"/>
          <w:sz w:val="20"/>
          <w:szCs w:val="20"/>
        </w:rPr>
        <w:t xml:space="preserve">to iteratively design and refine their digital </w:t>
      </w:r>
      <w:r w:rsidR="008C2B1A">
        <w:rPr>
          <w:rFonts w:ascii="Arial" w:hAnsi="Arial" w:cs="Arial"/>
          <w:sz w:val="20"/>
          <w:szCs w:val="20"/>
        </w:rPr>
        <w:t xml:space="preserve">health </w:t>
      </w:r>
      <w:r w:rsidR="000503E2" w:rsidRPr="000503E2">
        <w:rPr>
          <w:rFonts w:ascii="Arial" w:hAnsi="Arial" w:cs="Arial"/>
          <w:sz w:val="20"/>
          <w:szCs w:val="20"/>
        </w:rPr>
        <w:t>solutions to ready them for</w:t>
      </w:r>
      <w:r w:rsidR="00E76D48">
        <w:rPr>
          <w:rFonts w:ascii="Arial" w:hAnsi="Arial" w:cs="Arial"/>
          <w:sz w:val="20"/>
          <w:szCs w:val="20"/>
        </w:rPr>
        <w:t xml:space="preserve"> trialling and</w:t>
      </w:r>
      <w:r w:rsidR="000503E2" w:rsidRPr="000503E2">
        <w:rPr>
          <w:rFonts w:ascii="Arial" w:hAnsi="Arial" w:cs="Arial"/>
          <w:sz w:val="20"/>
          <w:szCs w:val="20"/>
        </w:rPr>
        <w:t xml:space="preserve"> implementation in healthcare settings</w:t>
      </w:r>
      <w:r w:rsidR="000503E2">
        <w:rPr>
          <w:rFonts w:ascii="Arial" w:hAnsi="Arial" w:cs="Arial"/>
          <w:sz w:val="20"/>
          <w:szCs w:val="20"/>
        </w:rPr>
        <w:t>.</w:t>
      </w:r>
    </w:p>
    <w:p w14:paraId="4724F44D" w14:textId="54B372D8" w:rsidR="009929A0" w:rsidRDefault="00F35D89" w:rsidP="0033392D">
      <w:pPr>
        <w:spacing w:before="120" w:after="120" w:line="280" w:lineRule="auto"/>
        <w:rPr>
          <w:rFonts w:ascii="Arial" w:hAnsi="Arial" w:cs="Arial"/>
          <w:color w:val="000000" w:themeColor="text1"/>
          <w:sz w:val="20"/>
          <w:szCs w:val="20"/>
        </w:rPr>
      </w:pPr>
      <w:r w:rsidRPr="0033392D">
        <w:rPr>
          <w:rFonts w:ascii="Arial" w:hAnsi="Arial" w:cs="Arial"/>
          <w:sz w:val="20"/>
          <w:szCs w:val="20"/>
        </w:rPr>
        <w:t>Th</w:t>
      </w:r>
      <w:r w:rsidR="001517C6">
        <w:rPr>
          <w:rFonts w:ascii="Arial" w:hAnsi="Arial" w:cs="Arial"/>
          <w:sz w:val="20"/>
          <w:szCs w:val="20"/>
        </w:rPr>
        <w:t>e</w:t>
      </w:r>
      <w:r w:rsidRPr="0033392D">
        <w:rPr>
          <w:rFonts w:ascii="Arial" w:hAnsi="Arial" w:cs="Arial"/>
          <w:sz w:val="20"/>
          <w:szCs w:val="20"/>
        </w:rPr>
        <w:t xml:space="preserve"> </w:t>
      </w:r>
      <w:r w:rsidR="000503E2">
        <w:rPr>
          <w:rFonts w:ascii="Arial" w:hAnsi="Arial" w:cs="Arial"/>
          <w:sz w:val="20"/>
          <w:szCs w:val="20"/>
        </w:rPr>
        <w:t xml:space="preserve">appointee will work </w:t>
      </w:r>
      <w:r w:rsidR="00FD0F5D">
        <w:rPr>
          <w:rFonts w:ascii="Arial" w:hAnsi="Arial" w:cs="Arial"/>
          <w:sz w:val="20"/>
          <w:szCs w:val="20"/>
        </w:rPr>
        <w:t>with both the</w:t>
      </w:r>
      <w:r w:rsidR="000503E2">
        <w:rPr>
          <w:rFonts w:ascii="Arial" w:hAnsi="Arial" w:cs="Arial"/>
          <w:sz w:val="20"/>
          <w:szCs w:val="20"/>
        </w:rPr>
        <w:t xml:space="preserve"> </w:t>
      </w:r>
      <w:r w:rsidR="00E67C7B">
        <w:rPr>
          <w:rFonts w:ascii="Arial" w:hAnsi="Arial" w:cs="Arial"/>
          <w:sz w:val="20"/>
          <w:szCs w:val="20"/>
        </w:rPr>
        <w:t>inter</w:t>
      </w:r>
      <w:r w:rsidR="000503E2">
        <w:rPr>
          <w:rFonts w:ascii="Arial" w:hAnsi="Arial" w:cs="Arial"/>
          <w:sz w:val="20"/>
          <w:szCs w:val="20"/>
        </w:rPr>
        <w:t>-disciplinary</w:t>
      </w:r>
      <w:r w:rsidR="00FD0F5D">
        <w:rPr>
          <w:rFonts w:ascii="Arial" w:hAnsi="Arial" w:cs="Arial"/>
          <w:sz w:val="20"/>
          <w:szCs w:val="20"/>
        </w:rPr>
        <w:t xml:space="preserve"> DT4H</w:t>
      </w:r>
      <w:r w:rsidR="00F07103">
        <w:rPr>
          <w:rFonts w:ascii="Arial" w:hAnsi="Arial" w:cs="Arial"/>
          <w:sz w:val="20"/>
          <w:szCs w:val="20"/>
        </w:rPr>
        <w:t xml:space="preserve"> </w:t>
      </w:r>
      <w:r w:rsidR="000503E2">
        <w:rPr>
          <w:rFonts w:ascii="Arial" w:hAnsi="Arial" w:cs="Arial"/>
          <w:sz w:val="20"/>
          <w:szCs w:val="20"/>
        </w:rPr>
        <w:t xml:space="preserve">team </w:t>
      </w:r>
      <w:r w:rsidR="00BB21F6">
        <w:rPr>
          <w:rFonts w:ascii="Arial" w:hAnsi="Arial" w:cs="Arial"/>
          <w:sz w:val="20"/>
          <w:szCs w:val="20"/>
        </w:rPr>
        <w:t xml:space="preserve">led by Prof Wendy Chapman </w:t>
      </w:r>
      <w:r w:rsidR="00FD0F5D">
        <w:rPr>
          <w:rFonts w:ascii="Arial" w:hAnsi="Arial" w:cs="Arial"/>
          <w:sz w:val="20"/>
          <w:szCs w:val="20"/>
        </w:rPr>
        <w:t>and the</w:t>
      </w:r>
      <w:r w:rsidR="00771FCE">
        <w:rPr>
          <w:rFonts w:ascii="Arial" w:hAnsi="Arial" w:cs="Arial"/>
          <w:sz w:val="20"/>
          <w:szCs w:val="20"/>
        </w:rPr>
        <w:t xml:space="preserve"> </w:t>
      </w:r>
      <w:r w:rsidR="00771FCE" w:rsidRPr="00771FCE">
        <w:rPr>
          <w:rFonts w:ascii="Arial" w:hAnsi="Arial" w:cs="Arial"/>
          <w:sz w:val="20"/>
          <w:szCs w:val="20"/>
        </w:rPr>
        <w:t>Melbourne Health Technology and Value Assessment Collaborative</w:t>
      </w:r>
      <w:r w:rsidR="00391D4A">
        <w:rPr>
          <w:rFonts w:ascii="Arial" w:hAnsi="Arial" w:cs="Arial"/>
          <w:sz w:val="20"/>
          <w:szCs w:val="20"/>
        </w:rPr>
        <w:t xml:space="preserve"> </w:t>
      </w:r>
      <w:r w:rsidR="00771FCE">
        <w:rPr>
          <w:rFonts w:ascii="Arial" w:hAnsi="Arial" w:cs="Arial"/>
          <w:sz w:val="20"/>
          <w:szCs w:val="20"/>
        </w:rPr>
        <w:t>(</w:t>
      </w:r>
      <w:r w:rsidR="00771FCE" w:rsidRPr="00771FCE">
        <w:rPr>
          <w:rFonts w:ascii="Arial" w:hAnsi="Arial" w:cs="Arial"/>
          <w:sz w:val="20"/>
          <w:szCs w:val="20"/>
        </w:rPr>
        <w:t>M-VAC</w:t>
      </w:r>
      <w:r w:rsidR="00771FCE">
        <w:rPr>
          <w:rFonts w:ascii="Arial" w:hAnsi="Arial" w:cs="Arial"/>
          <w:sz w:val="20"/>
          <w:szCs w:val="20"/>
        </w:rPr>
        <w:t xml:space="preserve">) </w:t>
      </w:r>
      <w:r w:rsidR="00487473">
        <w:rPr>
          <w:rFonts w:ascii="Arial" w:hAnsi="Arial" w:cs="Arial"/>
          <w:sz w:val="20"/>
          <w:szCs w:val="20"/>
        </w:rPr>
        <w:t>co-</w:t>
      </w:r>
      <w:r w:rsidR="001F37AD">
        <w:rPr>
          <w:rFonts w:ascii="Arial" w:hAnsi="Arial" w:cs="Arial"/>
          <w:sz w:val="20"/>
          <w:szCs w:val="20"/>
        </w:rPr>
        <w:t xml:space="preserve">led by Prof Adam Elshaug </w:t>
      </w:r>
      <w:r w:rsidR="00FD0F5D">
        <w:rPr>
          <w:rFonts w:ascii="Arial" w:hAnsi="Arial" w:cs="Arial"/>
          <w:sz w:val="20"/>
          <w:szCs w:val="20"/>
        </w:rPr>
        <w:t xml:space="preserve">in the </w:t>
      </w:r>
      <w:r w:rsidR="00391D4A">
        <w:rPr>
          <w:rFonts w:ascii="Arial" w:hAnsi="Arial" w:cs="Arial"/>
          <w:sz w:val="20"/>
          <w:szCs w:val="20"/>
        </w:rPr>
        <w:t>Melbourne School of Population and Global Health</w:t>
      </w:r>
      <w:r w:rsidR="00623EAA">
        <w:rPr>
          <w:rFonts w:ascii="Arial" w:hAnsi="Arial" w:cs="Arial"/>
          <w:color w:val="000000" w:themeColor="text1"/>
          <w:sz w:val="20"/>
          <w:szCs w:val="20"/>
        </w:rPr>
        <w:t>.</w:t>
      </w:r>
      <w:r w:rsidR="0033392D" w:rsidRPr="0033392D">
        <w:rPr>
          <w:rFonts w:ascii="Arial" w:hAnsi="Arial" w:cs="Arial"/>
          <w:color w:val="000000" w:themeColor="text1"/>
          <w:sz w:val="20"/>
          <w:szCs w:val="20"/>
        </w:rPr>
        <w:t xml:space="preserve"> </w:t>
      </w:r>
      <w:r w:rsidR="000503E2">
        <w:rPr>
          <w:rFonts w:ascii="Arial" w:hAnsi="Arial" w:cs="Arial"/>
          <w:color w:val="000000" w:themeColor="text1"/>
          <w:sz w:val="20"/>
          <w:szCs w:val="20"/>
        </w:rPr>
        <w:t>They will be responsible for</w:t>
      </w:r>
      <w:r w:rsidR="008C2B1A">
        <w:rPr>
          <w:rFonts w:ascii="Arial" w:hAnsi="Arial" w:cs="Arial"/>
          <w:color w:val="000000" w:themeColor="text1"/>
          <w:sz w:val="20"/>
          <w:szCs w:val="20"/>
        </w:rPr>
        <w:t xml:space="preserve"> </w:t>
      </w:r>
      <w:r w:rsidR="004766AA">
        <w:rPr>
          <w:rFonts w:ascii="Arial" w:hAnsi="Arial" w:cs="Arial"/>
          <w:color w:val="000000" w:themeColor="text1"/>
          <w:sz w:val="20"/>
          <w:szCs w:val="20"/>
        </w:rPr>
        <w:t>developing</w:t>
      </w:r>
      <w:r w:rsidR="002120A3">
        <w:rPr>
          <w:rFonts w:ascii="Arial" w:hAnsi="Arial" w:cs="Arial"/>
          <w:color w:val="000000" w:themeColor="text1"/>
          <w:sz w:val="20"/>
          <w:szCs w:val="20"/>
        </w:rPr>
        <w:t xml:space="preserve">, implementing and </w:t>
      </w:r>
      <w:r w:rsidR="00FB32B9">
        <w:rPr>
          <w:rFonts w:ascii="Arial" w:hAnsi="Arial" w:cs="Arial"/>
          <w:color w:val="000000" w:themeColor="text1"/>
          <w:sz w:val="20"/>
          <w:szCs w:val="20"/>
        </w:rPr>
        <w:t>evaluating</w:t>
      </w:r>
      <w:r w:rsidR="002120A3">
        <w:rPr>
          <w:rFonts w:ascii="Arial" w:hAnsi="Arial" w:cs="Arial"/>
          <w:color w:val="000000" w:themeColor="text1"/>
          <w:sz w:val="20"/>
          <w:szCs w:val="20"/>
        </w:rPr>
        <w:t xml:space="preserve"> a</w:t>
      </w:r>
      <w:r w:rsidR="00883D32">
        <w:rPr>
          <w:rFonts w:ascii="Arial" w:hAnsi="Arial" w:cs="Arial"/>
          <w:color w:val="000000" w:themeColor="text1"/>
          <w:sz w:val="20"/>
          <w:szCs w:val="20"/>
        </w:rPr>
        <w:t xml:space="preserve"> methodology for assessing digital health </w:t>
      </w:r>
      <w:r w:rsidR="00492317">
        <w:rPr>
          <w:rFonts w:ascii="Arial" w:hAnsi="Arial" w:cs="Arial"/>
          <w:color w:val="000000" w:themeColor="text1"/>
          <w:sz w:val="20"/>
          <w:szCs w:val="20"/>
        </w:rPr>
        <w:t xml:space="preserve">technologies, primarily </w:t>
      </w:r>
      <w:bookmarkStart w:id="1" w:name="_Hlk83238480"/>
      <w:r w:rsidR="00492317">
        <w:rPr>
          <w:rFonts w:ascii="Arial" w:hAnsi="Arial" w:cs="Arial"/>
          <w:color w:val="000000" w:themeColor="text1"/>
          <w:sz w:val="20"/>
          <w:szCs w:val="20"/>
        </w:rPr>
        <w:t xml:space="preserve">clinical decision support tools and </w:t>
      </w:r>
      <w:r w:rsidR="00175AC5">
        <w:rPr>
          <w:rFonts w:ascii="Arial" w:hAnsi="Arial" w:cs="Arial"/>
          <w:color w:val="000000" w:themeColor="text1"/>
          <w:sz w:val="20"/>
          <w:szCs w:val="20"/>
        </w:rPr>
        <w:t>applications that support remote patient monitoring</w:t>
      </w:r>
      <w:r w:rsidR="004703F9">
        <w:rPr>
          <w:rFonts w:ascii="Arial" w:hAnsi="Arial" w:cs="Arial"/>
          <w:color w:val="000000" w:themeColor="text1"/>
          <w:sz w:val="20"/>
          <w:szCs w:val="20"/>
        </w:rPr>
        <w:t>/</w:t>
      </w:r>
      <w:r w:rsidR="00175AC5">
        <w:rPr>
          <w:rFonts w:ascii="Arial" w:hAnsi="Arial" w:cs="Arial"/>
          <w:color w:val="000000" w:themeColor="text1"/>
          <w:sz w:val="20"/>
          <w:szCs w:val="20"/>
        </w:rPr>
        <w:t>virtual care</w:t>
      </w:r>
      <w:bookmarkEnd w:id="1"/>
      <w:r w:rsidR="00FB32B9">
        <w:rPr>
          <w:rFonts w:ascii="Arial" w:hAnsi="Arial" w:cs="Arial"/>
          <w:color w:val="000000" w:themeColor="text1"/>
          <w:sz w:val="20"/>
          <w:szCs w:val="20"/>
        </w:rPr>
        <w:t xml:space="preserve">, </w:t>
      </w:r>
      <w:r w:rsidR="008C289E">
        <w:rPr>
          <w:rFonts w:ascii="Arial" w:hAnsi="Arial" w:cs="Arial"/>
          <w:color w:val="000000" w:themeColor="text1"/>
          <w:sz w:val="20"/>
          <w:szCs w:val="20"/>
        </w:rPr>
        <w:t xml:space="preserve">to understand the </w:t>
      </w:r>
      <w:r w:rsidR="00487473">
        <w:rPr>
          <w:rFonts w:ascii="Arial" w:hAnsi="Arial" w:cs="Arial"/>
          <w:color w:val="000000" w:themeColor="text1"/>
          <w:sz w:val="20"/>
          <w:szCs w:val="20"/>
        </w:rPr>
        <w:t>value proposition</w:t>
      </w:r>
      <w:r w:rsidR="008C289E">
        <w:rPr>
          <w:rFonts w:ascii="Arial" w:hAnsi="Arial" w:cs="Arial"/>
          <w:color w:val="000000" w:themeColor="text1"/>
          <w:sz w:val="20"/>
          <w:szCs w:val="20"/>
        </w:rPr>
        <w:t xml:space="preserve"> of a digital health solution</w:t>
      </w:r>
      <w:r w:rsidR="00042EB1">
        <w:rPr>
          <w:rFonts w:ascii="Arial" w:hAnsi="Arial" w:cs="Arial"/>
          <w:color w:val="000000" w:themeColor="text1"/>
          <w:sz w:val="20"/>
          <w:szCs w:val="20"/>
        </w:rPr>
        <w:t xml:space="preserve"> </w:t>
      </w:r>
      <w:r w:rsidR="00C63133">
        <w:rPr>
          <w:rFonts w:ascii="Arial" w:hAnsi="Arial" w:cs="Arial"/>
          <w:color w:val="000000" w:themeColor="text1"/>
          <w:sz w:val="20"/>
          <w:szCs w:val="20"/>
        </w:rPr>
        <w:t xml:space="preserve">being developed and </w:t>
      </w:r>
      <w:r w:rsidR="007845D0">
        <w:rPr>
          <w:rFonts w:ascii="Arial" w:hAnsi="Arial" w:cs="Arial"/>
          <w:color w:val="000000" w:themeColor="text1"/>
          <w:sz w:val="20"/>
          <w:szCs w:val="20"/>
        </w:rPr>
        <w:t xml:space="preserve">validated through the Validitron. </w:t>
      </w:r>
      <w:r w:rsidR="00B71C4A">
        <w:rPr>
          <w:rFonts w:ascii="Arial" w:hAnsi="Arial" w:cs="Arial"/>
          <w:color w:val="000000" w:themeColor="text1"/>
          <w:sz w:val="20"/>
          <w:szCs w:val="20"/>
        </w:rPr>
        <w:t xml:space="preserve">Experience in health technology assessment is essential. </w:t>
      </w:r>
      <w:r w:rsidR="00D7322E">
        <w:rPr>
          <w:rFonts w:ascii="Arial" w:hAnsi="Arial" w:cs="Arial"/>
          <w:color w:val="000000" w:themeColor="text1"/>
          <w:sz w:val="20"/>
          <w:szCs w:val="20"/>
        </w:rPr>
        <w:t>Technology a</w:t>
      </w:r>
      <w:r w:rsidR="000B574C" w:rsidRPr="000B574C">
        <w:rPr>
          <w:rFonts w:ascii="Arial" w:hAnsi="Arial" w:cs="Arial"/>
          <w:color w:val="000000" w:themeColor="text1"/>
          <w:sz w:val="20"/>
          <w:szCs w:val="20"/>
        </w:rPr>
        <w:t xml:space="preserve">ssessment </w:t>
      </w:r>
      <w:r w:rsidR="000B574C">
        <w:rPr>
          <w:rFonts w:ascii="Arial" w:hAnsi="Arial" w:cs="Arial"/>
          <w:color w:val="000000" w:themeColor="text1"/>
          <w:sz w:val="20"/>
          <w:szCs w:val="20"/>
        </w:rPr>
        <w:t>will include modelling</w:t>
      </w:r>
      <w:r w:rsidR="000B574C" w:rsidRPr="000B574C">
        <w:rPr>
          <w:rFonts w:ascii="Arial" w:hAnsi="Arial" w:cs="Arial"/>
          <w:color w:val="000000" w:themeColor="text1"/>
          <w:sz w:val="20"/>
          <w:szCs w:val="20"/>
        </w:rPr>
        <w:t xml:space="preserve"> the clinical and health system outcomes that are important to payers, patients and clinicians so that these factors are built into the design of the digital health application as early as possible. By understanding value drivers from the perspective of each group of stakeholders, developers will be able to plan a feasible business model and predict the potential return-on-investment (ROI) of further development of each application</w:t>
      </w:r>
      <w:r w:rsidR="00E95DB4">
        <w:rPr>
          <w:rFonts w:ascii="Arial" w:hAnsi="Arial" w:cs="Arial"/>
          <w:color w:val="000000" w:themeColor="text1"/>
          <w:sz w:val="20"/>
          <w:szCs w:val="20"/>
        </w:rPr>
        <w:t>.</w:t>
      </w:r>
      <w:r w:rsidR="001A74F7">
        <w:rPr>
          <w:rFonts w:ascii="Arial" w:hAnsi="Arial" w:cs="Arial"/>
          <w:color w:val="000000" w:themeColor="text1"/>
          <w:sz w:val="20"/>
          <w:szCs w:val="20"/>
        </w:rPr>
        <w:t xml:space="preserve"> </w:t>
      </w:r>
      <w:r w:rsidR="00FA0C0F">
        <w:rPr>
          <w:rFonts w:ascii="Arial" w:hAnsi="Arial" w:cs="Arial"/>
          <w:color w:val="000000" w:themeColor="text1"/>
          <w:sz w:val="20"/>
          <w:szCs w:val="20"/>
        </w:rPr>
        <w:t>Outcome measures will also inform the design</w:t>
      </w:r>
      <w:r w:rsidR="00964142">
        <w:rPr>
          <w:rFonts w:ascii="Arial" w:hAnsi="Arial" w:cs="Arial"/>
          <w:color w:val="000000" w:themeColor="text1"/>
          <w:sz w:val="20"/>
          <w:szCs w:val="20"/>
        </w:rPr>
        <w:t xml:space="preserve"> of evaluation protocols</w:t>
      </w:r>
      <w:r w:rsidR="00D244E1">
        <w:rPr>
          <w:rFonts w:ascii="Arial" w:hAnsi="Arial" w:cs="Arial"/>
          <w:color w:val="000000" w:themeColor="text1"/>
          <w:sz w:val="20"/>
          <w:szCs w:val="20"/>
        </w:rPr>
        <w:t xml:space="preserve"> for </w:t>
      </w:r>
      <w:r w:rsidR="00D244E1" w:rsidRPr="00D244E1">
        <w:rPr>
          <w:rFonts w:ascii="Arial" w:hAnsi="Arial" w:cs="Arial"/>
          <w:color w:val="000000" w:themeColor="text1"/>
          <w:sz w:val="20"/>
          <w:szCs w:val="20"/>
        </w:rPr>
        <w:t xml:space="preserve">clinical </w:t>
      </w:r>
      <w:r w:rsidR="00447176" w:rsidRPr="00D244E1">
        <w:rPr>
          <w:rFonts w:ascii="Arial" w:hAnsi="Arial" w:cs="Arial"/>
          <w:color w:val="000000" w:themeColor="text1"/>
          <w:sz w:val="20"/>
          <w:szCs w:val="20"/>
        </w:rPr>
        <w:t>eff</w:t>
      </w:r>
      <w:r w:rsidR="00447176">
        <w:rPr>
          <w:rFonts w:ascii="Arial" w:hAnsi="Arial" w:cs="Arial"/>
          <w:color w:val="000000" w:themeColor="text1"/>
          <w:sz w:val="20"/>
          <w:szCs w:val="20"/>
        </w:rPr>
        <w:t>ectiveness</w:t>
      </w:r>
      <w:r w:rsidR="00447176" w:rsidRPr="00D244E1">
        <w:rPr>
          <w:rFonts w:ascii="Arial" w:hAnsi="Arial" w:cs="Arial"/>
          <w:color w:val="000000" w:themeColor="text1"/>
          <w:sz w:val="20"/>
          <w:szCs w:val="20"/>
        </w:rPr>
        <w:t xml:space="preserve"> </w:t>
      </w:r>
      <w:r w:rsidR="00D244E1" w:rsidRPr="00D244E1">
        <w:rPr>
          <w:rFonts w:ascii="Arial" w:hAnsi="Arial" w:cs="Arial"/>
          <w:color w:val="000000" w:themeColor="text1"/>
          <w:sz w:val="20"/>
          <w:szCs w:val="20"/>
        </w:rPr>
        <w:t xml:space="preserve">and trialling of implementation strategies to generate evidence </w:t>
      </w:r>
      <w:r w:rsidR="00FB7A28">
        <w:rPr>
          <w:rFonts w:ascii="Arial" w:hAnsi="Arial" w:cs="Arial"/>
          <w:color w:val="000000" w:themeColor="text1"/>
          <w:sz w:val="20"/>
          <w:szCs w:val="20"/>
        </w:rPr>
        <w:t>that supports adoption</w:t>
      </w:r>
      <w:r w:rsidR="00E76D48">
        <w:rPr>
          <w:rFonts w:ascii="Arial" w:hAnsi="Arial" w:cs="Arial"/>
          <w:color w:val="000000" w:themeColor="text1"/>
          <w:sz w:val="20"/>
          <w:szCs w:val="20"/>
        </w:rPr>
        <w:t xml:space="preserve"> and </w:t>
      </w:r>
      <w:r w:rsidR="00FB7A28">
        <w:rPr>
          <w:rFonts w:ascii="Arial" w:hAnsi="Arial" w:cs="Arial"/>
          <w:color w:val="000000" w:themeColor="text1"/>
          <w:sz w:val="20"/>
          <w:szCs w:val="20"/>
        </w:rPr>
        <w:t>sustainability</w:t>
      </w:r>
      <w:r w:rsidR="00D26E3B">
        <w:rPr>
          <w:rFonts w:ascii="Arial" w:hAnsi="Arial" w:cs="Arial"/>
          <w:color w:val="000000" w:themeColor="text1"/>
          <w:sz w:val="20"/>
          <w:szCs w:val="20"/>
        </w:rPr>
        <w:t>,</w:t>
      </w:r>
      <w:r w:rsidR="00FB7A28">
        <w:rPr>
          <w:rFonts w:ascii="Arial" w:hAnsi="Arial" w:cs="Arial"/>
          <w:color w:val="000000" w:themeColor="text1"/>
          <w:sz w:val="20"/>
          <w:szCs w:val="20"/>
        </w:rPr>
        <w:t xml:space="preserve"> and </w:t>
      </w:r>
      <w:r w:rsidR="00D26E3B" w:rsidRPr="00D26E3B">
        <w:rPr>
          <w:rFonts w:ascii="Arial" w:hAnsi="Arial" w:cs="Arial"/>
          <w:color w:val="000000" w:themeColor="text1"/>
          <w:sz w:val="20"/>
          <w:szCs w:val="20"/>
        </w:rPr>
        <w:t>regulatory and reimbursement approval</w:t>
      </w:r>
      <w:r w:rsidR="00E76D48">
        <w:rPr>
          <w:rFonts w:ascii="Arial" w:hAnsi="Arial" w:cs="Arial"/>
          <w:color w:val="000000" w:themeColor="text1"/>
          <w:sz w:val="20"/>
          <w:szCs w:val="20"/>
        </w:rPr>
        <w:t xml:space="preserve"> if required</w:t>
      </w:r>
      <w:r w:rsidR="00D244E1" w:rsidRPr="00D244E1">
        <w:rPr>
          <w:rFonts w:ascii="Arial" w:hAnsi="Arial" w:cs="Arial"/>
          <w:color w:val="000000" w:themeColor="text1"/>
          <w:sz w:val="20"/>
          <w:szCs w:val="20"/>
        </w:rPr>
        <w:t>.</w:t>
      </w:r>
    </w:p>
    <w:p w14:paraId="681E0829" w14:textId="77777777" w:rsidR="005C4551" w:rsidRDefault="00E95DB4" w:rsidP="0033392D">
      <w:pPr>
        <w:spacing w:before="120" w:after="120" w:line="280" w:lineRule="auto"/>
        <w:rPr>
          <w:rFonts w:ascii="Arial" w:hAnsi="Arial" w:cs="Arial"/>
          <w:color w:val="000000" w:themeColor="text1"/>
          <w:sz w:val="20"/>
          <w:szCs w:val="20"/>
        </w:rPr>
      </w:pPr>
      <w:r>
        <w:rPr>
          <w:rFonts w:ascii="Arial" w:hAnsi="Arial" w:cs="Arial"/>
          <w:color w:val="000000" w:themeColor="text1"/>
          <w:sz w:val="20"/>
          <w:szCs w:val="20"/>
        </w:rPr>
        <w:t xml:space="preserve">The ideal candidate will have </w:t>
      </w:r>
    </w:p>
    <w:p w14:paraId="267AC9F7" w14:textId="02D5E218" w:rsidR="005C4551" w:rsidRDefault="00E95DB4" w:rsidP="005C4551">
      <w:pPr>
        <w:pStyle w:val="ListParagraph"/>
        <w:numPr>
          <w:ilvl w:val="0"/>
          <w:numId w:val="24"/>
        </w:numPr>
        <w:spacing w:before="120" w:after="120" w:line="280" w:lineRule="auto"/>
        <w:rPr>
          <w:rFonts w:ascii="Arial" w:hAnsi="Arial" w:cs="Arial"/>
          <w:color w:val="000000" w:themeColor="text1"/>
          <w:sz w:val="20"/>
          <w:szCs w:val="20"/>
        </w:rPr>
      </w:pPr>
      <w:r w:rsidRPr="00BB21F6">
        <w:rPr>
          <w:rFonts w:ascii="Arial" w:hAnsi="Arial" w:cs="Arial"/>
          <w:color w:val="000000" w:themeColor="text1"/>
          <w:sz w:val="20"/>
          <w:szCs w:val="20"/>
        </w:rPr>
        <w:t xml:space="preserve">demonstrated </w:t>
      </w:r>
      <w:r w:rsidR="005869AA" w:rsidRPr="00BB21F6">
        <w:rPr>
          <w:rFonts w:ascii="Arial" w:hAnsi="Arial" w:cs="Arial"/>
          <w:color w:val="000000" w:themeColor="text1"/>
          <w:sz w:val="20"/>
          <w:szCs w:val="20"/>
        </w:rPr>
        <w:t xml:space="preserve">skills </w:t>
      </w:r>
      <w:r w:rsidRPr="00BB21F6">
        <w:rPr>
          <w:rFonts w:ascii="Arial" w:hAnsi="Arial" w:cs="Arial"/>
          <w:color w:val="000000" w:themeColor="text1"/>
          <w:sz w:val="20"/>
          <w:szCs w:val="20"/>
        </w:rPr>
        <w:t xml:space="preserve">and experience in </w:t>
      </w:r>
      <w:r w:rsidR="00D7322E">
        <w:rPr>
          <w:rFonts w:ascii="Arial" w:hAnsi="Arial" w:cs="Arial"/>
          <w:color w:val="000000" w:themeColor="text1"/>
          <w:sz w:val="20"/>
          <w:szCs w:val="20"/>
        </w:rPr>
        <w:t xml:space="preserve">health technology </w:t>
      </w:r>
      <w:proofErr w:type="spellStart"/>
      <w:r w:rsidR="00D7322E">
        <w:rPr>
          <w:rFonts w:ascii="Arial" w:hAnsi="Arial" w:cs="Arial"/>
          <w:color w:val="000000" w:themeColor="text1"/>
          <w:sz w:val="20"/>
          <w:szCs w:val="20"/>
        </w:rPr>
        <w:t>assssement</w:t>
      </w:r>
      <w:proofErr w:type="spellEnd"/>
      <w:r w:rsidR="00D7322E">
        <w:rPr>
          <w:rFonts w:ascii="Arial" w:hAnsi="Arial" w:cs="Arial"/>
          <w:color w:val="000000" w:themeColor="text1"/>
          <w:sz w:val="20"/>
          <w:szCs w:val="20"/>
        </w:rPr>
        <w:t xml:space="preserve"> which includes </w:t>
      </w:r>
      <w:r w:rsidR="00C74D2A" w:rsidRPr="00BB21F6">
        <w:rPr>
          <w:rFonts w:ascii="Arial" w:hAnsi="Arial" w:cs="Arial"/>
          <w:color w:val="000000" w:themeColor="text1"/>
          <w:sz w:val="20"/>
          <w:szCs w:val="20"/>
        </w:rPr>
        <w:t xml:space="preserve">analytical and modelling </w:t>
      </w:r>
      <w:r w:rsidR="00D7322E">
        <w:rPr>
          <w:rFonts w:ascii="Arial" w:hAnsi="Arial" w:cs="Arial"/>
          <w:color w:val="000000" w:themeColor="text1"/>
          <w:sz w:val="20"/>
          <w:szCs w:val="20"/>
        </w:rPr>
        <w:t>skills</w:t>
      </w:r>
      <w:r w:rsidR="00D7322E" w:rsidRPr="00BB21F6">
        <w:rPr>
          <w:rFonts w:ascii="Arial" w:hAnsi="Arial" w:cs="Arial"/>
          <w:color w:val="000000" w:themeColor="text1"/>
          <w:sz w:val="20"/>
          <w:szCs w:val="20"/>
        </w:rPr>
        <w:t xml:space="preserve"> </w:t>
      </w:r>
      <w:r w:rsidR="00C74D2A" w:rsidRPr="00BB21F6">
        <w:rPr>
          <w:rFonts w:ascii="Arial" w:hAnsi="Arial" w:cs="Arial"/>
          <w:color w:val="000000" w:themeColor="text1"/>
          <w:sz w:val="20"/>
          <w:szCs w:val="20"/>
        </w:rPr>
        <w:t>a</w:t>
      </w:r>
      <w:r w:rsidR="00DB0FEC" w:rsidRPr="00BB21F6">
        <w:rPr>
          <w:rFonts w:ascii="Arial" w:hAnsi="Arial" w:cs="Arial"/>
          <w:color w:val="000000" w:themeColor="text1"/>
          <w:sz w:val="20"/>
          <w:szCs w:val="20"/>
        </w:rPr>
        <w:t xml:space="preserve">pplied to </w:t>
      </w:r>
      <w:r w:rsidR="005869AA" w:rsidRPr="00BB21F6">
        <w:rPr>
          <w:rFonts w:ascii="Arial" w:hAnsi="Arial" w:cs="Arial"/>
          <w:color w:val="000000" w:themeColor="text1"/>
          <w:sz w:val="20"/>
          <w:szCs w:val="20"/>
        </w:rPr>
        <w:t>health economic</w:t>
      </w:r>
      <w:r w:rsidR="00DB0FEC" w:rsidRPr="00BB21F6">
        <w:rPr>
          <w:rFonts w:ascii="Arial" w:hAnsi="Arial" w:cs="Arial"/>
          <w:color w:val="000000" w:themeColor="text1"/>
          <w:sz w:val="20"/>
          <w:szCs w:val="20"/>
        </w:rPr>
        <w:t>s</w:t>
      </w:r>
      <w:r w:rsidR="005869AA" w:rsidRPr="00BB21F6">
        <w:rPr>
          <w:rFonts w:ascii="Arial" w:hAnsi="Arial" w:cs="Arial"/>
          <w:color w:val="000000" w:themeColor="text1"/>
          <w:sz w:val="20"/>
          <w:szCs w:val="20"/>
        </w:rPr>
        <w:t xml:space="preserve">, </w:t>
      </w:r>
      <w:r w:rsidR="001254DE" w:rsidRPr="00BB21F6">
        <w:rPr>
          <w:rFonts w:ascii="Arial" w:hAnsi="Arial" w:cs="Arial"/>
          <w:color w:val="000000" w:themeColor="text1"/>
          <w:sz w:val="20"/>
          <w:szCs w:val="20"/>
        </w:rPr>
        <w:t>health outcomes</w:t>
      </w:r>
      <w:r w:rsidR="00AE7D53" w:rsidRPr="00BB21F6">
        <w:rPr>
          <w:rFonts w:ascii="Arial" w:hAnsi="Arial" w:cs="Arial"/>
          <w:color w:val="000000" w:themeColor="text1"/>
          <w:sz w:val="20"/>
          <w:szCs w:val="20"/>
        </w:rPr>
        <w:t xml:space="preserve"> research, operations research</w:t>
      </w:r>
      <w:r w:rsidR="00441538" w:rsidRPr="00BB21F6">
        <w:rPr>
          <w:rFonts w:ascii="Arial" w:hAnsi="Arial" w:cs="Arial"/>
          <w:color w:val="000000" w:themeColor="text1"/>
          <w:sz w:val="20"/>
          <w:szCs w:val="20"/>
        </w:rPr>
        <w:t xml:space="preserve">, </w:t>
      </w:r>
      <w:r w:rsidR="005869AA" w:rsidRPr="00BB21F6">
        <w:rPr>
          <w:rFonts w:ascii="Arial" w:hAnsi="Arial" w:cs="Arial"/>
          <w:color w:val="000000" w:themeColor="text1"/>
          <w:sz w:val="20"/>
          <w:szCs w:val="20"/>
        </w:rPr>
        <w:t>epidemiology a</w:t>
      </w:r>
      <w:r w:rsidR="00C74D2A" w:rsidRPr="00BB21F6">
        <w:rPr>
          <w:rFonts w:ascii="Arial" w:hAnsi="Arial" w:cs="Arial"/>
          <w:color w:val="000000" w:themeColor="text1"/>
          <w:sz w:val="20"/>
          <w:szCs w:val="20"/>
        </w:rPr>
        <w:t>nd/or biostatistics</w:t>
      </w:r>
    </w:p>
    <w:p w14:paraId="109AC31D" w14:textId="7FCC9B02" w:rsidR="00462334" w:rsidRDefault="002E6FC9" w:rsidP="005C4551">
      <w:pPr>
        <w:pStyle w:val="ListParagraph"/>
        <w:numPr>
          <w:ilvl w:val="0"/>
          <w:numId w:val="24"/>
        </w:numPr>
        <w:spacing w:before="120" w:after="120" w:line="280" w:lineRule="auto"/>
        <w:rPr>
          <w:rFonts w:ascii="Arial" w:hAnsi="Arial" w:cs="Arial"/>
          <w:color w:val="000000" w:themeColor="text1"/>
          <w:sz w:val="20"/>
          <w:szCs w:val="20"/>
        </w:rPr>
      </w:pPr>
      <w:r w:rsidRPr="00BB21F6">
        <w:rPr>
          <w:rFonts w:ascii="Arial" w:hAnsi="Arial" w:cs="Arial"/>
          <w:color w:val="000000" w:themeColor="text1"/>
          <w:sz w:val="20"/>
          <w:szCs w:val="20"/>
        </w:rPr>
        <w:t xml:space="preserve">a </w:t>
      </w:r>
      <w:r w:rsidR="003F4854" w:rsidRPr="00BB21F6">
        <w:rPr>
          <w:rFonts w:ascii="Arial" w:hAnsi="Arial" w:cs="Arial"/>
          <w:color w:val="000000" w:themeColor="text1"/>
          <w:sz w:val="20"/>
          <w:szCs w:val="20"/>
        </w:rPr>
        <w:t>demonstrated understanding of the healthcare ecosystem and the role of digital health in improving patient experience and outcomes</w:t>
      </w:r>
      <w:r w:rsidR="00462334">
        <w:rPr>
          <w:rFonts w:ascii="Arial" w:hAnsi="Arial" w:cs="Arial"/>
          <w:color w:val="000000" w:themeColor="text1"/>
          <w:sz w:val="20"/>
          <w:szCs w:val="20"/>
        </w:rPr>
        <w:t>.</w:t>
      </w:r>
    </w:p>
    <w:p w14:paraId="67C839C9" w14:textId="0349A42F" w:rsidR="0033392D" w:rsidRPr="00BB21F6" w:rsidRDefault="0033392D" w:rsidP="00462334">
      <w:pPr>
        <w:spacing w:before="120" w:after="120" w:line="280" w:lineRule="auto"/>
        <w:rPr>
          <w:rFonts w:ascii="Arial" w:hAnsi="Arial" w:cs="Arial"/>
          <w:color w:val="000000" w:themeColor="text1"/>
          <w:sz w:val="20"/>
          <w:szCs w:val="20"/>
        </w:rPr>
      </w:pPr>
      <w:r w:rsidRPr="00BB21F6">
        <w:rPr>
          <w:rFonts w:ascii="Arial" w:hAnsi="Arial" w:cs="Arial"/>
          <w:color w:val="000000" w:themeColor="text1"/>
          <w:sz w:val="20"/>
          <w:szCs w:val="20"/>
        </w:rPr>
        <w:t xml:space="preserve">The successful candidate will be </w:t>
      </w:r>
      <w:r w:rsidR="008C2B1A" w:rsidRPr="00BB21F6">
        <w:rPr>
          <w:rFonts w:ascii="Arial" w:hAnsi="Arial" w:cs="Arial"/>
          <w:color w:val="000000" w:themeColor="text1"/>
          <w:sz w:val="20"/>
          <w:szCs w:val="20"/>
        </w:rPr>
        <w:t xml:space="preserve">a </w:t>
      </w:r>
      <w:proofErr w:type="spellStart"/>
      <w:r w:rsidR="008C2B1A" w:rsidRPr="00BB21F6">
        <w:rPr>
          <w:rFonts w:ascii="Arial" w:hAnsi="Arial" w:cs="Arial"/>
          <w:color w:val="000000" w:themeColor="text1"/>
          <w:sz w:val="20"/>
          <w:szCs w:val="20"/>
        </w:rPr>
        <w:t>self starter</w:t>
      </w:r>
      <w:proofErr w:type="spellEnd"/>
      <w:r w:rsidR="008C2B1A" w:rsidRPr="00BB21F6">
        <w:rPr>
          <w:rFonts w:ascii="Arial" w:hAnsi="Arial" w:cs="Arial"/>
          <w:color w:val="000000" w:themeColor="text1"/>
          <w:sz w:val="20"/>
          <w:szCs w:val="20"/>
        </w:rPr>
        <w:t xml:space="preserve"> with the personal attributes and organisational skills to </w:t>
      </w:r>
      <w:r w:rsidR="0021009B" w:rsidRPr="00BB21F6">
        <w:rPr>
          <w:rFonts w:ascii="Arial" w:hAnsi="Arial" w:cs="Arial"/>
          <w:color w:val="000000" w:themeColor="text1"/>
          <w:sz w:val="20"/>
          <w:szCs w:val="20"/>
        </w:rPr>
        <w:t xml:space="preserve">bridge the two </w:t>
      </w:r>
      <w:r w:rsidR="00356973" w:rsidRPr="00BB21F6">
        <w:rPr>
          <w:rFonts w:ascii="Arial" w:hAnsi="Arial" w:cs="Arial"/>
          <w:color w:val="000000" w:themeColor="text1"/>
          <w:sz w:val="20"/>
          <w:szCs w:val="20"/>
        </w:rPr>
        <w:t>academic,</w:t>
      </w:r>
      <w:r w:rsidR="008C2B1A" w:rsidRPr="00BB21F6">
        <w:rPr>
          <w:rFonts w:ascii="Arial" w:hAnsi="Arial" w:cs="Arial"/>
          <w:color w:val="000000" w:themeColor="text1"/>
          <w:sz w:val="20"/>
          <w:szCs w:val="20"/>
        </w:rPr>
        <w:t xml:space="preserve"> </w:t>
      </w:r>
      <w:r w:rsidR="00E67C7B">
        <w:rPr>
          <w:rFonts w:ascii="Arial" w:hAnsi="Arial" w:cs="Arial"/>
          <w:color w:val="000000" w:themeColor="text1"/>
          <w:sz w:val="20"/>
          <w:szCs w:val="20"/>
        </w:rPr>
        <w:t>inter</w:t>
      </w:r>
      <w:r w:rsidR="008C2B1A" w:rsidRPr="00BB21F6">
        <w:rPr>
          <w:rFonts w:ascii="Arial" w:hAnsi="Arial" w:cs="Arial"/>
          <w:color w:val="000000" w:themeColor="text1"/>
          <w:sz w:val="20"/>
          <w:szCs w:val="20"/>
        </w:rPr>
        <w:t>-disciplinary team</w:t>
      </w:r>
      <w:r w:rsidR="0021009B" w:rsidRPr="00BB21F6">
        <w:rPr>
          <w:rFonts w:ascii="Arial" w:hAnsi="Arial" w:cs="Arial"/>
          <w:color w:val="000000" w:themeColor="text1"/>
          <w:sz w:val="20"/>
          <w:szCs w:val="20"/>
        </w:rPr>
        <w:t>s</w:t>
      </w:r>
      <w:r w:rsidR="00FA37AD" w:rsidRPr="00BB21F6">
        <w:rPr>
          <w:rFonts w:ascii="Arial" w:hAnsi="Arial" w:cs="Arial"/>
          <w:color w:val="000000" w:themeColor="text1"/>
          <w:sz w:val="20"/>
          <w:szCs w:val="20"/>
        </w:rPr>
        <w:t xml:space="preserve"> in DT4H and </w:t>
      </w:r>
      <w:r w:rsidR="00961EE1" w:rsidRPr="00BB21F6">
        <w:rPr>
          <w:rFonts w:ascii="Arial" w:hAnsi="Arial" w:cs="Arial"/>
          <w:color w:val="000000" w:themeColor="text1"/>
          <w:sz w:val="20"/>
          <w:szCs w:val="20"/>
        </w:rPr>
        <w:t>M-VAC</w:t>
      </w:r>
      <w:r w:rsidRPr="00BB21F6">
        <w:rPr>
          <w:rFonts w:ascii="Arial" w:hAnsi="Arial" w:cs="Arial"/>
          <w:color w:val="000000" w:themeColor="text1"/>
          <w:sz w:val="20"/>
          <w:szCs w:val="20"/>
        </w:rPr>
        <w:t>.</w:t>
      </w:r>
    </w:p>
    <w:p w14:paraId="7BA5D7A8" w14:textId="340D4694" w:rsidR="00F35D89" w:rsidRPr="0033392D" w:rsidRDefault="009C7030" w:rsidP="00F35D89">
      <w:pPr>
        <w:pStyle w:val="infoheadings"/>
        <w:spacing w:before="120" w:after="120" w:line="276" w:lineRule="auto"/>
        <w:ind w:left="0" w:right="74"/>
        <w:jc w:val="both"/>
        <w:rPr>
          <w:rFonts w:ascii="Arial" w:hAnsi="Arial" w:cs="Arial"/>
          <w:color w:val="auto"/>
        </w:rPr>
      </w:pPr>
      <w:r>
        <w:rPr>
          <w:rFonts w:ascii="Arial" w:hAnsi="Arial" w:cs="Arial"/>
          <w:color w:val="auto"/>
        </w:rPr>
        <w:t xml:space="preserve">The </w:t>
      </w:r>
      <w:r w:rsidR="00356973" w:rsidRPr="00356973">
        <w:rPr>
          <w:rFonts w:ascii="Arial" w:hAnsi="Arial" w:cs="Arial"/>
          <w:color w:val="auto"/>
        </w:rPr>
        <w:t>Centre for Digital Transformation of Health</w:t>
      </w:r>
      <w:r w:rsidR="00F35D89" w:rsidRPr="0033392D">
        <w:rPr>
          <w:rFonts w:ascii="Arial" w:hAnsi="Arial" w:cs="Arial"/>
          <w:color w:val="auto"/>
        </w:rPr>
        <w:t xml:space="preserve"> </w:t>
      </w:r>
      <w:r>
        <w:rPr>
          <w:rFonts w:ascii="Arial" w:hAnsi="Arial" w:cs="Arial"/>
          <w:color w:val="auto"/>
        </w:rPr>
        <w:t>seeks to realise its vision of connected health t</w:t>
      </w:r>
      <w:r w:rsidRPr="009C7030">
        <w:rPr>
          <w:rFonts w:ascii="Arial" w:hAnsi="Arial" w:cs="Arial"/>
          <w:color w:val="auto"/>
        </w:rPr>
        <w:t>hrough bringing together researchers, educators, healthcare and digital health professionals, patients and the public,</w:t>
      </w:r>
      <w:r>
        <w:rPr>
          <w:rFonts w:ascii="Arial" w:hAnsi="Arial" w:cs="Arial"/>
          <w:color w:val="auto"/>
        </w:rPr>
        <w:t xml:space="preserve"> to</w:t>
      </w:r>
      <w:r w:rsidRPr="009C7030">
        <w:rPr>
          <w:rFonts w:ascii="Arial" w:hAnsi="Arial" w:cs="Arial"/>
          <w:color w:val="auto"/>
        </w:rPr>
        <w:t xml:space="preserve"> focus on translation of digital health </w:t>
      </w:r>
      <w:r w:rsidR="003F4854">
        <w:rPr>
          <w:rFonts w:ascii="Arial" w:hAnsi="Arial" w:cs="Arial"/>
          <w:color w:val="auto"/>
        </w:rPr>
        <w:t>applications</w:t>
      </w:r>
      <w:r w:rsidRPr="009C7030">
        <w:rPr>
          <w:rFonts w:ascii="Arial" w:hAnsi="Arial" w:cs="Arial"/>
          <w:color w:val="auto"/>
        </w:rPr>
        <w:t xml:space="preserve"> into clinical practice </w:t>
      </w:r>
      <w:r w:rsidR="003F4854">
        <w:rPr>
          <w:rFonts w:ascii="Arial" w:hAnsi="Arial" w:cs="Arial"/>
          <w:color w:val="auto"/>
        </w:rPr>
        <w:t>and</w:t>
      </w:r>
      <w:r w:rsidRPr="009C7030">
        <w:rPr>
          <w:rFonts w:ascii="Arial" w:hAnsi="Arial" w:cs="Arial"/>
          <w:color w:val="auto"/>
        </w:rPr>
        <w:t xml:space="preserve"> enable a future where the healthcare system is transformed through digital health innovation.</w:t>
      </w:r>
      <w:r>
        <w:rPr>
          <w:rFonts w:ascii="Arial" w:hAnsi="Arial" w:cs="Arial"/>
          <w:color w:val="auto"/>
        </w:rPr>
        <w:t xml:space="preserve"> It aims to </w:t>
      </w:r>
      <w:r w:rsidRPr="009C7030">
        <w:rPr>
          <w:rFonts w:ascii="Arial" w:hAnsi="Arial" w:cs="Arial"/>
          <w:color w:val="auto"/>
        </w:rPr>
        <w:t>significantly grow the field of digital health research at the University of Melbourne through creating the right environment for the type of inter-disciplinary, collaborative research that correlates with research excellence and impact to flourish.</w:t>
      </w:r>
    </w:p>
    <w:p w14:paraId="07A1B4FC" w14:textId="77777777" w:rsidR="00275E8A" w:rsidRPr="009C300E" w:rsidRDefault="00275E8A" w:rsidP="00ED4E51">
      <w:pPr>
        <w:pStyle w:val="Heading1"/>
      </w:pPr>
      <w:r w:rsidRPr="009C300E">
        <w:t>Key Responsibilities</w:t>
      </w:r>
    </w:p>
    <w:p w14:paraId="61A8E8A8" w14:textId="77777777" w:rsidR="0057787A" w:rsidRPr="004B7503" w:rsidRDefault="00D333C2" w:rsidP="00ED4E51">
      <w:pPr>
        <w:pStyle w:val="Heading2"/>
      </w:pPr>
      <w:r w:rsidRPr="00C85192">
        <w:t>research</w:t>
      </w:r>
      <w:r>
        <w:t xml:space="preserve"> and research training</w:t>
      </w:r>
    </w:p>
    <w:p w14:paraId="520EB471" w14:textId="2AF4148A" w:rsidR="00D9770A" w:rsidRDefault="005B4E95" w:rsidP="0057787A">
      <w:pPr>
        <w:pStyle w:val="ListBullet"/>
        <w:tabs>
          <w:tab w:val="clear" w:pos="720"/>
          <w:tab w:val="num" w:pos="540"/>
        </w:tabs>
        <w:ind w:left="540"/>
      </w:pPr>
      <w:r>
        <w:t>Working with team members</w:t>
      </w:r>
      <w:r w:rsidR="00463097">
        <w:t xml:space="preserve"> with sociotechnical evaluation expertise, develop</w:t>
      </w:r>
      <w:r w:rsidR="00CC721F">
        <w:t xml:space="preserve"> and validate an assessment framework and methodologies</w:t>
      </w:r>
      <w:r w:rsidR="001F504C">
        <w:t>, using validated ins</w:t>
      </w:r>
      <w:r w:rsidR="00002E0A">
        <w:t>truments, to assess the potential</w:t>
      </w:r>
      <w:r w:rsidR="001B13D3">
        <w:t xml:space="preserve"> value of a digital health innovation and inform</w:t>
      </w:r>
      <w:r w:rsidR="00582E9F">
        <w:t xml:space="preserve"> where and how it should enter the Validitron development and validation pipeline</w:t>
      </w:r>
      <w:r w:rsidR="00AD40C6">
        <w:t>.</w:t>
      </w:r>
    </w:p>
    <w:p w14:paraId="0BC8C65F" w14:textId="12DBF3BB" w:rsidR="0092792F" w:rsidRDefault="00AD40C6" w:rsidP="0057787A">
      <w:pPr>
        <w:pStyle w:val="ListBullet"/>
        <w:tabs>
          <w:tab w:val="clear" w:pos="720"/>
          <w:tab w:val="num" w:pos="540"/>
        </w:tabs>
        <w:ind w:left="540"/>
      </w:pPr>
      <w:r>
        <w:t>Develop and validate new assessment instruments for digital health interventions where none are available</w:t>
      </w:r>
      <w:r w:rsidR="002C71C0">
        <w:t>.</w:t>
      </w:r>
    </w:p>
    <w:p w14:paraId="3F826023" w14:textId="57E47965" w:rsidR="00546129" w:rsidRDefault="002C71C0" w:rsidP="0057787A">
      <w:pPr>
        <w:pStyle w:val="ListBullet"/>
        <w:tabs>
          <w:tab w:val="clear" w:pos="720"/>
          <w:tab w:val="num" w:pos="540"/>
        </w:tabs>
        <w:ind w:left="540"/>
      </w:pPr>
      <w:r>
        <w:lastRenderedPageBreak/>
        <w:t xml:space="preserve">Carry out modelling of the </w:t>
      </w:r>
      <w:r w:rsidR="00697A60">
        <w:t>potential clinical outcomes</w:t>
      </w:r>
      <w:r w:rsidR="006B283F">
        <w:t xml:space="preserve"> for the patient population of</w:t>
      </w:r>
      <w:r w:rsidR="00546129">
        <w:t xml:space="preserve"> </w:t>
      </w:r>
      <w:r w:rsidR="002C63F4">
        <w:t>interest</w:t>
      </w:r>
      <w:r w:rsidR="001A6097">
        <w:t xml:space="preserve"> using retrospective clinical data</w:t>
      </w:r>
      <w:r w:rsidR="00D40D68">
        <w:t xml:space="preserve"> </w:t>
      </w:r>
      <w:proofErr w:type="gramStart"/>
      <w:r w:rsidR="00D40D68">
        <w:t>in order</w:t>
      </w:r>
      <w:r w:rsidR="00250840">
        <w:t xml:space="preserve"> to</w:t>
      </w:r>
      <w:proofErr w:type="gramEnd"/>
      <w:r w:rsidR="00250840">
        <w:t xml:space="preserve"> in</w:t>
      </w:r>
      <w:r w:rsidR="008C357A">
        <w:t xml:space="preserve">form the value proposition for digital health intervention of interest </w:t>
      </w:r>
      <w:r w:rsidR="00BF286F">
        <w:t>from the point of view of patients</w:t>
      </w:r>
      <w:r w:rsidR="00E67C7B">
        <w:t>, payers</w:t>
      </w:r>
      <w:r w:rsidR="00BF286F">
        <w:t xml:space="preserve"> and clinicians.</w:t>
      </w:r>
    </w:p>
    <w:p w14:paraId="3EE5ADEE" w14:textId="3B0A017E" w:rsidR="00BF286F" w:rsidRDefault="004642DD" w:rsidP="0057787A">
      <w:pPr>
        <w:pStyle w:val="ListBullet"/>
        <w:tabs>
          <w:tab w:val="clear" w:pos="720"/>
          <w:tab w:val="num" w:pos="540"/>
        </w:tabs>
        <w:ind w:left="540"/>
      </w:pPr>
      <w:r>
        <w:t xml:space="preserve">Guide trial design for digital health interventions </w:t>
      </w:r>
      <w:r w:rsidR="00A8263D">
        <w:t>including</w:t>
      </w:r>
      <w:r w:rsidR="00A8263D">
        <w:rPr>
          <w:spacing w:val="-8"/>
        </w:rPr>
        <w:t xml:space="preserve"> </w:t>
      </w:r>
      <w:r w:rsidR="00A8263D">
        <w:t>trial</w:t>
      </w:r>
      <w:r w:rsidR="00A8263D">
        <w:rPr>
          <w:spacing w:val="-8"/>
        </w:rPr>
        <w:t xml:space="preserve"> </w:t>
      </w:r>
      <w:r w:rsidR="00A8263D">
        <w:t>method</w:t>
      </w:r>
      <w:r w:rsidR="004333F0">
        <w:t>s</w:t>
      </w:r>
      <w:r w:rsidR="00A8263D">
        <w:rPr>
          <w:spacing w:val="-8"/>
        </w:rPr>
        <w:t xml:space="preserve"> </w:t>
      </w:r>
      <w:r w:rsidR="00A8263D">
        <w:t>and</w:t>
      </w:r>
      <w:r w:rsidR="00A8263D">
        <w:rPr>
          <w:spacing w:val="-8"/>
        </w:rPr>
        <w:t xml:space="preserve"> </w:t>
      </w:r>
      <w:r w:rsidR="00A8263D">
        <w:t>study</w:t>
      </w:r>
      <w:r w:rsidR="00A8263D">
        <w:rPr>
          <w:spacing w:val="-9"/>
        </w:rPr>
        <w:t xml:space="preserve"> </w:t>
      </w:r>
      <w:r w:rsidR="00A8263D">
        <w:t>endpoints</w:t>
      </w:r>
      <w:r w:rsidR="00A8263D">
        <w:rPr>
          <w:spacing w:val="-8"/>
        </w:rPr>
        <w:t xml:space="preserve"> </w:t>
      </w:r>
      <w:r w:rsidR="00A8263D">
        <w:t>of</w:t>
      </w:r>
      <w:r w:rsidR="00A8263D">
        <w:rPr>
          <w:spacing w:val="-9"/>
        </w:rPr>
        <w:t xml:space="preserve"> </w:t>
      </w:r>
      <w:r w:rsidR="00A8263D">
        <w:t>importance to patients, clinicians and payers.</w:t>
      </w:r>
    </w:p>
    <w:p w14:paraId="1EB4ED1F" w14:textId="25A84430" w:rsidR="00D9770A" w:rsidRDefault="00FA0020" w:rsidP="0057787A">
      <w:pPr>
        <w:pStyle w:val="ListBullet"/>
        <w:tabs>
          <w:tab w:val="clear" w:pos="720"/>
          <w:tab w:val="num" w:pos="540"/>
        </w:tabs>
        <w:ind w:left="540"/>
      </w:pPr>
      <w:r>
        <w:t xml:space="preserve">Evaluate the effectiveness of </w:t>
      </w:r>
      <w:r w:rsidR="009844B8">
        <w:t xml:space="preserve">early health technology assessment in improving the </w:t>
      </w:r>
      <w:r w:rsidR="00BA3AF4">
        <w:t>translation time</w:t>
      </w:r>
      <w:r w:rsidR="009844B8">
        <w:t xml:space="preserve"> and quality</w:t>
      </w:r>
      <w:r w:rsidR="00BA3AF4">
        <w:t xml:space="preserve"> of digital health innovations</w:t>
      </w:r>
      <w:r w:rsidR="004C6468">
        <w:t>.</w:t>
      </w:r>
    </w:p>
    <w:p w14:paraId="0116C996" w14:textId="17302857" w:rsidR="00D343C6" w:rsidRDefault="00D343C6" w:rsidP="0057787A">
      <w:pPr>
        <w:pStyle w:val="ListBullet"/>
        <w:tabs>
          <w:tab w:val="clear" w:pos="720"/>
          <w:tab w:val="num" w:pos="540"/>
        </w:tabs>
        <w:ind w:left="540"/>
      </w:pPr>
      <w:r>
        <w:t>Contribute to the scholarship</w:t>
      </w:r>
      <w:r w:rsidR="00225065">
        <w:t xml:space="preserve"> on </w:t>
      </w:r>
      <w:r w:rsidR="002260E4">
        <w:t xml:space="preserve">health technology assessment of </w:t>
      </w:r>
      <w:r w:rsidR="00C74FCD" w:rsidRPr="00C74FCD">
        <w:t>clinical decision support tools and applications that support remote patient monitoring/ virtual care</w:t>
      </w:r>
      <w:r w:rsidR="00C74FCD">
        <w:t xml:space="preserve">. </w:t>
      </w:r>
    </w:p>
    <w:p w14:paraId="2C8B2253" w14:textId="773CD3FB" w:rsidR="0092792F" w:rsidRDefault="0092792F" w:rsidP="00D6727C">
      <w:pPr>
        <w:pStyle w:val="ListBullet"/>
        <w:tabs>
          <w:tab w:val="clear" w:pos="720"/>
          <w:tab w:val="num" w:pos="540"/>
        </w:tabs>
        <w:ind w:left="540"/>
      </w:pPr>
      <w:r>
        <w:t xml:space="preserve">Work collaboratively with the team to prioritise digital health interventions to be developed through the </w:t>
      </w:r>
      <w:r w:rsidR="00C74FCD">
        <w:t xml:space="preserve">Validitron </w:t>
      </w:r>
      <w:r>
        <w:t xml:space="preserve">pipeline </w:t>
      </w:r>
      <w:r w:rsidR="00DD1F71">
        <w:t>based on heal</w:t>
      </w:r>
      <w:r w:rsidR="00244128">
        <w:t>th technology</w:t>
      </w:r>
      <w:r>
        <w:t xml:space="preserve"> assessment</w:t>
      </w:r>
      <w:r w:rsidR="00DA47B0">
        <w:t>s</w:t>
      </w:r>
      <w:r>
        <w:t xml:space="preserve"> </w:t>
      </w:r>
      <w:r w:rsidR="009F7D5E">
        <w:t>together with sociotechnical,</w:t>
      </w:r>
      <w:r>
        <w:t xml:space="preserve"> digital context</w:t>
      </w:r>
      <w:r w:rsidR="003F4854">
        <w:t>,</w:t>
      </w:r>
      <w:r>
        <w:t xml:space="preserve"> and op</w:t>
      </w:r>
      <w:r w:rsidR="00012FC7">
        <w:t>e</w:t>
      </w:r>
      <w:r>
        <w:t>r</w:t>
      </w:r>
      <w:r w:rsidR="00012FC7">
        <w:t>a</w:t>
      </w:r>
      <w:r>
        <w:t>tional/ implementation considerations</w:t>
      </w:r>
    </w:p>
    <w:p w14:paraId="77FBAB98" w14:textId="33E69826" w:rsidR="00546129" w:rsidRDefault="00546129" w:rsidP="00D6727C">
      <w:pPr>
        <w:pStyle w:val="ListBullet"/>
        <w:tabs>
          <w:tab w:val="clear" w:pos="720"/>
          <w:tab w:val="num" w:pos="540"/>
        </w:tabs>
        <w:ind w:left="540"/>
      </w:pPr>
      <w:r>
        <w:t xml:space="preserve">Support good decision-making </w:t>
      </w:r>
      <w:r w:rsidR="00012FC7">
        <w:t>b</w:t>
      </w:r>
      <w:r>
        <w:t xml:space="preserve">y the Steering Group that oversees the </w:t>
      </w:r>
      <w:r w:rsidR="00012FC7">
        <w:rPr>
          <w:rFonts w:cs="Arial"/>
          <w:color w:val="000000" w:themeColor="text1"/>
          <w:szCs w:val="20"/>
        </w:rPr>
        <w:t>Validitron program of work by providing them with high quality information and data</w:t>
      </w:r>
    </w:p>
    <w:p w14:paraId="17FDFFF8" w14:textId="3F8143C1" w:rsidR="006C5EBB" w:rsidRDefault="006C5EBB" w:rsidP="006C5EBB">
      <w:pPr>
        <w:pStyle w:val="ListBullet"/>
        <w:ind w:left="538" w:hanging="357"/>
      </w:pPr>
      <w:r>
        <w:t>Collaboratively plan and drive research publication</w:t>
      </w:r>
      <w:r w:rsidR="00937ADA">
        <w:t>s</w:t>
      </w:r>
    </w:p>
    <w:p w14:paraId="06519B9F" w14:textId="77777777" w:rsidR="006C5EBB" w:rsidRDefault="006C5EBB" w:rsidP="006C5EBB">
      <w:pPr>
        <w:pStyle w:val="ListBullet"/>
        <w:ind w:left="538" w:hanging="357"/>
      </w:pPr>
      <w:r>
        <w:t xml:space="preserve">Present results at local, national and international forums </w:t>
      </w:r>
    </w:p>
    <w:p w14:paraId="03CBE407" w14:textId="77777777" w:rsidR="006C5EBB" w:rsidRDefault="006C5EBB" w:rsidP="006C5EBB">
      <w:pPr>
        <w:pStyle w:val="ListBullet"/>
        <w:ind w:left="538" w:hanging="357"/>
      </w:pPr>
      <w:r>
        <w:t xml:space="preserve">Contribute significantly to applications for funding opportunities through grants, philanthropy or industry opportunities </w:t>
      </w:r>
    </w:p>
    <w:p w14:paraId="3FF79C09" w14:textId="77777777" w:rsidR="006C5EBB" w:rsidRDefault="006C5EBB" w:rsidP="006C5EBB">
      <w:pPr>
        <w:pStyle w:val="ListBullet"/>
        <w:ind w:left="538" w:hanging="357"/>
      </w:pPr>
      <w:r>
        <w:t>Develop and monitor timelines and milestones based on the goals and objectives of Digital Health Validitron design projects</w:t>
      </w:r>
    </w:p>
    <w:p w14:paraId="1929E7A7" w14:textId="77777777" w:rsidR="006C5EBB" w:rsidRDefault="006C5EBB" w:rsidP="006C5EBB">
      <w:pPr>
        <w:pStyle w:val="ListBullet"/>
        <w:ind w:left="538" w:hanging="357"/>
      </w:pPr>
      <w:r>
        <w:t>Maintain accurate and detailed records of all work</w:t>
      </w:r>
    </w:p>
    <w:p w14:paraId="233A14AA" w14:textId="77777777" w:rsidR="0057787A" w:rsidRDefault="0057787A" w:rsidP="00ED4E51">
      <w:pPr>
        <w:pStyle w:val="Heading2"/>
      </w:pPr>
      <w:r>
        <w:t xml:space="preserve">SErvice and Leadership </w:t>
      </w:r>
    </w:p>
    <w:p w14:paraId="6F19CD2C" w14:textId="3B718577" w:rsidR="0063119B" w:rsidRDefault="0063119B" w:rsidP="0063119B">
      <w:pPr>
        <w:pStyle w:val="ListBullet"/>
        <w:tabs>
          <w:tab w:val="clear" w:pos="720"/>
          <w:tab w:val="num" w:pos="540"/>
        </w:tabs>
        <w:ind w:left="540"/>
      </w:pPr>
      <w:r>
        <w:t>Attend and contribute to</w:t>
      </w:r>
      <w:r w:rsidR="00937ADA">
        <w:t xml:space="preserve"> both Validitron and M-VAC</w:t>
      </w:r>
      <w:r>
        <w:t xml:space="preserve"> </w:t>
      </w:r>
      <w:r w:rsidR="00012FC7">
        <w:t>team</w:t>
      </w:r>
      <w:r>
        <w:t xml:space="preserve"> meetings</w:t>
      </w:r>
      <w:r w:rsidR="00F37CA4">
        <w:t xml:space="preserve">, with </w:t>
      </w:r>
      <w:r w:rsidR="00E67C7B">
        <w:t>responsibility for</w:t>
      </w:r>
      <w:r w:rsidR="0092651E">
        <w:t xml:space="preserve"> cross-fertilisation of methods, ideas and knowledge between teams</w:t>
      </w:r>
    </w:p>
    <w:p w14:paraId="4BE0F83C" w14:textId="103B7801" w:rsidR="0063119B" w:rsidRPr="00D333C2" w:rsidRDefault="0063119B" w:rsidP="0063119B">
      <w:pPr>
        <w:pStyle w:val="ListBullet"/>
        <w:tabs>
          <w:tab w:val="clear" w:pos="720"/>
          <w:tab w:val="num" w:pos="540"/>
        </w:tabs>
        <w:ind w:left="540"/>
      </w:pPr>
      <w:r>
        <w:t>A</w:t>
      </w:r>
      <w:r w:rsidRPr="00AF4B00">
        <w:t xml:space="preserve">ttend </w:t>
      </w:r>
      <w:r>
        <w:t>and actively participate in</w:t>
      </w:r>
      <w:r w:rsidRPr="005109A2">
        <w:t xml:space="preserve"> </w:t>
      </w:r>
      <w:r w:rsidR="00012FC7">
        <w:t xml:space="preserve">Centre </w:t>
      </w:r>
      <w:r>
        <w:t>seminars</w:t>
      </w:r>
      <w:r w:rsidR="00012FC7">
        <w:t xml:space="preserve"> and staff </w:t>
      </w:r>
      <w:r w:rsidRPr="005109A2">
        <w:t xml:space="preserve">meetings </w:t>
      </w:r>
    </w:p>
    <w:p w14:paraId="018CA0F3" w14:textId="56C535E7" w:rsidR="00891748" w:rsidRDefault="00156CA7" w:rsidP="00D6727C">
      <w:pPr>
        <w:pStyle w:val="ListBullet"/>
        <w:tabs>
          <w:tab w:val="clear" w:pos="720"/>
          <w:tab w:val="num" w:pos="540"/>
        </w:tabs>
        <w:ind w:left="540"/>
      </w:pPr>
      <w:r>
        <w:t>Contribute to</w:t>
      </w:r>
      <w:r w:rsidR="00D50DDC">
        <w:t xml:space="preserve"> </w:t>
      </w:r>
      <w:r w:rsidR="00331724">
        <w:t xml:space="preserve">expert groups </w:t>
      </w:r>
      <w:r w:rsidR="00D50DDC">
        <w:t>as required to further the program of work</w:t>
      </w:r>
    </w:p>
    <w:p w14:paraId="36569611" w14:textId="426C94EF" w:rsidR="003F4854" w:rsidRPr="00F0555F" w:rsidRDefault="003F4854" w:rsidP="00D6727C">
      <w:pPr>
        <w:pStyle w:val="ListBullet"/>
        <w:tabs>
          <w:tab w:val="clear" w:pos="720"/>
          <w:tab w:val="num" w:pos="540"/>
        </w:tabs>
        <w:ind w:left="540"/>
      </w:pPr>
      <w:r>
        <w:t xml:space="preserve">Assist and support operational </w:t>
      </w:r>
      <w:r w:rsidR="00793B31">
        <w:t>team members</w:t>
      </w:r>
      <w:r w:rsidR="00FC41EB">
        <w:t xml:space="preserve"> </w:t>
      </w:r>
      <w:r>
        <w:t xml:space="preserve">responsible for </w:t>
      </w:r>
      <w:r w:rsidR="00E91ED0">
        <w:t xml:space="preserve">governance, </w:t>
      </w:r>
      <w:r>
        <w:t xml:space="preserve">budget oversight and financial reporting for the </w:t>
      </w:r>
      <w:r w:rsidR="00E91ED0">
        <w:t xml:space="preserve">Validitron </w:t>
      </w:r>
      <w:r>
        <w:t>program of work</w:t>
      </w:r>
    </w:p>
    <w:p w14:paraId="19616C90" w14:textId="468C02B9" w:rsidR="00465A8B" w:rsidRDefault="00465A8B" w:rsidP="0057787A">
      <w:pPr>
        <w:pStyle w:val="ListBullet"/>
        <w:tabs>
          <w:tab w:val="clear" w:pos="720"/>
          <w:tab w:val="num" w:pos="540"/>
        </w:tabs>
        <w:ind w:left="540"/>
      </w:pPr>
      <w:r w:rsidRPr="00E01D36">
        <w:t xml:space="preserve">Occupational Health and Safety (OH&amp;S) and Environmental Health and Safety (EH&amp;S) responsibilities as outlined in section </w:t>
      </w:r>
      <w:r w:rsidR="00DE6A61">
        <w:t>4</w:t>
      </w:r>
      <w:r>
        <w:t>.</w:t>
      </w:r>
    </w:p>
    <w:p w14:paraId="498EA189" w14:textId="77777777" w:rsidR="00F072CF" w:rsidRDefault="00F072CF" w:rsidP="00ED4E51">
      <w:pPr>
        <w:pStyle w:val="Heading1"/>
      </w:pPr>
      <w:r>
        <w:t>Selection Criteria</w:t>
      </w:r>
    </w:p>
    <w:p w14:paraId="7FD7DAB5" w14:textId="77777777" w:rsidR="00F072CF" w:rsidRDefault="00F072CF" w:rsidP="00ED4E51">
      <w:pPr>
        <w:pStyle w:val="Heading2"/>
      </w:pPr>
      <w:r>
        <w:t>Essential</w:t>
      </w:r>
    </w:p>
    <w:p w14:paraId="50B89196" w14:textId="6426306A" w:rsidR="00F35D89" w:rsidRDefault="00F35D89" w:rsidP="00F35D89">
      <w:pPr>
        <w:pStyle w:val="ListBullet"/>
      </w:pPr>
      <w:r w:rsidRPr="005C2A11">
        <w:t xml:space="preserve">A PhD </w:t>
      </w:r>
      <w:r w:rsidR="00E26614">
        <w:t xml:space="preserve">in a </w:t>
      </w:r>
      <w:r w:rsidR="00E91ED0">
        <w:t xml:space="preserve">relevant </w:t>
      </w:r>
      <w:r w:rsidR="0094130B">
        <w:t xml:space="preserve">analytical </w:t>
      </w:r>
      <w:r w:rsidR="00E91ED0">
        <w:t xml:space="preserve">discipline </w:t>
      </w:r>
      <w:r w:rsidR="00156CA7">
        <w:t xml:space="preserve">such as epidemiology, </w:t>
      </w:r>
      <w:r w:rsidR="0094130B">
        <w:t xml:space="preserve">health economics, biostatistics, </w:t>
      </w:r>
      <w:r w:rsidR="00E55607">
        <w:t xml:space="preserve">mathematics, </w:t>
      </w:r>
      <w:r w:rsidR="0094130B">
        <w:t>systems engineering</w:t>
      </w:r>
      <w:r w:rsidR="00C917FC">
        <w:t>, operations research</w:t>
      </w:r>
      <w:r w:rsidR="0094130B">
        <w:t xml:space="preserve"> </w:t>
      </w:r>
      <w:r w:rsidR="00E91ED0">
        <w:t>or equivalent relevant experience</w:t>
      </w:r>
    </w:p>
    <w:p w14:paraId="51C146ED" w14:textId="6110AE90" w:rsidR="00507000" w:rsidRDefault="00507000" w:rsidP="00F35D89">
      <w:pPr>
        <w:pStyle w:val="ListBullet"/>
      </w:pPr>
      <w:r>
        <w:t xml:space="preserve">Demonstrated skills </w:t>
      </w:r>
      <w:r w:rsidR="00045D08">
        <w:t>in data science, modelling and simulation using real world health data</w:t>
      </w:r>
    </w:p>
    <w:p w14:paraId="68E584E0" w14:textId="49DC58D9" w:rsidR="009559C6" w:rsidRPr="005C2A11" w:rsidRDefault="00C13278" w:rsidP="009559C6">
      <w:pPr>
        <w:pStyle w:val="ListBullet"/>
      </w:pPr>
      <w:r>
        <w:t xml:space="preserve">Strong track record </w:t>
      </w:r>
      <w:r w:rsidR="009559C6">
        <w:t>in health technology assessment (HTA) with knowledge of the Australian HTA landscape</w:t>
      </w:r>
    </w:p>
    <w:p w14:paraId="5D6343ED" w14:textId="5650634F" w:rsidR="00FA4BB5" w:rsidRDefault="00F96DCE" w:rsidP="00F35D89">
      <w:pPr>
        <w:pStyle w:val="ListBullet"/>
      </w:pPr>
      <w:r>
        <w:t>Demonstrated e</w:t>
      </w:r>
      <w:r w:rsidRPr="00FA4BB5">
        <w:t xml:space="preserve">xperience </w:t>
      </w:r>
      <w:r w:rsidR="00FA4BB5" w:rsidRPr="00FA4BB5">
        <w:t>conducting economic evaluation and health technology assessment including for funding bodies such as MSAC and PBAC.</w:t>
      </w:r>
    </w:p>
    <w:p w14:paraId="4345B76E" w14:textId="77777777" w:rsidR="009559C6" w:rsidRDefault="009559C6" w:rsidP="009559C6">
      <w:pPr>
        <w:pStyle w:val="ListBullet"/>
      </w:pPr>
      <w:r>
        <w:lastRenderedPageBreak/>
        <w:t xml:space="preserve">Applied and/or research experience in analysing health outcomes and health economic impacts of health interventions to understand their value </w:t>
      </w:r>
    </w:p>
    <w:p w14:paraId="5805C63E" w14:textId="5A7F36B9" w:rsidR="006C5EBB" w:rsidRDefault="006C5EBB" w:rsidP="00F35D89">
      <w:pPr>
        <w:pStyle w:val="ListBullet"/>
      </w:pPr>
      <w:r>
        <w:t>An excellent research track record including peer-reviewed publications and/or technical reports</w:t>
      </w:r>
    </w:p>
    <w:p w14:paraId="1054135D" w14:textId="5136819C" w:rsidR="00485D83" w:rsidRPr="00485D83" w:rsidRDefault="00485D83" w:rsidP="00485D83">
      <w:pPr>
        <w:pStyle w:val="ListBullet"/>
      </w:pPr>
      <w:r w:rsidRPr="00485D83">
        <w:t xml:space="preserve">Experience </w:t>
      </w:r>
      <w:r w:rsidR="00E91ED0">
        <w:t xml:space="preserve">working in the academic </w:t>
      </w:r>
      <w:r w:rsidR="00524819">
        <w:t>or</w:t>
      </w:r>
      <w:r w:rsidR="00E91ED0">
        <w:t xml:space="preserve"> healthcare sectors</w:t>
      </w:r>
    </w:p>
    <w:p w14:paraId="04779AFA" w14:textId="3B2C5F23" w:rsidR="00485D83" w:rsidRPr="00485D83" w:rsidRDefault="00485D83" w:rsidP="00485D83">
      <w:pPr>
        <w:pStyle w:val="ListBullet"/>
      </w:pPr>
      <w:r w:rsidRPr="00485D83">
        <w:t xml:space="preserve">The ability to work with </w:t>
      </w:r>
      <w:r w:rsidR="00E91ED0">
        <w:t>academic and clinical colleagues in a</w:t>
      </w:r>
      <w:r w:rsidR="00E67C7B">
        <w:t>n inter</w:t>
      </w:r>
      <w:r w:rsidR="00E91ED0">
        <w:t xml:space="preserve">-disciplinary team environment </w:t>
      </w:r>
    </w:p>
    <w:p w14:paraId="7B810CAC" w14:textId="5634C7B9" w:rsidR="00485D83" w:rsidRDefault="00E91ED0" w:rsidP="00485D83">
      <w:pPr>
        <w:pStyle w:val="ListBullet"/>
      </w:pPr>
      <w:r>
        <w:t>Demonstrated excellent organisational skills including the ability to drive programs of work and build and maintain momentum with diverse stakeholders</w:t>
      </w:r>
    </w:p>
    <w:p w14:paraId="18568B0A" w14:textId="2FA66E0B" w:rsidR="000132A1" w:rsidRPr="00485D83" w:rsidRDefault="000132A1" w:rsidP="00485D83">
      <w:pPr>
        <w:pStyle w:val="ListBullet"/>
      </w:pPr>
      <w:r>
        <w:t xml:space="preserve">Demonstrated </w:t>
      </w:r>
      <w:r w:rsidR="008E372B">
        <w:t>ability to manage complex research projects</w:t>
      </w:r>
      <w:r>
        <w:t xml:space="preserve"> including development of effective plans, timelines and milestones</w:t>
      </w:r>
    </w:p>
    <w:p w14:paraId="22ECC5F3" w14:textId="207F950A" w:rsidR="00F35D89" w:rsidRPr="005C2A11" w:rsidRDefault="00F35D89" w:rsidP="00F35D89">
      <w:pPr>
        <w:pStyle w:val="ListBullet"/>
      </w:pPr>
      <w:r w:rsidRPr="005C2A11">
        <w:t xml:space="preserve">Experience </w:t>
      </w:r>
      <w:r w:rsidR="00E91ED0">
        <w:t xml:space="preserve">working with </w:t>
      </w:r>
      <w:r w:rsidR="0026744C">
        <w:t>expert</w:t>
      </w:r>
      <w:r w:rsidR="00E91ED0">
        <w:t xml:space="preserve"> groups</w:t>
      </w:r>
    </w:p>
    <w:p w14:paraId="7072B618" w14:textId="084C9AA0" w:rsidR="00F35D89" w:rsidRPr="005C2A11" w:rsidRDefault="00F35D89" w:rsidP="00F35D89">
      <w:pPr>
        <w:pStyle w:val="ListBullet"/>
      </w:pPr>
      <w:r w:rsidRPr="005C2A11">
        <w:t>Demonstrated excellent verbal and written communication skills for effective research collaboration and engagement</w:t>
      </w:r>
    </w:p>
    <w:p w14:paraId="28D7C8B2" w14:textId="439ACFBC" w:rsidR="00F35D89" w:rsidRPr="005C2A11" w:rsidRDefault="00F35D89" w:rsidP="00F35D89">
      <w:pPr>
        <w:pStyle w:val="ListBullet"/>
      </w:pPr>
      <w:r w:rsidRPr="005C2A11">
        <w:t>Demonstrated experience in using initiative, working with minimal supervision and ability to prioritise tasks to achieve objectives within timelines</w:t>
      </w:r>
    </w:p>
    <w:p w14:paraId="793B2150" w14:textId="2520328B" w:rsidR="00F35D89" w:rsidRPr="005C2A11" w:rsidRDefault="00F35D89" w:rsidP="00F35D89">
      <w:pPr>
        <w:pStyle w:val="ListBullet"/>
      </w:pPr>
      <w:r w:rsidRPr="005C2A11">
        <w:t>Strong skills and initiative in problem solving</w:t>
      </w:r>
    </w:p>
    <w:p w14:paraId="4933BD0B" w14:textId="0959741F" w:rsidR="004429A1" w:rsidRDefault="004429A1" w:rsidP="004429A1">
      <w:pPr>
        <w:pStyle w:val="ListBullet"/>
      </w:pPr>
      <w:r w:rsidRPr="00485D83">
        <w:t xml:space="preserve">Demonstrated ability to work as a member of a </w:t>
      </w:r>
      <w:r>
        <w:t xml:space="preserve">research </w:t>
      </w:r>
      <w:r w:rsidRPr="00485D83">
        <w:t xml:space="preserve">team and interact in a courteous and effective manner with academic, </w:t>
      </w:r>
      <w:r>
        <w:t>clinical</w:t>
      </w:r>
      <w:r w:rsidRPr="00485D83">
        <w:t xml:space="preserve"> and </w:t>
      </w:r>
      <w:r>
        <w:t>operational team members</w:t>
      </w:r>
    </w:p>
    <w:p w14:paraId="0E495300" w14:textId="77777777" w:rsidR="00F55732" w:rsidRPr="005C2A11" w:rsidRDefault="00F072CF" w:rsidP="00ED4E51">
      <w:pPr>
        <w:pStyle w:val="Heading2"/>
      </w:pPr>
      <w:r w:rsidRPr="005C2A11">
        <w:t>Desirable</w:t>
      </w:r>
    </w:p>
    <w:p w14:paraId="60218944" w14:textId="3391F320" w:rsidR="0033392D" w:rsidRDefault="00AC526E" w:rsidP="0033392D">
      <w:pPr>
        <w:pStyle w:val="ListBullet"/>
        <w:tabs>
          <w:tab w:val="clear" w:pos="720"/>
        </w:tabs>
      </w:pPr>
      <w:r>
        <w:t>Experience in</w:t>
      </w:r>
      <w:r w:rsidR="00492A77">
        <w:t xml:space="preserve"> </w:t>
      </w:r>
      <w:r w:rsidR="00885279">
        <w:t xml:space="preserve">evaluation </w:t>
      </w:r>
      <w:r w:rsidR="00492A77">
        <w:t>of</w:t>
      </w:r>
      <w:r w:rsidR="00E91ED0">
        <w:t xml:space="preserve"> digital health interventions</w:t>
      </w:r>
    </w:p>
    <w:p w14:paraId="34275927" w14:textId="0312A6E1" w:rsidR="001B0BCF" w:rsidRDefault="001B0BCF" w:rsidP="001B0BCF">
      <w:pPr>
        <w:pStyle w:val="ListBullet"/>
      </w:pPr>
      <w:r>
        <w:t>D</w:t>
      </w:r>
      <w:r w:rsidRPr="00846FD1">
        <w:t>emonstrated understanding of the role of digital health in improving patient experience and outcomes</w:t>
      </w:r>
      <w:r w:rsidRPr="000132A1">
        <w:t xml:space="preserve"> </w:t>
      </w:r>
      <w:r w:rsidR="009D045B">
        <w:t xml:space="preserve">in the Australian </w:t>
      </w:r>
      <w:r w:rsidR="009D045B" w:rsidRPr="00846FD1">
        <w:t>healthcare ecosystem</w:t>
      </w:r>
    </w:p>
    <w:p w14:paraId="2E04CDC6" w14:textId="77777777" w:rsidR="00C825DD" w:rsidRDefault="00C825DD" w:rsidP="00ED4E51">
      <w:pPr>
        <w:pStyle w:val="Heading1"/>
      </w:pPr>
      <w:r>
        <w:t>Equal Opportunity, Diversity and Inclusion</w:t>
      </w:r>
    </w:p>
    <w:p w14:paraId="0956FC13" w14:textId="77777777" w:rsidR="00C825DD" w:rsidRDefault="00C825DD" w:rsidP="00ED4E51">
      <w:pPr>
        <w:pStyle w:val="BodyTextIndent"/>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691121E4" w14:textId="77777777" w:rsidR="00C825DD" w:rsidRDefault="00C825DD" w:rsidP="00ED4E51">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514E227C" w14:textId="77777777" w:rsidR="00C825DD" w:rsidRDefault="00C825DD" w:rsidP="00ED4E51">
      <w:pPr>
        <w:pStyle w:val="BodyTextIndent"/>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3D8DD626" w14:textId="77777777" w:rsidR="00C825DD" w:rsidRDefault="00C825DD" w:rsidP="00ED4E51">
      <w:pPr>
        <w:pStyle w:val="Heading1"/>
      </w:pPr>
      <w:r>
        <w:lastRenderedPageBreak/>
        <w:t xml:space="preserve">Occupational Health and Safety (OHS) </w:t>
      </w:r>
    </w:p>
    <w:p w14:paraId="055D4740" w14:textId="77777777" w:rsidR="00C825DD" w:rsidRPr="00FA4289" w:rsidRDefault="00C825DD" w:rsidP="00ED4E51">
      <w:pPr>
        <w:pStyle w:val="BodyTextIndent"/>
      </w:pPr>
      <w:r w:rsidRPr="00FA4289">
        <w:t xml:space="preserve">All staff are required to take reasonable care for their own health and safety and that of other personnel who may be affected by their conduct.  </w:t>
      </w:r>
    </w:p>
    <w:p w14:paraId="668314C0" w14:textId="77777777" w:rsidR="00C825DD" w:rsidRPr="00FA4289" w:rsidRDefault="00C825DD" w:rsidP="00ED4E51">
      <w:pPr>
        <w:pStyle w:val="BodyTextIndent"/>
      </w:pPr>
      <w:r w:rsidRPr="00FA4289">
        <w:t xml:space="preserve">OHS responsibilities applicable to positions are published at: </w:t>
      </w:r>
    </w:p>
    <w:p w14:paraId="4DBFF3EC" w14:textId="77777777" w:rsidR="00C825DD" w:rsidRPr="00BC02FC" w:rsidRDefault="00733DFF" w:rsidP="00ED4E51">
      <w:pPr>
        <w:pStyle w:val="BodyTextIndent"/>
        <w:rPr>
          <w:color w:val="336699"/>
        </w:rPr>
      </w:pPr>
      <w:hyperlink r:id="rId15" w:history="1">
        <w:r w:rsidR="00C825DD" w:rsidRPr="00BC02FC">
          <w:rPr>
            <w:rStyle w:val="Hyperlink"/>
          </w:rPr>
          <w:t>http://safety.unimelb.edu.au/topics/responsibilities/</w:t>
        </w:r>
      </w:hyperlink>
    </w:p>
    <w:p w14:paraId="57FD8D55" w14:textId="77777777" w:rsidR="00C825DD" w:rsidRPr="00C825DD" w:rsidRDefault="00C825DD" w:rsidP="00ED4E51">
      <w:pPr>
        <w:pStyle w:val="BodyTextIndent"/>
      </w:pPr>
      <w:r w:rsidRPr="00FA4289">
        <w:t>These include general staff responsibilities and those additional responsibilities that apply for Managers and S</w:t>
      </w:r>
      <w:r>
        <w:t>upervisors and other Personnel.</w:t>
      </w:r>
    </w:p>
    <w:p w14:paraId="3523E599" w14:textId="77777777" w:rsidR="00905DEE" w:rsidRPr="00905DEE" w:rsidRDefault="003048EF" w:rsidP="00ED4E51">
      <w:pPr>
        <w:pStyle w:val="Heading1"/>
      </w:pPr>
      <w:r>
        <w:t>Other Informatio</w:t>
      </w:r>
      <w:r w:rsidR="00905DEE">
        <w:t>n</w:t>
      </w:r>
    </w:p>
    <w:p w14:paraId="3D2BF1C1" w14:textId="40D97A70" w:rsidR="003048EF" w:rsidRDefault="000132A1" w:rsidP="00ED4E51">
      <w:pPr>
        <w:pStyle w:val="Heading2"/>
      </w:pPr>
      <w:r>
        <w:t>CENTRE FOR DIGITAL TRANSFORMATION OF HEALTH</w:t>
      </w:r>
    </w:p>
    <w:p w14:paraId="5C2E9BE4" w14:textId="77777777" w:rsidR="00240E06" w:rsidRDefault="00240E06" w:rsidP="00240E06">
      <w:pPr>
        <w:pStyle w:val="BodyTextIndent"/>
      </w:pPr>
      <w:r>
        <w:t xml:space="preserve">The </w:t>
      </w:r>
      <w:r w:rsidRPr="000132A1">
        <w:t>Centre for Digital Transformation of Health</w:t>
      </w:r>
      <w:r>
        <w:t xml:space="preserve"> </w:t>
      </w:r>
      <w:r w:rsidRPr="0009663F">
        <w:t xml:space="preserve">is </w:t>
      </w:r>
      <w:r>
        <w:t>a cross-disciplinary centre that sits in the</w:t>
      </w:r>
      <w:r w:rsidRPr="0009663F">
        <w:t xml:space="preserve"> Faculty of Medicine, Dentistry and Health Sciences</w:t>
      </w:r>
      <w:r>
        <w:t>, and the School of Computing and Information Systems</w:t>
      </w:r>
      <w:r w:rsidRPr="0009663F">
        <w:t xml:space="preserve">. </w:t>
      </w:r>
    </w:p>
    <w:p w14:paraId="031F6B93" w14:textId="2016FCB1" w:rsidR="00240E06" w:rsidRDefault="00240E06" w:rsidP="005D5F3A">
      <w:pPr>
        <w:pStyle w:val="BodyTextIndent"/>
      </w:pPr>
      <w:r w:rsidRPr="00634B63">
        <w:t xml:space="preserve">With a vision of connected healthcare, </w:t>
      </w:r>
      <w:r>
        <w:t>the Centre</w:t>
      </w:r>
      <w:r w:rsidRPr="00634B63">
        <w:t xml:space="preserve"> aim</w:t>
      </w:r>
      <w:r>
        <w:t>s</w:t>
      </w:r>
      <w:r w:rsidRPr="00634B63">
        <w:t xml:space="preserve"> to address a critical gap in the translation of digital </w:t>
      </w:r>
      <w:r>
        <w:t xml:space="preserve">health research, which is clearly needed if the healthcare system is to benefit from research-led advances in digital health. The Centre aims to significantly grow the field of digital health research at the University of Melbourne through creating the right environment for the type of inter-disciplinary, collaborative research that correlates with research excellence and </w:t>
      </w:r>
      <w:proofErr w:type="gramStart"/>
      <w:r w:rsidR="00E67C7B">
        <w:t>real world</w:t>
      </w:r>
      <w:proofErr w:type="gramEnd"/>
      <w:r w:rsidR="00E67C7B">
        <w:t xml:space="preserve"> </w:t>
      </w:r>
      <w:r>
        <w:t xml:space="preserve">impact </w:t>
      </w:r>
      <w:r w:rsidR="00E67C7B">
        <w:t xml:space="preserve">on the healthcare system </w:t>
      </w:r>
      <w:r>
        <w:t>to flourish. Through bringing together researchers, educators, healthcare and digital health professionals, patients and the public, the focus on translation of digital health innovations into clinical practice will enable a future where the healthcare system is transformed through digital health innovation</w:t>
      </w:r>
    </w:p>
    <w:p w14:paraId="676E8F89" w14:textId="77777777" w:rsidR="00240E06" w:rsidRDefault="00240E06" w:rsidP="00240E06">
      <w:pPr>
        <w:pStyle w:val="BodyTextIndent"/>
      </w:pPr>
      <w:r>
        <w:t>The Centre’s strategy is underpinned by connecting the strengths in health and medical research in the Faculty of Medicine, Dentistry and Health Sciences, to the strengths in informatics, computing and data science in the School of Computing and Information Systems and across the University to create a collaborative, inter-disciplinary ecosystem that supports translation to real-world research impact in the healthcare system. Its three strategic pillars are focussed on better use of health data, integrating digital health innovations into the healthcare system and upskilling the healthcare workforce.</w:t>
      </w:r>
    </w:p>
    <w:p w14:paraId="5DD2ACAC" w14:textId="5AED71CF" w:rsidR="007840FA" w:rsidRDefault="00A04713" w:rsidP="007840FA">
      <w:pPr>
        <w:pStyle w:val="Heading2"/>
      </w:pPr>
      <w:r w:rsidRPr="00A04713">
        <w:t>CENTRE FOR HEALTH POLICY</w:t>
      </w:r>
      <w:r w:rsidR="007840FA" w:rsidRPr="00E10F6E">
        <w:t xml:space="preserve"> </w:t>
      </w:r>
    </w:p>
    <w:p w14:paraId="7B4A20AB" w14:textId="7ADF99AA" w:rsidR="007840FA" w:rsidRDefault="007840FA" w:rsidP="007840FA">
      <w:pPr>
        <w:spacing w:before="240" w:line="360" w:lineRule="auto"/>
        <w:rPr>
          <w:rStyle w:val="Hyperlink"/>
          <w:rFonts w:ascii="Arial" w:hAnsi="Arial" w:cs="Arial"/>
        </w:rPr>
      </w:pPr>
      <w:r>
        <w:rPr>
          <w:rStyle w:val="Hyperlink"/>
          <w:rFonts w:ascii="Arial" w:hAnsi="Arial" w:cs="Arial"/>
          <w:sz w:val="20"/>
          <w:szCs w:val="20"/>
        </w:rPr>
        <w:t xml:space="preserve">          </w:t>
      </w:r>
      <w:hyperlink r:id="rId16" w:history="1">
        <w:r w:rsidR="005E65EB" w:rsidRPr="00FC0679">
          <w:rPr>
            <w:rStyle w:val="Hyperlink"/>
            <w:rFonts w:ascii="Arial" w:hAnsi="Arial" w:cs="Arial"/>
            <w:sz w:val="20"/>
            <w:szCs w:val="20"/>
          </w:rPr>
          <w:t>https://mspgh.unimelb.edu.au/centres-institutes/centre-for-health-policy</w:t>
        </w:r>
      </w:hyperlink>
    </w:p>
    <w:p w14:paraId="0E065352" w14:textId="77777777" w:rsidR="00A843FF" w:rsidRPr="006C690E" w:rsidRDefault="00A843FF" w:rsidP="00A843FF">
      <w:pPr>
        <w:spacing w:before="120" w:after="60" w:line="280" w:lineRule="exact"/>
        <w:ind w:left="567"/>
        <w:rPr>
          <w:rFonts w:ascii="Arial" w:eastAsia="Calibri" w:hAnsi="Arial" w:cs="Arial"/>
          <w:color w:val="000000"/>
          <w:sz w:val="20"/>
          <w:szCs w:val="20"/>
          <w:lang w:val="en-US"/>
        </w:rPr>
      </w:pPr>
      <w:bookmarkStart w:id="2" w:name="_Hlk46470759"/>
      <w:r w:rsidRPr="006C690E">
        <w:rPr>
          <w:rFonts w:ascii="Arial" w:eastAsia="Calibri" w:hAnsi="Arial" w:cs="Arial"/>
          <w:color w:val="000000"/>
          <w:sz w:val="20"/>
          <w:szCs w:val="20"/>
          <w:lang w:val="en-US"/>
        </w:rPr>
        <w:t xml:space="preserve">The Centre for Health Policy (CHP) strives to identify, critique, co-design, implement and evaluate policy options that protect the health of populations; to formulate, with partners, strategies that improve access, </w:t>
      </w:r>
      <w:proofErr w:type="spellStart"/>
      <w:r w:rsidRPr="006C690E">
        <w:rPr>
          <w:rFonts w:ascii="Arial" w:eastAsia="Calibri" w:hAnsi="Arial" w:cs="Arial"/>
          <w:color w:val="000000"/>
          <w:sz w:val="20"/>
          <w:szCs w:val="20"/>
          <w:lang w:val="en-US"/>
        </w:rPr>
        <w:t>organisation</w:t>
      </w:r>
      <w:proofErr w:type="spellEnd"/>
      <w:r w:rsidRPr="006C690E">
        <w:rPr>
          <w:rFonts w:ascii="Arial" w:eastAsia="Calibri" w:hAnsi="Arial" w:cs="Arial"/>
          <w:color w:val="000000"/>
          <w:sz w:val="20"/>
          <w:szCs w:val="20"/>
          <w:lang w:val="en-US"/>
        </w:rPr>
        <w:t>, and delivery of health services or programs, particularly as they affect the most vulnerable; and to identify strategies for enhancing the safety, effectiveness and efficiency of health care systems in addressing the most pressing health and care challenges.</w:t>
      </w:r>
    </w:p>
    <w:p w14:paraId="23B71B47" w14:textId="77777777" w:rsidR="00A843FF" w:rsidRPr="006C690E" w:rsidRDefault="00A843FF" w:rsidP="00A843FF">
      <w:pPr>
        <w:tabs>
          <w:tab w:val="num" w:pos="720"/>
        </w:tabs>
        <w:spacing w:before="120" w:after="60" w:line="280" w:lineRule="exact"/>
        <w:ind w:left="567"/>
        <w:rPr>
          <w:rFonts w:ascii="Arial" w:eastAsia="Calibri" w:hAnsi="Arial" w:cs="Arial"/>
          <w:color w:val="000000"/>
          <w:sz w:val="20"/>
          <w:szCs w:val="20"/>
          <w:lang w:val="en-US"/>
        </w:rPr>
      </w:pPr>
      <w:r w:rsidRPr="006C690E">
        <w:rPr>
          <w:rFonts w:ascii="Arial" w:eastAsia="Calibri" w:hAnsi="Arial" w:cs="Arial"/>
          <w:color w:val="000000"/>
          <w:sz w:val="20"/>
          <w:szCs w:val="20"/>
          <w:lang w:val="en-US"/>
        </w:rPr>
        <w:t xml:space="preserve">We offer a leading independent voice on health policy, generating new evidence and insights to inform debates and strengthen health care decision making. The Centre boasts a diverse, interdisciplinary group of scholars including health economists, evaluation and implementation scientists, clinicians, social scientists, legal scholars, </w:t>
      </w:r>
      <w:r w:rsidRPr="006C690E">
        <w:rPr>
          <w:rFonts w:ascii="Arial" w:eastAsia="Calibri" w:hAnsi="Arial" w:cs="Arial"/>
          <w:color w:val="000000"/>
          <w:sz w:val="20"/>
          <w:szCs w:val="20"/>
          <w:lang w:val="en-US"/>
        </w:rPr>
        <w:lastRenderedPageBreak/>
        <w:t xml:space="preserve">policy analysts, sociologists, political scientists, demographers and executive managers. In 2021 the Centre comprised 60 academic and professional staff, as well as 35 honorary staff representing a diverse group of experts from industry, government and NGO sectors. Many staff members serve as advisors to federal, state, and international </w:t>
      </w:r>
      <w:proofErr w:type="spellStart"/>
      <w:r w:rsidRPr="006C690E">
        <w:rPr>
          <w:rFonts w:ascii="Arial" w:eastAsia="Calibri" w:hAnsi="Arial" w:cs="Arial"/>
          <w:color w:val="000000"/>
          <w:sz w:val="20"/>
          <w:szCs w:val="20"/>
          <w:lang w:val="en-US"/>
        </w:rPr>
        <w:t>organisations</w:t>
      </w:r>
      <w:proofErr w:type="spellEnd"/>
      <w:r w:rsidRPr="006C690E">
        <w:rPr>
          <w:rFonts w:ascii="Arial" w:eastAsia="Calibri" w:hAnsi="Arial" w:cs="Arial"/>
          <w:color w:val="000000"/>
          <w:sz w:val="20"/>
          <w:szCs w:val="20"/>
          <w:lang w:val="en-US"/>
        </w:rPr>
        <w:t>. The Centre for Health Policy has six broad streams</w:t>
      </w:r>
      <w:r w:rsidRPr="006C690E">
        <w:rPr>
          <w:rFonts w:ascii="Arial" w:eastAsia="Calibri" w:hAnsi="Arial" w:cs="Arial"/>
          <w:sz w:val="20"/>
          <w:szCs w:val="20"/>
          <w:lang w:val="en-US"/>
        </w:rPr>
        <w:t xml:space="preserve">: </w:t>
      </w:r>
      <w:hyperlink r:id="rId17" w:history="1">
        <w:r w:rsidRPr="006C690E">
          <w:rPr>
            <w:rStyle w:val="Hyperlink"/>
            <w:rFonts w:ascii="Arial" w:eastAsia="Calibri" w:hAnsi="Arial" w:cs="Arial"/>
            <w:color w:val="auto"/>
            <w:sz w:val="20"/>
            <w:szCs w:val="20"/>
            <w:lang w:val="en-US"/>
          </w:rPr>
          <w:t>Cancer Health Services Research</w:t>
        </w:r>
      </w:hyperlink>
      <w:r w:rsidRPr="006C690E">
        <w:rPr>
          <w:rFonts w:ascii="Arial" w:eastAsia="Calibri" w:hAnsi="Arial" w:cs="Arial"/>
          <w:sz w:val="20"/>
          <w:szCs w:val="20"/>
        </w:rPr>
        <w:t xml:space="preserve">; </w:t>
      </w:r>
      <w:hyperlink r:id="rId18" w:history="1">
        <w:r w:rsidRPr="006C690E">
          <w:rPr>
            <w:rStyle w:val="Hyperlink"/>
            <w:rFonts w:ascii="Arial" w:eastAsia="Calibri" w:hAnsi="Arial" w:cs="Arial"/>
            <w:color w:val="auto"/>
            <w:sz w:val="20"/>
            <w:szCs w:val="20"/>
            <w:lang w:val="en-US"/>
          </w:rPr>
          <w:t>Demography and Ageing</w:t>
        </w:r>
      </w:hyperlink>
      <w:r w:rsidRPr="006C690E">
        <w:rPr>
          <w:rFonts w:ascii="Arial" w:eastAsia="Calibri" w:hAnsi="Arial" w:cs="Arial"/>
          <w:sz w:val="20"/>
          <w:szCs w:val="20"/>
        </w:rPr>
        <w:t xml:space="preserve">; </w:t>
      </w:r>
      <w:hyperlink r:id="rId19" w:history="1">
        <w:r w:rsidRPr="006C690E">
          <w:rPr>
            <w:rStyle w:val="Hyperlink"/>
            <w:rFonts w:ascii="Arial" w:eastAsia="Calibri" w:hAnsi="Arial" w:cs="Arial"/>
            <w:color w:val="auto"/>
            <w:sz w:val="20"/>
            <w:szCs w:val="20"/>
            <w:lang w:val="en-US"/>
          </w:rPr>
          <w:t>Evaluation and Implementation Science</w:t>
        </w:r>
      </w:hyperlink>
      <w:r w:rsidRPr="006C690E">
        <w:rPr>
          <w:rFonts w:ascii="Arial" w:eastAsia="Calibri" w:hAnsi="Arial" w:cs="Arial"/>
          <w:sz w:val="20"/>
          <w:szCs w:val="20"/>
        </w:rPr>
        <w:t xml:space="preserve">; </w:t>
      </w:r>
      <w:hyperlink r:id="rId20" w:history="1">
        <w:r w:rsidRPr="006C690E">
          <w:rPr>
            <w:rStyle w:val="Hyperlink"/>
            <w:rFonts w:ascii="Arial" w:eastAsia="Calibri" w:hAnsi="Arial" w:cs="Arial"/>
            <w:color w:val="auto"/>
            <w:sz w:val="20"/>
            <w:szCs w:val="20"/>
            <w:lang w:val="en-US"/>
          </w:rPr>
          <w:t>Health Economics</w:t>
        </w:r>
      </w:hyperlink>
      <w:r w:rsidRPr="006C690E">
        <w:rPr>
          <w:rFonts w:ascii="Arial" w:eastAsia="Calibri" w:hAnsi="Arial" w:cs="Arial"/>
          <w:sz w:val="20"/>
          <w:szCs w:val="20"/>
        </w:rPr>
        <w:t xml:space="preserve">; </w:t>
      </w:r>
      <w:hyperlink r:id="rId21" w:history="1">
        <w:r w:rsidRPr="006C690E">
          <w:rPr>
            <w:rStyle w:val="Hyperlink"/>
            <w:rFonts w:ascii="Arial" w:eastAsia="Calibri" w:hAnsi="Arial" w:cs="Arial"/>
            <w:color w:val="auto"/>
            <w:sz w:val="20"/>
            <w:szCs w:val="20"/>
            <w:lang w:val="en-US"/>
          </w:rPr>
          <w:t>Law and Public Health</w:t>
        </w:r>
      </w:hyperlink>
      <w:r w:rsidRPr="006C690E">
        <w:rPr>
          <w:rFonts w:ascii="Arial" w:eastAsia="Calibri" w:hAnsi="Arial" w:cs="Arial"/>
          <w:sz w:val="20"/>
          <w:szCs w:val="20"/>
        </w:rPr>
        <w:t>;</w:t>
      </w:r>
      <w:r>
        <w:rPr>
          <w:rFonts w:ascii="Arial" w:eastAsia="Calibri" w:hAnsi="Arial" w:cs="Arial"/>
          <w:color w:val="000000"/>
          <w:sz w:val="20"/>
          <w:szCs w:val="20"/>
        </w:rPr>
        <w:t xml:space="preserve"> Healthy Housing.</w:t>
      </w:r>
    </w:p>
    <w:p w14:paraId="429E25E5" w14:textId="77777777" w:rsidR="00A843FF" w:rsidRDefault="00A843FF" w:rsidP="00A843FF">
      <w:pPr>
        <w:spacing w:before="120" w:after="60" w:line="280" w:lineRule="exact"/>
        <w:ind w:left="567"/>
        <w:rPr>
          <w:rFonts w:ascii="Arial" w:eastAsia="Calibri" w:hAnsi="Arial" w:cs="Arial"/>
          <w:color w:val="000000"/>
          <w:sz w:val="20"/>
          <w:szCs w:val="20"/>
          <w:lang w:val="en-US"/>
        </w:rPr>
      </w:pPr>
      <w:r w:rsidRPr="006C690E">
        <w:rPr>
          <w:rFonts w:ascii="Arial" w:eastAsia="Calibri" w:hAnsi="Arial" w:cs="Arial"/>
          <w:color w:val="000000"/>
          <w:sz w:val="20"/>
          <w:szCs w:val="20"/>
          <w:lang w:val="en-US"/>
        </w:rPr>
        <w:t>The Centre is also the coordinating home to M-VAC, the Melbourne Health Technology and Value Assessment Collaborative, established in 2021 and contracted to conduct value-based assessments and evaluations of pharmaceuticals, health services and technologies, preventive and curative programs, and digital health applications. M-VAC provides a comprehensive stream of research, consultancy and advisory services to underpin value-based health care agendas, and reforms.</w:t>
      </w:r>
      <w:r>
        <w:rPr>
          <w:rFonts w:ascii="Arial" w:eastAsia="Calibri" w:hAnsi="Arial" w:cs="Arial"/>
          <w:color w:val="000000"/>
          <w:sz w:val="20"/>
          <w:szCs w:val="20"/>
          <w:lang w:val="en-US"/>
        </w:rPr>
        <w:tab/>
      </w:r>
    </w:p>
    <w:p w14:paraId="7EDB418A" w14:textId="48209762" w:rsidR="007840FA" w:rsidRDefault="00A843FF" w:rsidP="00A843FF">
      <w:pPr>
        <w:pStyle w:val="BodyTextIndent"/>
        <w:rPr>
          <w:rStyle w:val="Hyperlink"/>
        </w:rPr>
      </w:pPr>
      <w:r w:rsidRPr="006C690E">
        <w:rPr>
          <w:rFonts w:eastAsia="Calibri"/>
          <w:color w:val="000000"/>
          <w:szCs w:val="20"/>
          <w:lang w:val="en-US"/>
        </w:rPr>
        <w:t xml:space="preserve">The Centre for Health Policy runs </w:t>
      </w:r>
      <w:proofErr w:type="gramStart"/>
      <w:r w:rsidRPr="006C690E">
        <w:rPr>
          <w:rFonts w:eastAsia="Calibri"/>
          <w:color w:val="000000"/>
          <w:szCs w:val="20"/>
          <w:lang w:val="en-US"/>
        </w:rPr>
        <w:t>a number of</w:t>
      </w:r>
      <w:proofErr w:type="gramEnd"/>
      <w:r w:rsidRPr="006C690E">
        <w:rPr>
          <w:rFonts w:eastAsia="Calibri"/>
          <w:color w:val="000000"/>
          <w:szCs w:val="20"/>
          <w:lang w:val="en-US"/>
        </w:rPr>
        <w:t xml:space="preserve"> short courses in Health Program Evaluation and Health Economics</w:t>
      </w:r>
      <w:r>
        <w:rPr>
          <w:rFonts w:eastAsia="Calibri"/>
          <w:color w:val="000000"/>
          <w:szCs w:val="20"/>
          <w:lang w:val="en-US"/>
        </w:rPr>
        <w:t xml:space="preserve">. </w:t>
      </w:r>
      <w:r w:rsidRPr="006C690E">
        <w:rPr>
          <w:rFonts w:eastAsia="Calibri"/>
          <w:color w:val="000000"/>
          <w:szCs w:val="20"/>
          <w:lang w:val="en-US"/>
        </w:rPr>
        <w:t xml:space="preserve">In </w:t>
      </w:r>
      <w:proofErr w:type="gramStart"/>
      <w:r w:rsidRPr="006C690E">
        <w:rPr>
          <w:rFonts w:eastAsia="Calibri"/>
          <w:color w:val="000000"/>
          <w:szCs w:val="20"/>
          <w:lang w:val="en-US"/>
        </w:rPr>
        <w:t>addition</w:t>
      </w:r>
      <w:proofErr w:type="gramEnd"/>
      <w:r w:rsidRPr="006C690E">
        <w:rPr>
          <w:rFonts w:eastAsia="Calibri"/>
          <w:color w:val="000000"/>
          <w:szCs w:val="20"/>
          <w:lang w:val="en-US"/>
        </w:rPr>
        <w:t xml:space="preserve"> </w:t>
      </w:r>
      <w:r>
        <w:rPr>
          <w:rFonts w:eastAsia="Calibri"/>
          <w:color w:val="000000"/>
          <w:szCs w:val="20"/>
          <w:lang w:val="en-US"/>
        </w:rPr>
        <w:t>it</w:t>
      </w:r>
      <w:r w:rsidRPr="006C690E">
        <w:rPr>
          <w:rFonts w:eastAsia="Calibri"/>
          <w:color w:val="000000"/>
          <w:szCs w:val="20"/>
          <w:lang w:val="en-US"/>
        </w:rPr>
        <w:t xml:space="preserve"> contribute to teaching within the Master of Public Health and from 202</w:t>
      </w:r>
      <w:r>
        <w:rPr>
          <w:rFonts w:eastAsia="Calibri"/>
          <w:color w:val="000000"/>
          <w:szCs w:val="20"/>
          <w:lang w:val="en-US"/>
        </w:rPr>
        <w:t>2</w:t>
      </w:r>
      <w:r w:rsidRPr="006C690E">
        <w:rPr>
          <w:rFonts w:eastAsia="Calibri"/>
          <w:color w:val="000000"/>
          <w:szCs w:val="20"/>
          <w:lang w:val="en-US"/>
        </w:rPr>
        <w:t xml:space="preserve"> we will offer a Graduate Certificate in Health Economics</w:t>
      </w:r>
      <w:r w:rsidR="007840FA">
        <w:t>.</w:t>
      </w:r>
      <w:bookmarkEnd w:id="2"/>
    </w:p>
    <w:p w14:paraId="3C6E5095" w14:textId="5F4B16CA" w:rsidR="007840FA" w:rsidRDefault="007843A7" w:rsidP="007840FA">
      <w:pPr>
        <w:pStyle w:val="Heading2"/>
      </w:pPr>
      <w:r w:rsidRPr="007843A7">
        <w:t>THE MELBOURNE SCHOOL OF POPULATION AND GLOBAL HEALTH</w:t>
      </w:r>
    </w:p>
    <w:p w14:paraId="5B07D487" w14:textId="30EC8A23" w:rsidR="00B033B5" w:rsidRDefault="00733DFF" w:rsidP="00B033B5">
      <w:pPr>
        <w:spacing w:before="240" w:line="360" w:lineRule="auto"/>
        <w:ind w:firstLine="540"/>
        <w:rPr>
          <w:rStyle w:val="Hyperlink"/>
          <w:rFonts w:ascii="Arial" w:hAnsi="Arial" w:cs="Arial"/>
        </w:rPr>
      </w:pPr>
      <w:hyperlink r:id="rId22" w:anchor="about" w:history="1">
        <w:r w:rsidR="00D802C3" w:rsidRPr="00D802C3">
          <w:rPr>
            <w:rStyle w:val="Hyperlink"/>
            <w:rFonts w:ascii="Arial" w:hAnsi="Arial" w:cs="Arial"/>
            <w:sz w:val="20"/>
            <w:szCs w:val="20"/>
          </w:rPr>
          <w:t>www.mspgh.unimelb.edu.au</w:t>
        </w:r>
      </w:hyperlink>
    </w:p>
    <w:p w14:paraId="5CA5180D" w14:textId="77777777" w:rsidR="00B033B5" w:rsidRPr="00C25524" w:rsidRDefault="00B033B5" w:rsidP="00B033B5">
      <w:pPr>
        <w:pStyle w:val="BodyTextIndent"/>
        <w:rPr>
          <w:b/>
        </w:rPr>
      </w:pPr>
      <w:r w:rsidRPr="00C25524">
        <w:t>The Melbourne School of Population and Global Health (MSPGH) is a respected leader in the field of public health education, research and knowledge exchange.</w:t>
      </w:r>
    </w:p>
    <w:p w14:paraId="449896FE" w14:textId="77777777" w:rsidR="00B033B5" w:rsidRPr="00C25524" w:rsidRDefault="00B033B5" w:rsidP="00B033B5">
      <w:pPr>
        <w:pStyle w:val="BodyTextIndent"/>
        <w:rPr>
          <w:b/>
        </w:rPr>
      </w:pPr>
      <w:r w:rsidRPr="00C25524">
        <w:t xml:space="preserve">The MSPGH was established in 2001 as the first school of its kind in Australia with a vision to make a difference in the population and public health sphere - building on the substantial assets of </w:t>
      </w:r>
      <w:proofErr w:type="gramStart"/>
      <w:r w:rsidRPr="00C25524">
        <w:t>our</w:t>
      </w:r>
      <w:proofErr w:type="gramEnd"/>
    </w:p>
    <w:p w14:paraId="2CE57A2C" w14:textId="77777777" w:rsidR="00B033B5" w:rsidRPr="00C25524" w:rsidRDefault="00B033B5" w:rsidP="00B033B5">
      <w:pPr>
        <w:pStyle w:val="BodyTextIndent"/>
        <w:rPr>
          <w:b/>
        </w:rPr>
      </w:pPr>
      <w:r w:rsidRPr="00C25524">
        <w:t>University to advance public health in communities nationally and internationally - with a strong focus on Indigenous peoples. Since its inception, the School has grown rapidly in size, scope and reputation and has consistently attracted leading academics and researchers who bring considerable skills, insights and expertise. We continue to attract increasing levels of competitive funding</w:t>
      </w:r>
    </w:p>
    <w:p w14:paraId="7A8CB309" w14:textId="77777777" w:rsidR="00B033B5" w:rsidRPr="00C25524" w:rsidRDefault="00B033B5" w:rsidP="00B033B5">
      <w:pPr>
        <w:pStyle w:val="BodyTextIndent"/>
        <w:rPr>
          <w:b/>
        </w:rPr>
      </w:pPr>
      <w:r w:rsidRPr="00C25524">
        <w:t>from governments and from a range of renowned philanthropic organisations and individuals.</w:t>
      </w:r>
    </w:p>
    <w:p w14:paraId="02BD644C" w14:textId="77777777" w:rsidR="00B033B5" w:rsidRPr="00C25524" w:rsidRDefault="00B033B5" w:rsidP="00B033B5">
      <w:pPr>
        <w:pStyle w:val="BodyTextIndent"/>
        <w:rPr>
          <w:b/>
        </w:rPr>
      </w:pPr>
      <w:r w:rsidRPr="00C25524">
        <w:t>The quality of MSPGH research is confirmed by the Academic Ranking of World Universities within which the University of Melbourne maintains its place as the top-ranked Australian university. The ARWU Global Ranking of Academic Subjects 2021 placed the University 16th in the world for Public Health and first in Australia. Our researchers regularly have work published in prestigious titles</w:t>
      </w:r>
    </w:p>
    <w:p w14:paraId="36BD6D2F" w14:textId="77777777" w:rsidR="00B033B5" w:rsidRPr="00C25524" w:rsidRDefault="00B033B5" w:rsidP="00B033B5">
      <w:pPr>
        <w:pStyle w:val="BodyTextIndent"/>
        <w:rPr>
          <w:b/>
        </w:rPr>
      </w:pPr>
      <w:r w:rsidRPr="00C25524">
        <w:t>including The Lancet, Nature, The New England Journal of Medicine and the Journal of the American Medical Association. The School is strongly engaged internationally with key collaborations including the World Health Organisation, Grand Challenges Canada, the Pasteur Institute and Department of</w:t>
      </w:r>
    </w:p>
    <w:p w14:paraId="1C12790C" w14:textId="77777777" w:rsidR="00B033B5" w:rsidRPr="00C25524" w:rsidRDefault="00B033B5" w:rsidP="00B033B5">
      <w:pPr>
        <w:pStyle w:val="BodyTextIndent"/>
        <w:rPr>
          <w:b/>
        </w:rPr>
      </w:pPr>
      <w:r w:rsidRPr="00C25524">
        <w:t>Health in Vietnam, the Public Health Foundation of India and the International Association for Suicide Prevention.</w:t>
      </w:r>
    </w:p>
    <w:p w14:paraId="0BBA8B18" w14:textId="77777777" w:rsidR="00B033B5" w:rsidRPr="00C25524" w:rsidRDefault="00B033B5" w:rsidP="00B033B5">
      <w:pPr>
        <w:pStyle w:val="BodyTextIndent"/>
        <w:rPr>
          <w:b/>
        </w:rPr>
      </w:pPr>
      <w:r w:rsidRPr="00C25524">
        <w:t xml:space="preserve">The flagship Master of Public Health degree, with over 650 enrolments, forms the core of a strong teaching program alongside undergraduate teaching and a suite of specialist postgraduate coursework degrees across Biostatistics, Epidemiology, Gerontology, </w:t>
      </w:r>
      <w:r w:rsidRPr="00C25524">
        <w:lastRenderedPageBreak/>
        <w:t xml:space="preserve">Health Economics, Health Informatics and Sexual Health. These programs and the School’s extensive cohort of more than 120 </w:t>
      </w:r>
    </w:p>
    <w:p w14:paraId="0E76C102" w14:textId="77777777" w:rsidR="00B033B5" w:rsidRPr="00C25524" w:rsidRDefault="00B033B5" w:rsidP="00B033B5">
      <w:pPr>
        <w:pStyle w:val="BodyTextIndent"/>
        <w:rPr>
          <w:b/>
        </w:rPr>
      </w:pPr>
      <w:r w:rsidRPr="00C25524">
        <w:t>graduate research students make a substantial contribution to training the next generations of public health specialists and researchers nationally and internationally.</w:t>
      </w:r>
    </w:p>
    <w:p w14:paraId="7CD7206C" w14:textId="77777777" w:rsidR="00B033B5" w:rsidRPr="00C25524" w:rsidRDefault="00B033B5" w:rsidP="00B033B5">
      <w:pPr>
        <w:pStyle w:val="BodyTextIndent"/>
        <w:rPr>
          <w:b/>
        </w:rPr>
      </w:pPr>
      <w:r w:rsidRPr="00C25524">
        <w:t>The School comprises four Centres and two Institutes that focus on key areas of population and global health that are relevant now and will have tangible impacts on the health of national and international communities into the future. These comprise the:</w:t>
      </w:r>
    </w:p>
    <w:p w14:paraId="6403C000" w14:textId="77777777" w:rsidR="00B033B5" w:rsidRPr="00C25524" w:rsidRDefault="00B033B5" w:rsidP="00B033B5">
      <w:pPr>
        <w:pStyle w:val="BodyTextIndent"/>
        <w:numPr>
          <w:ilvl w:val="0"/>
          <w:numId w:val="23"/>
        </w:numPr>
        <w:rPr>
          <w:b/>
        </w:rPr>
      </w:pPr>
      <w:r w:rsidRPr="00C25524">
        <w:t>Centre for Epidemiology &amp; Biostatistics;</w:t>
      </w:r>
    </w:p>
    <w:p w14:paraId="7EE9A812" w14:textId="77777777" w:rsidR="00B033B5" w:rsidRPr="00C25524" w:rsidRDefault="00B033B5" w:rsidP="00B033B5">
      <w:pPr>
        <w:pStyle w:val="BodyTextIndent"/>
        <w:numPr>
          <w:ilvl w:val="0"/>
          <w:numId w:val="23"/>
        </w:numPr>
        <w:rPr>
          <w:b/>
        </w:rPr>
      </w:pPr>
      <w:r w:rsidRPr="00C25524">
        <w:t>Centre for Health Equity;</w:t>
      </w:r>
    </w:p>
    <w:p w14:paraId="64E1C634" w14:textId="77777777" w:rsidR="00B033B5" w:rsidRPr="00C25524" w:rsidRDefault="00B033B5" w:rsidP="00B033B5">
      <w:pPr>
        <w:pStyle w:val="BodyTextIndent"/>
        <w:numPr>
          <w:ilvl w:val="0"/>
          <w:numId w:val="23"/>
        </w:numPr>
        <w:rPr>
          <w:b/>
        </w:rPr>
      </w:pPr>
      <w:r w:rsidRPr="00C25524">
        <w:t>Centre for Health Policy;</w:t>
      </w:r>
    </w:p>
    <w:p w14:paraId="447DA8E9" w14:textId="77777777" w:rsidR="00B033B5" w:rsidRPr="00C25524" w:rsidRDefault="00B033B5" w:rsidP="00B033B5">
      <w:pPr>
        <w:pStyle w:val="BodyTextIndent"/>
        <w:numPr>
          <w:ilvl w:val="0"/>
          <w:numId w:val="23"/>
        </w:numPr>
        <w:rPr>
          <w:b/>
        </w:rPr>
      </w:pPr>
      <w:r w:rsidRPr="00C25524">
        <w:t>Centre for Mental Health;</w:t>
      </w:r>
    </w:p>
    <w:p w14:paraId="23C5BB54" w14:textId="77777777" w:rsidR="00B033B5" w:rsidRPr="00C25524" w:rsidRDefault="00B033B5" w:rsidP="00B033B5">
      <w:pPr>
        <w:pStyle w:val="BodyTextIndent"/>
        <w:numPr>
          <w:ilvl w:val="0"/>
          <w:numId w:val="23"/>
        </w:numPr>
        <w:rPr>
          <w:b/>
        </w:rPr>
      </w:pPr>
      <w:r w:rsidRPr="00C25524">
        <w:t xml:space="preserve">Melbourne Disability Institute; and </w:t>
      </w:r>
    </w:p>
    <w:p w14:paraId="7E054ED0" w14:textId="77777777" w:rsidR="00A473D0" w:rsidRDefault="00B033B5" w:rsidP="008928ED">
      <w:pPr>
        <w:pStyle w:val="ListParagraph"/>
        <w:numPr>
          <w:ilvl w:val="0"/>
          <w:numId w:val="23"/>
        </w:numPr>
      </w:pPr>
      <w:r w:rsidRPr="008928ED">
        <w:rPr>
          <w:rFonts w:ascii="Arial" w:hAnsi="Arial" w:cs="Arial"/>
          <w:sz w:val="20"/>
          <w:szCs w:val="20"/>
        </w:rPr>
        <w:t>Nossal Institute for Global Health</w:t>
      </w:r>
      <w:r w:rsidR="007840FA">
        <w:t xml:space="preserve">. </w:t>
      </w:r>
    </w:p>
    <w:p w14:paraId="31CC8C3C" w14:textId="12666A36" w:rsidR="00A473D0" w:rsidRDefault="00A473D0" w:rsidP="00A473D0">
      <w:pPr>
        <w:pStyle w:val="Heading2"/>
      </w:pPr>
      <w:r w:rsidRPr="00E10F6E">
        <w:t xml:space="preserve">Faculty of Medicine, Dentistry and Health Sciences </w:t>
      </w:r>
    </w:p>
    <w:p w14:paraId="0F2C9DFC" w14:textId="77777777" w:rsidR="00A473D0" w:rsidRDefault="00733DFF" w:rsidP="00A473D0">
      <w:pPr>
        <w:pStyle w:val="Default"/>
        <w:spacing w:before="120" w:after="120" w:line="280" w:lineRule="exact"/>
        <w:ind w:left="539"/>
        <w:jc w:val="both"/>
        <w:rPr>
          <w:sz w:val="20"/>
          <w:szCs w:val="20"/>
        </w:rPr>
      </w:pPr>
      <w:hyperlink r:id="rId23" w:history="1">
        <w:r w:rsidR="00A473D0" w:rsidRPr="00793EA4">
          <w:rPr>
            <w:rStyle w:val="Hyperlink"/>
            <w:sz w:val="20"/>
            <w:szCs w:val="20"/>
          </w:rPr>
          <w:t>www.mdhs.unimelb.edu.au</w:t>
        </w:r>
      </w:hyperlink>
      <w:r w:rsidR="00A473D0">
        <w:rPr>
          <w:sz w:val="20"/>
          <w:szCs w:val="20"/>
        </w:rPr>
        <w:t xml:space="preserve">  </w:t>
      </w:r>
    </w:p>
    <w:p w14:paraId="3DB58B43" w14:textId="77777777" w:rsidR="00A473D0" w:rsidRDefault="00A473D0" w:rsidP="00A473D0">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78AC6473" w14:textId="77777777" w:rsidR="00A473D0" w:rsidRDefault="00A473D0" w:rsidP="00A473D0">
      <w:pPr>
        <w:pStyle w:val="Default"/>
        <w:spacing w:before="120" w:after="120" w:line="280" w:lineRule="exact"/>
        <w:ind w:left="539"/>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4B8F115D" w14:textId="578E96CC" w:rsidR="007840FA" w:rsidRDefault="00A473D0" w:rsidP="008928ED">
      <w:pPr>
        <w:pStyle w:val="BodyTextIndent"/>
      </w:pPr>
      <w:r w:rsidRPr="00A318EC">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color w:val="000000"/>
        </w:rPr>
        <w:t>.</w:t>
      </w:r>
      <w:r>
        <w:t xml:space="preserve"> </w:t>
      </w:r>
    </w:p>
    <w:p w14:paraId="4D7182BD" w14:textId="2267CA90" w:rsidR="003048EF" w:rsidRDefault="003048EF" w:rsidP="007840FA">
      <w:pPr>
        <w:pStyle w:val="Heading2"/>
      </w:pPr>
      <w:r>
        <w:t>The University of Melbourne</w:t>
      </w:r>
    </w:p>
    <w:p w14:paraId="16B17257" w14:textId="77777777" w:rsidR="003048EF" w:rsidRPr="00BC02FC" w:rsidRDefault="007501E5" w:rsidP="00ED4E51">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institutes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307C39BD" w14:textId="77777777" w:rsidR="007501E5" w:rsidRDefault="003048EF" w:rsidP="00ED4E51">
      <w:pPr>
        <w:pStyle w:val="BodyTextIndent"/>
      </w:pPr>
      <w:r w:rsidRPr="00C56A86">
        <w:t xml:space="preserve">The University employs people of outstanding calibre and offers a unique environment where staff are valued and rewarded. </w:t>
      </w:r>
    </w:p>
    <w:p w14:paraId="28BFE21A" w14:textId="69FD9C25" w:rsidR="00920FFA" w:rsidRPr="00C56A86" w:rsidRDefault="003048EF" w:rsidP="00ED4E51">
      <w:pPr>
        <w:pStyle w:val="BodyTextIndent"/>
      </w:pPr>
      <w:r w:rsidRPr="00C56A86">
        <w:t>Further information about working at The University of Melbourne is available at</w:t>
      </w:r>
      <w:r w:rsidRPr="00BC02FC">
        <w:rPr>
          <w:color w:val="336699"/>
        </w:rPr>
        <w:t xml:space="preserve"> </w:t>
      </w:r>
      <w:hyperlink r:id="rId24" w:history="1">
        <w:r w:rsidR="007840FA" w:rsidRPr="00517D97">
          <w:rPr>
            <w:rStyle w:val="Hyperlink"/>
          </w:rPr>
          <w:t>http://about.unimelb.edu.au/careers</w:t>
        </w:r>
      </w:hyperlink>
      <w:r w:rsidR="00C825DD">
        <w:t>.</w:t>
      </w:r>
    </w:p>
    <w:p w14:paraId="6451BC23" w14:textId="77777777" w:rsidR="003048EF" w:rsidRDefault="00F82076" w:rsidP="00ED4E51">
      <w:pPr>
        <w:pStyle w:val="Heading2"/>
      </w:pPr>
      <w:r>
        <w:lastRenderedPageBreak/>
        <w:t xml:space="preserve">Growing Esteem, the Melbourne </w:t>
      </w:r>
      <w:r w:rsidR="00D07136">
        <w:t>Curriculum</w:t>
      </w:r>
      <w:r>
        <w:t xml:space="preserve"> and Research at melbourne:</w:t>
      </w:r>
      <w:r w:rsidR="009F0E3D">
        <w:t xml:space="preserve"> </w:t>
      </w:r>
      <w:r>
        <w:t>Ensuring excellence and impact to 2025</w:t>
      </w:r>
    </w:p>
    <w:p w14:paraId="2EAB6980" w14:textId="77777777" w:rsidR="00F82076" w:rsidRDefault="00F82076" w:rsidP="00ED4E51">
      <w:pPr>
        <w:pStyle w:val="BodyTextIndent"/>
      </w:pPr>
      <w:r w:rsidRPr="00FA4289">
        <w:t>Growing Esteem describes Melbourne's strategy to achieve its aspiration to be a public-spirited and internationally-engaged institution, highly regarded for making distinctive contributions to society in research and research training, learning and teaching, and engagement</w:t>
      </w:r>
      <w:r>
        <w:t xml:space="preserve">. </w:t>
      </w:r>
      <w:hyperlink r:id="rId25" w:history="1">
        <w:r w:rsidR="00920FFA" w:rsidRPr="00BC02FC">
          <w:rPr>
            <w:rStyle w:val="Hyperlink"/>
          </w:rPr>
          <w:t>http://about.unimelb.edu.au/strategy-and-leadership</w:t>
        </w:r>
      </w:hyperlink>
    </w:p>
    <w:p w14:paraId="00FB24BA" w14:textId="77777777" w:rsidR="00F82076" w:rsidRDefault="00F82076" w:rsidP="00ED4E51">
      <w:pPr>
        <w:pStyle w:val="BodyTextIndent"/>
      </w:pPr>
      <w:r w:rsidRPr="00290FE0">
        <w:t xml:space="preserve">The University is at the forefront of Australia's changing higher education system and offers a distinctive model of education known collectively as the Melbourne </w:t>
      </w:r>
      <w:r w:rsidR="00D07136">
        <w:t>Curriculum</w:t>
      </w:r>
      <w:r w:rsidRPr="00290FE0">
        <w:t xml:space="preserve">. The new educational model, designed for an outstanding experience for all students, is based </w:t>
      </w:r>
      <w:r>
        <w:t>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3DBCA326" w14:textId="77777777" w:rsidR="00F82076" w:rsidRPr="00F82076" w:rsidRDefault="00F82076" w:rsidP="00ED4E51">
      <w:pPr>
        <w:pStyle w:val="BodyTextIndent"/>
      </w:pPr>
      <w:r w:rsidRPr="00911DC9">
        <w:rPr>
          <w:color w:val="000000"/>
        </w:rPr>
        <w:t xml:space="preserve">The </w:t>
      </w:r>
      <w:r w:rsidRPr="00911DC9">
        <w:t>University</w:t>
      </w:r>
      <w:r>
        <w:t>’s global aspirations seek to</w:t>
      </w:r>
      <w:r w:rsidRPr="00911DC9">
        <w:t xml:space="preserve"> make significant contributions to major social, economic and environmental challenges. Accordingly, the University’s research strategy</w:t>
      </w:r>
      <w:r w:rsidRPr="00911DC9">
        <w:rPr>
          <w:i/>
        </w:rPr>
        <w:t xml:space="preserve"> Research at Melbourne: Ensuring Excellence and Impact to 2025</w:t>
      </w:r>
      <w:r w:rsidRPr="00911DC9">
        <w:t xml:space="preserve"> aspires to a significant advancement in the excellence and impact of its research outputs. </w:t>
      </w:r>
      <w:hyperlink r:id="rId26" w:history="1">
        <w:r w:rsidR="009C7F8B" w:rsidRPr="009C7F8B">
          <w:rPr>
            <w:rStyle w:val="Hyperlink"/>
            <w:szCs w:val="20"/>
          </w:rPr>
          <w:t>http://research.unimelb.edu.au/our-research/research-at-melbourne</w:t>
        </w:r>
      </w:hyperlink>
    </w:p>
    <w:p w14:paraId="08CBCFC3" w14:textId="77777777" w:rsidR="00F82076" w:rsidRPr="00FA4289" w:rsidRDefault="00F82076" w:rsidP="00ED4E51">
      <w:pPr>
        <w:pStyle w:val="BodyTextIndent"/>
      </w:pPr>
      <w:r w:rsidRPr="00FA4289">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0DEE1A73" w14:textId="77777777" w:rsidR="00F82076" w:rsidRPr="00FA4289" w:rsidRDefault="00F82076" w:rsidP="007501E5">
      <w:pPr>
        <w:pStyle w:val="ListBullet2"/>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02796082" w14:textId="77777777" w:rsidR="00F82076" w:rsidRPr="00FA4289" w:rsidRDefault="00F82076" w:rsidP="007501E5">
      <w:pPr>
        <w:pStyle w:val="ListBullet2"/>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05780D95" w14:textId="77777777" w:rsidR="009F0E3D" w:rsidRDefault="00F82076" w:rsidP="007501E5">
      <w:pPr>
        <w:pStyle w:val="ListBullet2"/>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rsidR="009F0E3D">
        <w:t xml:space="preserve">living patterns and behaviours. </w:t>
      </w:r>
    </w:p>
    <w:p w14:paraId="69ADC301" w14:textId="77777777" w:rsidR="00F82076" w:rsidRPr="007501E5" w:rsidRDefault="00F82076" w:rsidP="00ED4E51">
      <w:pPr>
        <w:pStyle w:val="BodyTextIndent"/>
      </w:pPr>
      <w:r w:rsidRPr="007501E5">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4A1EDED6" w14:textId="77777777" w:rsidR="003048EF" w:rsidRPr="001B0483" w:rsidRDefault="003048EF" w:rsidP="00ED4E51">
      <w:pPr>
        <w:pStyle w:val="Heading2"/>
      </w:pPr>
      <w:r w:rsidRPr="001B0483">
        <w:lastRenderedPageBreak/>
        <w:t>Governance</w:t>
      </w:r>
    </w:p>
    <w:p w14:paraId="1D578E5D" w14:textId="77777777" w:rsidR="003048EF" w:rsidRPr="00FA4289" w:rsidRDefault="003048EF" w:rsidP="00ED4E51">
      <w:pPr>
        <w:pStyle w:val="BodyTextIndent"/>
      </w:pPr>
      <w:r w:rsidRPr="00FA4289">
        <w:t>The Vice Chancellor is the Chief Executive Officer of the University and responsible to Council for the good management of the University.</w:t>
      </w:r>
    </w:p>
    <w:p w14:paraId="42FD385D" w14:textId="77777777" w:rsidR="003048EF" w:rsidRPr="00BC02FC" w:rsidRDefault="003048EF" w:rsidP="00ED4E51">
      <w:pPr>
        <w:pStyle w:val="BodyTextIndent"/>
        <w:rPr>
          <w:color w:val="336699"/>
        </w:rPr>
      </w:pPr>
      <w:r w:rsidRPr="00FA4289">
        <w:t>Comprehensive information about the University of Melbourne and its governance structure is available at</w:t>
      </w:r>
      <w:r w:rsidR="007501E5">
        <w:t xml:space="preserve"> </w:t>
      </w:r>
      <w:hyperlink r:id="rId27" w:history="1">
        <w:r w:rsidR="007501E5" w:rsidRPr="007501E5">
          <w:rPr>
            <w:rStyle w:val="Hyperlink"/>
            <w:szCs w:val="20"/>
          </w:rPr>
          <w:t>http://www.unimelb.edu.au/governance</w:t>
        </w:r>
      </w:hyperlink>
      <w:r w:rsidR="007501E5">
        <w:t xml:space="preserve"> </w:t>
      </w:r>
      <w:r>
        <w:t xml:space="preserve"> </w:t>
      </w:r>
    </w:p>
    <w:p w14:paraId="07681291" w14:textId="77777777" w:rsidR="00906207" w:rsidRDefault="00906207" w:rsidP="00ED4E51">
      <w:pPr>
        <w:pStyle w:val="BodyTextIndent"/>
      </w:pPr>
    </w:p>
    <w:p w14:paraId="3E9D02CB" w14:textId="77777777" w:rsidR="009B62BA" w:rsidRDefault="009B62BA" w:rsidP="00ED4E51">
      <w:pPr>
        <w:pStyle w:val="BodyTextIndent"/>
      </w:pPr>
    </w:p>
    <w:p w14:paraId="2880EF7A" w14:textId="77777777" w:rsidR="009B62BA" w:rsidRPr="00CA2B0E" w:rsidRDefault="009B62BA" w:rsidP="00ED4E51">
      <w:pPr>
        <w:pStyle w:val="BodyTextIndent"/>
      </w:pPr>
    </w:p>
    <w:sectPr w:rsidR="009B62BA" w:rsidRPr="00CA2B0E" w:rsidSect="00E36AF0">
      <w:headerReference w:type="default" r:id="rId28"/>
      <w:footerReference w:type="default" r:id="rId29"/>
      <w:footerReference w:type="first" r:id="rId30"/>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3A8E" w14:textId="77777777" w:rsidR="00733DFF" w:rsidRDefault="00733DFF">
      <w:r>
        <w:separator/>
      </w:r>
    </w:p>
    <w:p w14:paraId="2A5F2BEF" w14:textId="77777777" w:rsidR="00733DFF" w:rsidRDefault="00733DFF"/>
  </w:endnote>
  <w:endnote w:type="continuationSeparator" w:id="0">
    <w:p w14:paraId="4F5D0964" w14:textId="77777777" w:rsidR="00733DFF" w:rsidRDefault="00733DFF">
      <w:r>
        <w:continuationSeparator/>
      </w:r>
    </w:p>
    <w:p w14:paraId="3F3E1074" w14:textId="77777777" w:rsidR="00733DFF" w:rsidRDefault="00733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F338" w14:textId="31D23C65"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ED4E51">
      <w:rPr>
        <w:noProof/>
      </w:rPr>
      <w:t>2</w:t>
    </w:r>
    <w:r w:rsidR="00E148EF">
      <w:fldChar w:fldCharType="end"/>
    </w:r>
    <w:r>
      <w:t xml:space="preserve"> of </w:t>
    </w:r>
    <w:r w:rsidR="00733DFF">
      <w:fldChar w:fldCharType="begin"/>
    </w:r>
    <w:r w:rsidR="00733DFF">
      <w:instrText xml:space="preserve"> NUMPAGES </w:instrText>
    </w:r>
    <w:r w:rsidR="00733DFF">
      <w:fldChar w:fldCharType="separate"/>
    </w:r>
    <w:r w:rsidR="00ED4E51">
      <w:rPr>
        <w:noProof/>
      </w:rPr>
      <w:t>7</w:t>
    </w:r>
    <w:r w:rsidR="00733DFF">
      <w:rPr>
        <w:noProof/>
      </w:rPr>
      <w:fldChar w:fldCharType="end"/>
    </w:r>
  </w:p>
  <w:p w14:paraId="236D596D"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41A1" w14:textId="77777777" w:rsidR="00773259" w:rsidRDefault="00773259" w:rsidP="00855C2D">
    <w:pPr>
      <w:pStyle w:val="Footer"/>
      <w:tabs>
        <w:tab w:val="clear" w:pos="4153"/>
        <w:tab w:val="clear" w:pos="8306"/>
        <w:tab w:val="center" w:pos="4500"/>
        <w:tab w:val="right" w:pos="8460"/>
      </w:tabs>
    </w:pPr>
  </w:p>
  <w:p w14:paraId="70C3202B" w14:textId="77777777" w:rsidR="00773259" w:rsidRDefault="00773259" w:rsidP="00855C2D">
    <w:pPr>
      <w:pStyle w:val="Footer"/>
      <w:tabs>
        <w:tab w:val="clear" w:pos="4153"/>
        <w:tab w:val="clear" w:pos="8306"/>
        <w:tab w:val="center" w:pos="4500"/>
        <w:tab w:val="right" w:pos="8460"/>
      </w:tabs>
    </w:pPr>
    <w:r>
      <w:tab/>
    </w:r>
    <w:r>
      <w:tab/>
    </w:r>
  </w:p>
  <w:p w14:paraId="08B5F50E" w14:textId="79FE841D"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ED4E51">
      <w:rPr>
        <w:noProof/>
      </w:rPr>
      <w:t>1</w:t>
    </w:r>
    <w:r w:rsidR="00773259">
      <w:fldChar w:fldCharType="end"/>
    </w:r>
    <w:r w:rsidR="00773259">
      <w:t xml:space="preserve"> of </w:t>
    </w:r>
    <w:r w:rsidR="00733DFF">
      <w:fldChar w:fldCharType="begin"/>
    </w:r>
    <w:r w:rsidR="00733DFF">
      <w:instrText xml:space="preserve"> NUMPAGES </w:instrText>
    </w:r>
    <w:r w:rsidR="00733DFF">
      <w:fldChar w:fldCharType="separate"/>
    </w:r>
    <w:r w:rsidR="00ED4E51">
      <w:rPr>
        <w:noProof/>
      </w:rPr>
      <w:t>7</w:t>
    </w:r>
    <w:r w:rsidR="00733DFF">
      <w:rPr>
        <w:noProof/>
      </w:rPr>
      <w:fldChar w:fldCharType="end"/>
    </w:r>
  </w:p>
  <w:p w14:paraId="4786CF0F"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10B7" w14:textId="77777777" w:rsidR="00733DFF" w:rsidRDefault="00733DFF">
      <w:r>
        <w:separator/>
      </w:r>
    </w:p>
    <w:p w14:paraId="1C7B01CB" w14:textId="77777777" w:rsidR="00733DFF" w:rsidRDefault="00733DFF"/>
  </w:footnote>
  <w:footnote w:type="continuationSeparator" w:id="0">
    <w:p w14:paraId="4BC44737" w14:textId="77777777" w:rsidR="00733DFF" w:rsidRDefault="00733DFF">
      <w:r>
        <w:continuationSeparator/>
      </w:r>
    </w:p>
    <w:p w14:paraId="43ECE3A5" w14:textId="77777777" w:rsidR="00733DFF" w:rsidRDefault="00733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325F" w14:textId="05A620EA" w:rsidR="00971074" w:rsidRPr="00F5435A" w:rsidRDefault="00CE6780" w:rsidP="00855C2D">
    <w:pPr>
      <w:pStyle w:val="HeaderText"/>
      <w:tabs>
        <w:tab w:val="clear" w:pos="4153"/>
        <w:tab w:val="clear" w:pos="8306"/>
        <w:tab w:val="center" w:pos="4500"/>
        <w:tab w:val="right" w:pos="8460"/>
      </w:tabs>
    </w:pPr>
    <w:r w:rsidRPr="00CE6780">
      <w:t>0054723</w:t>
    </w:r>
    <w:r w:rsidR="00971074">
      <w:tab/>
    </w:r>
    <w:r w:rsidR="00971074">
      <w:tab/>
    </w:r>
    <w:r w:rsidR="009F1221">
      <w:t xml:space="preserve">The </w:t>
    </w:r>
    <w:r w:rsidR="00971074">
      <w:t>University of Melbourne</w:t>
    </w:r>
  </w:p>
  <w:p w14:paraId="09077075"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25pt;height:9.25pt" o:bullet="t">
        <v:imagedata r:id="rId1" o:title="double-arrow"/>
      </v:shape>
    </w:pict>
  </w:numPicBullet>
  <w:numPicBullet w:numPicBulletId="1">
    <w:pict>
      <v:shape id="_x0000_i1063" type="#_x0000_t75" style="width:9.25pt;height:9.25pt" o:bullet="t">
        <v:imagedata r:id="rId2" o:title="BD10255_"/>
      </v:shape>
    </w:pict>
  </w:numPicBullet>
  <w:numPicBullet w:numPicBulletId="2">
    <w:pict>
      <v:shape id="_x0000_i1064" type="#_x0000_t75" style="width:5.7pt;height:10.7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B52E77"/>
    <w:multiLevelType w:val="hybridMultilevel"/>
    <w:tmpl w:val="8FECFAB0"/>
    <w:lvl w:ilvl="0" w:tplc="5AB64E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F11BD5"/>
    <w:multiLevelType w:val="hybridMultilevel"/>
    <w:tmpl w:val="7AFC9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9"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0"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389447">
    <w:abstractNumId w:val="5"/>
  </w:num>
  <w:num w:numId="2" w16cid:durableId="49769344">
    <w:abstractNumId w:val="0"/>
  </w:num>
  <w:num w:numId="3" w16cid:durableId="1138373763">
    <w:abstractNumId w:val="6"/>
  </w:num>
  <w:num w:numId="4" w16cid:durableId="1774936391">
    <w:abstractNumId w:val="3"/>
  </w:num>
  <w:num w:numId="5" w16cid:durableId="1109084424">
    <w:abstractNumId w:val="15"/>
  </w:num>
  <w:num w:numId="6" w16cid:durableId="2031564814">
    <w:abstractNumId w:val="19"/>
  </w:num>
  <w:num w:numId="7" w16cid:durableId="759567277">
    <w:abstractNumId w:val="18"/>
  </w:num>
  <w:num w:numId="8" w16cid:durableId="1295718143">
    <w:abstractNumId w:val="4"/>
  </w:num>
  <w:num w:numId="9" w16cid:durableId="117919438">
    <w:abstractNumId w:val="17"/>
  </w:num>
  <w:num w:numId="10" w16cid:durableId="360210336">
    <w:abstractNumId w:val="13"/>
  </w:num>
  <w:num w:numId="11" w16cid:durableId="37692988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4247659">
    <w:abstractNumId w:val="20"/>
  </w:num>
  <w:num w:numId="13" w16cid:durableId="841895858">
    <w:abstractNumId w:val="12"/>
  </w:num>
  <w:num w:numId="14" w16cid:durableId="1725643098">
    <w:abstractNumId w:val="11"/>
  </w:num>
  <w:num w:numId="15" w16cid:durableId="2134328697">
    <w:abstractNumId w:val="10"/>
  </w:num>
  <w:num w:numId="16" w16cid:durableId="1969316713">
    <w:abstractNumId w:val="1"/>
  </w:num>
  <w:num w:numId="17" w16cid:durableId="1440489582">
    <w:abstractNumId w:val="9"/>
  </w:num>
  <w:num w:numId="18" w16cid:durableId="2104690863">
    <w:abstractNumId w:val="21"/>
  </w:num>
  <w:num w:numId="19" w16cid:durableId="700517627">
    <w:abstractNumId w:val="2"/>
  </w:num>
  <w:num w:numId="20" w16cid:durableId="1788888940">
    <w:abstractNumId w:val="14"/>
  </w:num>
  <w:num w:numId="21" w16cid:durableId="1061362696">
    <w:abstractNumId w:val="8"/>
  </w:num>
  <w:num w:numId="22" w16cid:durableId="1836992664">
    <w:abstractNumId w:val="4"/>
  </w:num>
  <w:num w:numId="23" w16cid:durableId="965164725">
    <w:abstractNumId w:val="16"/>
  </w:num>
  <w:num w:numId="24" w16cid:durableId="16981176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2E0A"/>
    <w:rsid w:val="00005B9E"/>
    <w:rsid w:val="00012400"/>
    <w:rsid w:val="00012693"/>
    <w:rsid w:val="00012FC7"/>
    <w:rsid w:val="000132A1"/>
    <w:rsid w:val="00013BB5"/>
    <w:rsid w:val="0002292F"/>
    <w:rsid w:val="00023D11"/>
    <w:rsid w:val="000256AE"/>
    <w:rsid w:val="00030030"/>
    <w:rsid w:val="00031B38"/>
    <w:rsid w:val="00034C9F"/>
    <w:rsid w:val="00036024"/>
    <w:rsid w:val="00042EB1"/>
    <w:rsid w:val="000451BD"/>
    <w:rsid w:val="00045D08"/>
    <w:rsid w:val="00046A6B"/>
    <w:rsid w:val="000503E2"/>
    <w:rsid w:val="000525E3"/>
    <w:rsid w:val="000528BA"/>
    <w:rsid w:val="00056CEC"/>
    <w:rsid w:val="00057F4D"/>
    <w:rsid w:val="00062ACC"/>
    <w:rsid w:val="000634F4"/>
    <w:rsid w:val="000638C8"/>
    <w:rsid w:val="000668B5"/>
    <w:rsid w:val="00070F24"/>
    <w:rsid w:val="0007475F"/>
    <w:rsid w:val="000765DD"/>
    <w:rsid w:val="00090C77"/>
    <w:rsid w:val="0009553D"/>
    <w:rsid w:val="00096B16"/>
    <w:rsid w:val="00097A48"/>
    <w:rsid w:val="000A1EFD"/>
    <w:rsid w:val="000A3552"/>
    <w:rsid w:val="000A3CEF"/>
    <w:rsid w:val="000A5B73"/>
    <w:rsid w:val="000B01AD"/>
    <w:rsid w:val="000B0359"/>
    <w:rsid w:val="000B0F8E"/>
    <w:rsid w:val="000B574C"/>
    <w:rsid w:val="000C1784"/>
    <w:rsid w:val="000C3F07"/>
    <w:rsid w:val="000C47B5"/>
    <w:rsid w:val="000C77F8"/>
    <w:rsid w:val="000D17A8"/>
    <w:rsid w:val="000D312B"/>
    <w:rsid w:val="000D54E0"/>
    <w:rsid w:val="000D6A7C"/>
    <w:rsid w:val="000D73FD"/>
    <w:rsid w:val="000E0964"/>
    <w:rsid w:val="000E354F"/>
    <w:rsid w:val="000E7119"/>
    <w:rsid w:val="000F0531"/>
    <w:rsid w:val="000F18C0"/>
    <w:rsid w:val="000F5EE2"/>
    <w:rsid w:val="001014CC"/>
    <w:rsid w:val="00111ED8"/>
    <w:rsid w:val="00115F5B"/>
    <w:rsid w:val="00117B28"/>
    <w:rsid w:val="00120951"/>
    <w:rsid w:val="00120EBA"/>
    <w:rsid w:val="00121A2C"/>
    <w:rsid w:val="001246B1"/>
    <w:rsid w:val="001251CA"/>
    <w:rsid w:val="001254DE"/>
    <w:rsid w:val="001307BD"/>
    <w:rsid w:val="00131A54"/>
    <w:rsid w:val="00134BB5"/>
    <w:rsid w:val="001366EE"/>
    <w:rsid w:val="00140F3C"/>
    <w:rsid w:val="00141039"/>
    <w:rsid w:val="001517C6"/>
    <w:rsid w:val="00151A41"/>
    <w:rsid w:val="00153C89"/>
    <w:rsid w:val="00154871"/>
    <w:rsid w:val="001567DB"/>
    <w:rsid w:val="00156CA7"/>
    <w:rsid w:val="00160C7B"/>
    <w:rsid w:val="001674F5"/>
    <w:rsid w:val="00167AB6"/>
    <w:rsid w:val="00167D61"/>
    <w:rsid w:val="00167FD1"/>
    <w:rsid w:val="001702E4"/>
    <w:rsid w:val="00173287"/>
    <w:rsid w:val="00175AC5"/>
    <w:rsid w:val="00180CBC"/>
    <w:rsid w:val="001855B7"/>
    <w:rsid w:val="00187963"/>
    <w:rsid w:val="00192F69"/>
    <w:rsid w:val="001949AC"/>
    <w:rsid w:val="00194F93"/>
    <w:rsid w:val="00195863"/>
    <w:rsid w:val="001A0262"/>
    <w:rsid w:val="001A092A"/>
    <w:rsid w:val="001A19C7"/>
    <w:rsid w:val="001A2182"/>
    <w:rsid w:val="001A4DC7"/>
    <w:rsid w:val="001A6097"/>
    <w:rsid w:val="001A68D2"/>
    <w:rsid w:val="001A74F7"/>
    <w:rsid w:val="001A7787"/>
    <w:rsid w:val="001B0041"/>
    <w:rsid w:val="001B0483"/>
    <w:rsid w:val="001B0BCF"/>
    <w:rsid w:val="001B13D3"/>
    <w:rsid w:val="001B3543"/>
    <w:rsid w:val="001B7897"/>
    <w:rsid w:val="001C1DE1"/>
    <w:rsid w:val="001C20D7"/>
    <w:rsid w:val="001C3C5F"/>
    <w:rsid w:val="001C50AB"/>
    <w:rsid w:val="001C5756"/>
    <w:rsid w:val="001C5B21"/>
    <w:rsid w:val="001D717B"/>
    <w:rsid w:val="001D79FC"/>
    <w:rsid w:val="001D7E95"/>
    <w:rsid w:val="001E0B46"/>
    <w:rsid w:val="001E2E0E"/>
    <w:rsid w:val="001E31BC"/>
    <w:rsid w:val="001E4B4E"/>
    <w:rsid w:val="001E60E6"/>
    <w:rsid w:val="001F132E"/>
    <w:rsid w:val="001F37AD"/>
    <w:rsid w:val="001F504C"/>
    <w:rsid w:val="00200B3B"/>
    <w:rsid w:val="00202C10"/>
    <w:rsid w:val="00205438"/>
    <w:rsid w:val="0021009B"/>
    <w:rsid w:val="0021058E"/>
    <w:rsid w:val="002120A3"/>
    <w:rsid w:val="0021575F"/>
    <w:rsid w:val="00222033"/>
    <w:rsid w:val="002225E3"/>
    <w:rsid w:val="00222797"/>
    <w:rsid w:val="00223E67"/>
    <w:rsid w:val="00223F38"/>
    <w:rsid w:val="00225065"/>
    <w:rsid w:val="002260E4"/>
    <w:rsid w:val="00231FCC"/>
    <w:rsid w:val="00234A39"/>
    <w:rsid w:val="00240E06"/>
    <w:rsid w:val="002425E3"/>
    <w:rsid w:val="00244128"/>
    <w:rsid w:val="002454F7"/>
    <w:rsid w:val="002502A5"/>
    <w:rsid w:val="00250840"/>
    <w:rsid w:val="00250F76"/>
    <w:rsid w:val="00252DDC"/>
    <w:rsid w:val="00253F36"/>
    <w:rsid w:val="00254F1C"/>
    <w:rsid w:val="00256686"/>
    <w:rsid w:val="002604F8"/>
    <w:rsid w:val="00262A8B"/>
    <w:rsid w:val="002659C7"/>
    <w:rsid w:val="00265CA0"/>
    <w:rsid w:val="002663F0"/>
    <w:rsid w:val="0026744C"/>
    <w:rsid w:val="00267D41"/>
    <w:rsid w:val="00275E8A"/>
    <w:rsid w:val="002766D6"/>
    <w:rsid w:val="002766EF"/>
    <w:rsid w:val="00281096"/>
    <w:rsid w:val="00283B3C"/>
    <w:rsid w:val="00290FE0"/>
    <w:rsid w:val="00291468"/>
    <w:rsid w:val="00291813"/>
    <w:rsid w:val="00293341"/>
    <w:rsid w:val="002962DF"/>
    <w:rsid w:val="00297A51"/>
    <w:rsid w:val="002A0BF4"/>
    <w:rsid w:val="002A494A"/>
    <w:rsid w:val="002A715F"/>
    <w:rsid w:val="002C63F4"/>
    <w:rsid w:val="002C71C0"/>
    <w:rsid w:val="002C746F"/>
    <w:rsid w:val="002C760C"/>
    <w:rsid w:val="002D4CAA"/>
    <w:rsid w:val="002D6E9E"/>
    <w:rsid w:val="002E1795"/>
    <w:rsid w:val="002E6FC9"/>
    <w:rsid w:val="002E79F5"/>
    <w:rsid w:val="002F0603"/>
    <w:rsid w:val="002F0B39"/>
    <w:rsid w:val="002F26F4"/>
    <w:rsid w:val="002F3A3E"/>
    <w:rsid w:val="002F62D2"/>
    <w:rsid w:val="002F717B"/>
    <w:rsid w:val="00301313"/>
    <w:rsid w:val="00302823"/>
    <w:rsid w:val="00302F68"/>
    <w:rsid w:val="003048EF"/>
    <w:rsid w:val="00304F79"/>
    <w:rsid w:val="00312D60"/>
    <w:rsid w:val="003159CC"/>
    <w:rsid w:val="003161E2"/>
    <w:rsid w:val="00321853"/>
    <w:rsid w:val="003220A8"/>
    <w:rsid w:val="00324249"/>
    <w:rsid w:val="00324EBD"/>
    <w:rsid w:val="0032737B"/>
    <w:rsid w:val="0032775D"/>
    <w:rsid w:val="00331724"/>
    <w:rsid w:val="00331CB5"/>
    <w:rsid w:val="0033392D"/>
    <w:rsid w:val="00335139"/>
    <w:rsid w:val="003359F3"/>
    <w:rsid w:val="00335B8E"/>
    <w:rsid w:val="00342354"/>
    <w:rsid w:val="0034240E"/>
    <w:rsid w:val="00347480"/>
    <w:rsid w:val="00350F61"/>
    <w:rsid w:val="0035599B"/>
    <w:rsid w:val="00355F02"/>
    <w:rsid w:val="00356973"/>
    <w:rsid w:val="0036045F"/>
    <w:rsid w:val="003645EE"/>
    <w:rsid w:val="00372D74"/>
    <w:rsid w:val="00373D6D"/>
    <w:rsid w:val="00387932"/>
    <w:rsid w:val="00387B39"/>
    <w:rsid w:val="00391019"/>
    <w:rsid w:val="00391D4A"/>
    <w:rsid w:val="003978A4"/>
    <w:rsid w:val="003A0439"/>
    <w:rsid w:val="003A3137"/>
    <w:rsid w:val="003A3DC5"/>
    <w:rsid w:val="003A3FAB"/>
    <w:rsid w:val="003B3D69"/>
    <w:rsid w:val="003B48D1"/>
    <w:rsid w:val="003B76E9"/>
    <w:rsid w:val="003C347E"/>
    <w:rsid w:val="003C6559"/>
    <w:rsid w:val="003C69F7"/>
    <w:rsid w:val="003D14B8"/>
    <w:rsid w:val="003D3D3F"/>
    <w:rsid w:val="003D620F"/>
    <w:rsid w:val="003D62F6"/>
    <w:rsid w:val="003E3D30"/>
    <w:rsid w:val="003E5EB9"/>
    <w:rsid w:val="003E6B14"/>
    <w:rsid w:val="003F18EF"/>
    <w:rsid w:val="003F305E"/>
    <w:rsid w:val="003F3284"/>
    <w:rsid w:val="003F4854"/>
    <w:rsid w:val="003F5050"/>
    <w:rsid w:val="003F7874"/>
    <w:rsid w:val="00401278"/>
    <w:rsid w:val="004019B7"/>
    <w:rsid w:val="004020A7"/>
    <w:rsid w:val="004041E3"/>
    <w:rsid w:val="004058FD"/>
    <w:rsid w:val="00412051"/>
    <w:rsid w:val="00413B6A"/>
    <w:rsid w:val="00414DF6"/>
    <w:rsid w:val="004167BF"/>
    <w:rsid w:val="00425D6C"/>
    <w:rsid w:val="00427582"/>
    <w:rsid w:val="00432706"/>
    <w:rsid w:val="00432B15"/>
    <w:rsid w:val="004333F0"/>
    <w:rsid w:val="004346E1"/>
    <w:rsid w:val="004411C8"/>
    <w:rsid w:val="00441538"/>
    <w:rsid w:val="00441DDC"/>
    <w:rsid w:val="004429A1"/>
    <w:rsid w:val="004429D1"/>
    <w:rsid w:val="004444E3"/>
    <w:rsid w:val="004447DB"/>
    <w:rsid w:val="004454A5"/>
    <w:rsid w:val="00445CC2"/>
    <w:rsid w:val="00445EAB"/>
    <w:rsid w:val="00447176"/>
    <w:rsid w:val="00450F32"/>
    <w:rsid w:val="004538BD"/>
    <w:rsid w:val="004551ED"/>
    <w:rsid w:val="00457EF3"/>
    <w:rsid w:val="004606B2"/>
    <w:rsid w:val="0046210A"/>
    <w:rsid w:val="00462334"/>
    <w:rsid w:val="0046243D"/>
    <w:rsid w:val="00462DFC"/>
    <w:rsid w:val="00463097"/>
    <w:rsid w:val="004642DD"/>
    <w:rsid w:val="00465A8B"/>
    <w:rsid w:val="004703F9"/>
    <w:rsid w:val="0047376C"/>
    <w:rsid w:val="00475696"/>
    <w:rsid w:val="004766AA"/>
    <w:rsid w:val="004816C5"/>
    <w:rsid w:val="004842ED"/>
    <w:rsid w:val="0048467A"/>
    <w:rsid w:val="00485D83"/>
    <w:rsid w:val="00487473"/>
    <w:rsid w:val="00490552"/>
    <w:rsid w:val="00490EC0"/>
    <w:rsid w:val="00490F0E"/>
    <w:rsid w:val="00492317"/>
    <w:rsid w:val="00492A77"/>
    <w:rsid w:val="00495D3C"/>
    <w:rsid w:val="00497E83"/>
    <w:rsid w:val="004A214B"/>
    <w:rsid w:val="004A3CDE"/>
    <w:rsid w:val="004A5E43"/>
    <w:rsid w:val="004B00AD"/>
    <w:rsid w:val="004B7324"/>
    <w:rsid w:val="004C2767"/>
    <w:rsid w:val="004C287C"/>
    <w:rsid w:val="004C6468"/>
    <w:rsid w:val="004D090D"/>
    <w:rsid w:val="004D2B2D"/>
    <w:rsid w:val="004D2E31"/>
    <w:rsid w:val="004D3C35"/>
    <w:rsid w:val="004D57A7"/>
    <w:rsid w:val="004E34E4"/>
    <w:rsid w:val="004E622E"/>
    <w:rsid w:val="004F586E"/>
    <w:rsid w:val="004F5C9A"/>
    <w:rsid w:val="004F7EC5"/>
    <w:rsid w:val="005041B4"/>
    <w:rsid w:val="00504C27"/>
    <w:rsid w:val="00504EF5"/>
    <w:rsid w:val="005058E8"/>
    <w:rsid w:val="00507000"/>
    <w:rsid w:val="00514176"/>
    <w:rsid w:val="005151F9"/>
    <w:rsid w:val="00516000"/>
    <w:rsid w:val="00520BC6"/>
    <w:rsid w:val="0052133C"/>
    <w:rsid w:val="00521BB5"/>
    <w:rsid w:val="00524819"/>
    <w:rsid w:val="00524DA9"/>
    <w:rsid w:val="005329D4"/>
    <w:rsid w:val="005340D3"/>
    <w:rsid w:val="00535265"/>
    <w:rsid w:val="00537A54"/>
    <w:rsid w:val="00537AB1"/>
    <w:rsid w:val="00537F90"/>
    <w:rsid w:val="00541BC0"/>
    <w:rsid w:val="00542186"/>
    <w:rsid w:val="005444AE"/>
    <w:rsid w:val="00544CF5"/>
    <w:rsid w:val="00544EF2"/>
    <w:rsid w:val="00546129"/>
    <w:rsid w:val="0054676C"/>
    <w:rsid w:val="005502A0"/>
    <w:rsid w:val="005542CA"/>
    <w:rsid w:val="00556DB2"/>
    <w:rsid w:val="00561C6B"/>
    <w:rsid w:val="00567156"/>
    <w:rsid w:val="0057053D"/>
    <w:rsid w:val="005761E5"/>
    <w:rsid w:val="0057664B"/>
    <w:rsid w:val="0057787A"/>
    <w:rsid w:val="005778F1"/>
    <w:rsid w:val="005806D9"/>
    <w:rsid w:val="005815E7"/>
    <w:rsid w:val="00582E9F"/>
    <w:rsid w:val="00584702"/>
    <w:rsid w:val="005849E8"/>
    <w:rsid w:val="00585C3E"/>
    <w:rsid w:val="005869AA"/>
    <w:rsid w:val="00586CD1"/>
    <w:rsid w:val="00591143"/>
    <w:rsid w:val="00591D79"/>
    <w:rsid w:val="00594937"/>
    <w:rsid w:val="00596BF8"/>
    <w:rsid w:val="00596FEF"/>
    <w:rsid w:val="00597645"/>
    <w:rsid w:val="00597D12"/>
    <w:rsid w:val="005A2526"/>
    <w:rsid w:val="005A2F79"/>
    <w:rsid w:val="005B3F41"/>
    <w:rsid w:val="005B4E95"/>
    <w:rsid w:val="005B6661"/>
    <w:rsid w:val="005C0CCA"/>
    <w:rsid w:val="005C1279"/>
    <w:rsid w:val="005C2A11"/>
    <w:rsid w:val="005C2A25"/>
    <w:rsid w:val="005C4551"/>
    <w:rsid w:val="005C581A"/>
    <w:rsid w:val="005D08C4"/>
    <w:rsid w:val="005D34EB"/>
    <w:rsid w:val="005D5F3A"/>
    <w:rsid w:val="005E00A6"/>
    <w:rsid w:val="005E1C73"/>
    <w:rsid w:val="005E363D"/>
    <w:rsid w:val="005E4A82"/>
    <w:rsid w:val="005E65EB"/>
    <w:rsid w:val="005F10D7"/>
    <w:rsid w:val="005F171E"/>
    <w:rsid w:val="005F4575"/>
    <w:rsid w:val="005F598F"/>
    <w:rsid w:val="00601B18"/>
    <w:rsid w:val="00605177"/>
    <w:rsid w:val="006052BD"/>
    <w:rsid w:val="00605D33"/>
    <w:rsid w:val="006108F6"/>
    <w:rsid w:val="0061434C"/>
    <w:rsid w:val="00622CE9"/>
    <w:rsid w:val="00622FF8"/>
    <w:rsid w:val="006231FD"/>
    <w:rsid w:val="00623EAA"/>
    <w:rsid w:val="00625314"/>
    <w:rsid w:val="00630E39"/>
    <w:rsid w:val="0063119B"/>
    <w:rsid w:val="0063465A"/>
    <w:rsid w:val="00636363"/>
    <w:rsid w:val="00644036"/>
    <w:rsid w:val="00644F9C"/>
    <w:rsid w:val="00645902"/>
    <w:rsid w:val="00645D2D"/>
    <w:rsid w:val="00645D2F"/>
    <w:rsid w:val="006516AF"/>
    <w:rsid w:val="00652ABE"/>
    <w:rsid w:val="0065518F"/>
    <w:rsid w:val="00656B8E"/>
    <w:rsid w:val="00662949"/>
    <w:rsid w:val="006679F3"/>
    <w:rsid w:val="00674D5C"/>
    <w:rsid w:val="00675AA8"/>
    <w:rsid w:val="00676F49"/>
    <w:rsid w:val="00677D4F"/>
    <w:rsid w:val="00680059"/>
    <w:rsid w:val="00681298"/>
    <w:rsid w:val="006856E0"/>
    <w:rsid w:val="00686992"/>
    <w:rsid w:val="00686BDB"/>
    <w:rsid w:val="00686C96"/>
    <w:rsid w:val="0068793F"/>
    <w:rsid w:val="00696FAB"/>
    <w:rsid w:val="00697A60"/>
    <w:rsid w:val="006A1465"/>
    <w:rsid w:val="006A3F1B"/>
    <w:rsid w:val="006A4690"/>
    <w:rsid w:val="006A603E"/>
    <w:rsid w:val="006B283F"/>
    <w:rsid w:val="006B579F"/>
    <w:rsid w:val="006B61D0"/>
    <w:rsid w:val="006C2129"/>
    <w:rsid w:val="006C3EC1"/>
    <w:rsid w:val="006C5638"/>
    <w:rsid w:val="006C5EBB"/>
    <w:rsid w:val="006C6636"/>
    <w:rsid w:val="006D0513"/>
    <w:rsid w:val="006D1C27"/>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B98"/>
    <w:rsid w:val="00710E2C"/>
    <w:rsid w:val="007130FF"/>
    <w:rsid w:val="0071373A"/>
    <w:rsid w:val="00713CAF"/>
    <w:rsid w:val="0071555D"/>
    <w:rsid w:val="007169E1"/>
    <w:rsid w:val="00731EC9"/>
    <w:rsid w:val="00733DFF"/>
    <w:rsid w:val="0074060D"/>
    <w:rsid w:val="00743B96"/>
    <w:rsid w:val="00743F3C"/>
    <w:rsid w:val="007475C7"/>
    <w:rsid w:val="00747633"/>
    <w:rsid w:val="007501E5"/>
    <w:rsid w:val="00751AC1"/>
    <w:rsid w:val="007535F8"/>
    <w:rsid w:val="0075504B"/>
    <w:rsid w:val="007561BA"/>
    <w:rsid w:val="0075682B"/>
    <w:rsid w:val="00756CAC"/>
    <w:rsid w:val="00757ADE"/>
    <w:rsid w:val="00761D29"/>
    <w:rsid w:val="00765C01"/>
    <w:rsid w:val="00771929"/>
    <w:rsid w:val="00771F63"/>
    <w:rsid w:val="00771FCE"/>
    <w:rsid w:val="00772C3A"/>
    <w:rsid w:val="00773259"/>
    <w:rsid w:val="00773D36"/>
    <w:rsid w:val="0077426C"/>
    <w:rsid w:val="007750D6"/>
    <w:rsid w:val="00780103"/>
    <w:rsid w:val="00783185"/>
    <w:rsid w:val="007840FA"/>
    <w:rsid w:val="007843A7"/>
    <w:rsid w:val="007845D0"/>
    <w:rsid w:val="00791616"/>
    <w:rsid w:val="00793B31"/>
    <w:rsid w:val="00793B8D"/>
    <w:rsid w:val="00796253"/>
    <w:rsid w:val="007A12F2"/>
    <w:rsid w:val="007A1A52"/>
    <w:rsid w:val="007A22C9"/>
    <w:rsid w:val="007A452B"/>
    <w:rsid w:val="007B0B19"/>
    <w:rsid w:val="007C016C"/>
    <w:rsid w:val="007C444E"/>
    <w:rsid w:val="007C4EA9"/>
    <w:rsid w:val="007C636C"/>
    <w:rsid w:val="007D15DA"/>
    <w:rsid w:val="007D4908"/>
    <w:rsid w:val="007E1DAB"/>
    <w:rsid w:val="007E4D16"/>
    <w:rsid w:val="007F12BD"/>
    <w:rsid w:val="007F58EB"/>
    <w:rsid w:val="008007ED"/>
    <w:rsid w:val="0080227D"/>
    <w:rsid w:val="008029CE"/>
    <w:rsid w:val="008071FD"/>
    <w:rsid w:val="00811C57"/>
    <w:rsid w:val="00813513"/>
    <w:rsid w:val="008149A9"/>
    <w:rsid w:val="008152BB"/>
    <w:rsid w:val="00815971"/>
    <w:rsid w:val="00817C14"/>
    <w:rsid w:val="008217E9"/>
    <w:rsid w:val="00825649"/>
    <w:rsid w:val="008311E2"/>
    <w:rsid w:val="0083413F"/>
    <w:rsid w:val="00836530"/>
    <w:rsid w:val="008369C1"/>
    <w:rsid w:val="00846FD1"/>
    <w:rsid w:val="0084707B"/>
    <w:rsid w:val="008473A0"/>
    <w:rsid w:val="00847A4F"/>
    <w:rsid w:val="00854F47"/>
    <w:rsid w:val="00855C2D"/>
    <w:rsid w:val="00857B0A"/>
    <w:rsid w:val="00867346"/>
    <w:rsid w:val="00870D80"/>
    <w:rsid w:val="00873BCF"/>
    <w:rsid w:val="008744D8"/>
    <w:rsid w:val="00874AC0"/>
    <w:rsid w:val="00883D32"/>
    <w:rsid w:val="00885279"/>
    <w:rsid w:val="00887D56"/>
    <w:rsid w:val="00891748"/>
    <w:rsid w:val="00892419"/>
    <w:rsid w:val="008928ED"/>
    <w:rsid w:val="00897634"/>
    <w:rsid w:val="00897EF4"/>
    <w:rsid w:val="008A1E08"/>
    <w:rsid w:val="008A41E3"/>
    <w:rsid w:val="008A6FE1"/>
    <w:rsid w:val="008B0652"/>
    <w:rsid w:val="008B1839"/>
    <w:rsid w:val="008B6765"/>
    <w:rsid w:val="008B7A37"/>
    <w:rsid w:val="008B7AA3"/>
    <w:rsid w:val="008C1B66"/>
    <w:rsid w:val="008C289E"/>
    <w:rsid w:val="008C2B1A"/>
    <w:rsid w:val="008C357A"/>
    <w:rsid w:val="008C57FE"/>
    <w:rsid w:val="008C5DE2"/>
    <w:rsid w:val="008C7FA4"/>
    <w:rsid w:val="008D0BDA"/>
    <w:rsid w:val="008D4A29"/>
    <w:rsid w:val="008D72E9"/>
    <w:rsid w:val="008D7AE0"/>
    <w:rsid w:val="008D7EF9"/>
    <w:rsid w:val="008E3251"/>
    <w:rsid w:val="008E34F1"/>
    <w:rsid w:val="008E372B"/>
    <w:rsid w:val="008E54E5"/>
    <w:rsid w:val="008E5D00"/>
    <w:rsid w:val="008E60DD"/>
    <w:rsid w:val="008E6A8B"/>
    <w:rsid w:val="008F2046"/>
    <w:rsid w:val="008F6B67"/>
    <w:rsid w:val="009000A1"/>
    <w:rsid w:val="00900C3F"/>
    <w:rsid w:val="0090216C"/>
    <w:rsid w:val="009037D9"/>
    <w:rsid w:val="009041E0"/>
    <w:rsid w:val="00904853"/>
    <w:rsid w:val="00905DEE"/>
    <w:rsid w:val="00906207"/>
    <w:rsid w:val="009100DE"/>
    <w:rsid w:val="00913DC9"/>
    <w:rsid w:val="0091454B"/>
    <w:rsid w:val="00915114"/>
    <w:rsid w:val="009172D9"/>
    <w:rsid w:val="00920FFA"/>
    <w:rsid w:val="009221C9"/>
    <w:rsid w:val="00923DB4"/>
    <w:rsid w:val="0092651E"/>
    <w:rsid w:val="0092792F"/>
    <w:rsid w:val="00931CBF"/>
    <w:rsid w:val="00937ADA"/>
    <w:rsid w:val="0094130B"/>
    <w:rsid w:val="00944176"/>
    <w:rsid w:val="00950926"/>
    <w:rsid w:val="009537A4"/>
    <w:rsid w:val="009559C6"/>
    <w:rsid w:val="00961BC7"/>
    <w:rsid w:val="00961EE1"/>
    <w:rsid w:val="009621F0"/>
    <w:rsid w:val="0096398D"/>
    <w:rsid w:val="00964142"/>
    <w:rsid w:val="00964C3F"/>
    <w:rsid w:val="00964CDA"/>
    <w:rsid w:val="0096521F"/>
    <w:rsid w:val="00965947"/>
    <w:rsid w:val="00965ACE"/>
    <w:rsid w:val="009662E8"/>
    <w:rsid w:val="00967F3C"/>
    <w:rsid w:val="00971074"/>
    <w:rsid w:val="009712AE"/>
    <w:rsid w:val="009844B8"/>
    <w:rsid w:val="00984CE0"/>
    <w:rsid w:val="009905A5"/>
    <w:rsid w:val="009929A0"/>
    <w:rsid w:val="00994579"/>
    <w:rsid w:val="009947F9"/>
    <w:rsid w:val="00994926"/>
    <w:rsid w:val="00997B77"/>
    <w:rsid w:val="009A3C76"/>
    <w:rsid w:val="009A4DF2"/>
    <w:rsid w:val="009A4ED7"/>
    <w:rsid w:val="009A4F12"/>
    <w:rsid w:val="009A6DF1"/>
    <w:rsid w:val="009B196A"/>
    <w:rsid w:val="009B439B"/>
    <w:rsid w:val="009B62BA"/>
    <w:rsid w:val="009C23D2"/>
    <w:rsid w:val="009C300E"/>
    <w:rsid w:val="009C4087"/>
    <w:rsid w:val="009C4111"/>
    <w:rsid w:val="009C4489"/>
    <w:rsid w:val="009C4712"/>
    <w:rsid w:val="009C6071"/>
    <w:rsid w:val="009C7030"/>
    <w:rsid w:val="009C7D96"/>
    <w:rsid w:val="009C7F8B"/>
    <w:rsid w:val="009D045B"/>
    <w:rsid w:val="009D1DFB"/>
    <w:rsid w:val="009D6B6F"/>
    <w:rsid w:val="009E2C98"/>
    <w:rsid w:val="009E685F"/>
    <w:rsid w:val="009E78ED"/>
    <w:rsid w:val="009F0059"/>
    <w:rsid w:val="009F0E3D"/>
    <w:rsid w:val="009F1221"/>
    <w:rsid w:val="009F124C"/>
    <w:rsid w:val="009F19DA"/>
    <w:rsid w:val="009F3498"/>
    <w:rsid w:val="009F5825"/>
    <w:rsid w:val="009F7D5E"/>
    <w:rsid w:val="00A00B2D"/>
    <w:rsid w:val="00A0182A"/>
    <w:rsid w:val="00A03E9F"/>
    <w:rsid w:val="00A0461F"/>
    <w:rsid w:val="00A04713"/>
    <w:rsid w:val="00A05E4F"/>
    <w:rsid w:val="00A0649D"/>
    <w:rsid w:val="00A1343E"/>
    <w:rsid w:val="00A1396B"/>
    <w:rsid w:val="00A140C5"/>
    <w:rsid w:val="00A1685A"/>
    <w:rsid w:val="00A16B85"/>
    <w:rsid w:val="00A17535"/>
    <w:rsid w:val="00A20FD3"/>
    <w:rsid w:val="00A24FB3"/>
    <w:rsid w:val="00A2634C"/>
    <w:rsid w:val="00A27EAC"/>
    <w:rsid w:val="00A31679"/>
    <w:rsid w:val="00A35463"/>
    <w:rsid w:val="00A35E3B"/>
    <w:rsid w:val="00A415CF"/>
    <w:rsid w:val="00A419F2"/>
    <w:rsid w:val="00A41D0C"/>
    <w:rsid w:val="00A43577"/>
    <w:rsid w:val="00A453E8"/>
    <w:rsid w:val="00A455FC"/>
    <w:rsid w:val="00A45D1E"/>
    <w:rsid w:val="00A473D0"/>
    <w:rsid w:val="00A52F53"/>
    <w:rsid w:val="00A53336"/>
    <w:rsid w:val="00A54436"/>
    <w:rsid w:val="00A56586"/>
    <w:rsid w:val="00A62ED6"/>
    <w:rsid w:val="00A665CF"/>
    <w:rsid w:val="00A66AA6"/>
    <w:rsid w:val="00A674C7"/>
    <w:rsid w:val="00A7246E"/>
    <w:rsid w:val="00A74C5E"/>
    <w:rsid w:val="00A8263D"/>
    <w:rsid w:val="00A843FF"/>
    <w:rsid w:val="00A85732"/>
    <w:rsid w:val="00A87562"/>
    <w:rsid w:val="00A90ECF"/>
    <w:rsid w:val="00A9224A"/>
    <w:rsid w:val="00A963B0"/>
    <w:rsid w:val="00A97590"/>
    <w:rsid w:val="00A97DCC"/>
    <w:rsid w:val="00AA2248"/>
    <w:rsid w:val="00AA37C7"/>
    <w:rsid w:val="00AA4652"/>
    <w:rsid w:val="00AA6DF6"/>
    <w:rsid w:val="00AB04D0"/>
    <w:rsid w:val="00AB22C4"/>
    <w:rsid w:val="00AB2455"/>
    <w:rsid w:val="00AB3EDC"/>
    <w:rsid w:val="00AB4FF5"/>
    <w:rsid w:val="00AB66DB"/>
    <w:rsid w:val="00AB7707"/>
    <w:rsid w:val="00AC2882"/>
    <w:rsid w:val="00AC526E"/>
    <w:rsid w:val="00AD24D6"/>
    <w:rsid w:val="00AD40C6"/>
    <w:rsid w:val="00AD59C8"/>
    <w:rsid w:val="00AD6E09"/>
    <w:rsid w:val="00AE1C77"/>
    <w:rsid w:val="00AE4C55"/>
    <w:rsid w:val="00AE4DFE"/>
    <w:rsid w:val="00AE75F1"/>
    <w:rsid w:val="00AE7D53"/>
    <w:rsid w:val="00AF07AA"/>
    <w:rsid w:val="00AF1A1D"/>
    <w:rsid w:val="00AF1E77"/>
    <w:rsid w:val="00AF40EA"/>
    <w:rsid w:val="00AF5675"/>
    <w:rsid w:val="00AF66F4"/>
    <w:rsid w:val="00AF72C3"/>
    <w:rsid w:val="00AF78E3"/>
    <w:rsid w:val="00AF7CF9"/>
    <w:rsid w:val="00B0248C"/>
    <w:rsid w:val="00B033B5"/>
    <w:rsid w:val="00B066FF"/>
    <w:rsid w:val="00B06A00"/>
    <w:rsid w:val="00B1262D"/>
    <w:rsid w:val="00B13D12"/>
    <w:rsid w:val="00B14F1B"/>
    <w:rsid w:val="00B165F8"/>
    <w:rsid w:val="00B16E56"/>
    <w:rsid w:val="00B21122"/>
    <w:rsid w:val="00B2205B"/>
    <w:rsid w:val="00B25A95"/>
    <w:rsid w:val="00B2755E"/>
    <w:rsid w:val="00B33B53"/>
    <w:rsid w:val="00B33E96"/>
    <w:rsid w:val="00B36301"/>
    <w:rsid w:val="00B36A9E"/>
    <w:rsid w:val="00B371BE"/>
    <w:rsid w:val="00B37B4D"/>
    <w:rsid w:val="00B418FD"/>
    <w:rsid w:val="00B4433E"/>
    <w:rsid w:val="00B477C3"/>
    <w:rsid w:val="00B4796A"/>
    <w:rsid w:val="00B5723D"/>
    <w:rsid w:val="00B60332"/>
    <w:rsid w:val="00B63833"/>
    <w:rsid w:val="00B63F74"/>
    <w:rsid w:val="00B707F0"/>
    <w:rsid w:val="00B70F6F"/>
    <w:rsid w:val="00B71949"/>
    <w:rsid w:val="00B71B46"/>
    <w:rsid w:val="00B71C4A"/>
    <w:rsid w:val="00B72DCE"/>
    <w:rsid w:val="00B73863"/>
    <w:rsid w:val="00B74EFB"/>
    <w:rsid w:val="00B75345"/>
    <w:rsid w:val="00B76C77"/>
    <w:rsid w:val="00B77552"/>
    <w:rsid w:val="00B77B10"/>
    <w:rsid w:val="00B83A6E"/>
    <w:rsid w:val="00B90B9F"/>
    <w:rsid w:val="00B9472F"/>
    <w:rsid w:val="00BA3AF4"/>
    <w:rsid w:val="00BA531A"/>
    <w:rsid w:val="00BA5711"/>
    <w:rsid w:val="00BB09CD"/>
    <w:rsid w:val="00BB195F"/>
    <w:rsid w:val="00BB21F6"/>
    <w:rsid w:val="00BB26C7"/>
    <w:rsid w:val="00BC02FC"/>
    <w:rsid w:val="00BC1595"/>
    <w:rsid w:val="00BC2E45"/>
    <w:rsid w:val="00BC4633"/>
    <w:rsid w:val="00BD0586"/>
    <w:rsid w:val="00BD165E"/>
    <w:rsid w:val="00BD47FB"/>
    <w:rsid w:val="00BD63A8"/>
    <w:rsid w:val="00BE3714"/>
    <w:rsid w:val="00BE4B70"/>
    <w:rsid w:val="00BE6A3E"/>
    <w:rsid w:val="00BE7351"/>
    <w:rsid w:val="00BF0B50"/>
    <w:rsid w:val="00BF1AA1"/>
    <w:rsid w:val="00BF286F"/>
    <w:rsid w:val="00BF3FEB"/>
    <w:rsid w:val="00BF7375"/>
    <w:rsid w:val="00C0021C"/>
    <w:rsid w:val="00C03412"/>
    <w:rsid w:val="00C063FD"/>
    <w:rsid w:val="00C06FD3"/>
    <w:rsid w:val="00C124FF"/>
    <w:rsid w:val="00C12E54"/>
    <w:rsid w:val="00C13278"/>
    <w:rsid w:val="00C13DC0"/>
    <w:rsid w:val="00C15237"/>
    <w:rsid w:val="00C2013E"/>
    <w:rsid w:val="00C20BBD"/>
    <w:rsid w:val="00C22771"/>
    <w:rsid w:val="00C2438A"/>
    <w:rsid w:val="00C2797C"/>
    <w:rsid w:val="00C31CDC"/>
    <w:rsid w:val="00C32117"/>
    <w:rsid w:val="00C346CE"/>
    <w:rsid w:val="00C34898"/>
    <w:rsid w:val="00C361EE"/>
    <w:rsid w:val="00C423FC"/>
    <w:rsid w:val="00C4572B"/>
    <w:rsid w:val="00C50015"/>
    <w:rsid w:val="00C51BF4"/>
    <w:rsid w:val="00C52B43"/>
    <w:rsid w:val="00C548E7"/>
    <w:rsid w:val="00C555EA"/>
    <w:rsid w:val="00C56A86"/>
    <w:rsid w:val="00C57BC5"/>
    <w:rsid w:val="00C624B5"/>
    <w:rsid w:val="00C627E8"/>
    <w:rsid w:val="00C63133"/>
    <w:rsid w:val="00C635EB"/>
    <w:rsid w:val="00C646BD"/>
    <w:rsid w:val="00C64D25"/>
    <w:rsid w:val="00C653D9"/>
    <w:rsid w:val="00C653F3"/>
    <w:rsid w:val="00C668DE"/>
    <w:rsid w:val="00C73928"/>
    <w:rsid w:val="00C73D60"/>
    <w:rsid w:val="00C74D2A"/>
    <w:rsid w:val="00C74FCD"/>
    <w:rsid w:val="00C75853"/>
    <w:rsid w:val="00C825DD"/>
    <w:rsid w:val="00C8450F"/>
    <w:rsid w:val="00C917FC"/>
    <w:rsid w:val="00C949AC"/>
    <w:rsid w:val="00C959C5"/>
    <w:rsid w:val="00CA1D5D"/>
    <w:rsid w:val="00CA2B0E"/>
    <w:rsid w:val="00CA396F"/>
    <w:rsid w:val="00CB484B"/>
    <w:rsid w:val="00CB5B1D"/>
    <w:rsid w:val="00CB6408"/>
    <w:rsid w:val="00CC0238"/>
    <w:rsid w:val="00CC12B3"/>
    <w:rsid w:val="00CC1EA8"/>
    <w:rsid w:val="00CC224A"/>
    <w:rsid w:val="00CC40D6"/>
    <w:rsid w:val="00CC721F"/>
    <w:rsid w:val="00CC72C3"/>
    <w:rsid w:val="00CC750F"/>
    <w:rsid w:val="00CC76B1"/>
    <w:rsid w:val="00CD2BE0"/>
    <w:rsid w:val="00CD428A"/>
    <w:rsid w:val="00CE1596"/>
    <w:rsid w:val="00CE2A32"/>
    <w:rsid w:val="00CE3A31"/>
    <w:rsid w:val="00CE6780"/>
    <w:rsid w:val="00CE775B"/>
    <w:rsid w:val="00D01C77"/>
    <w:rsid w:val="00D01EF6"/>
    <w:rsid w:val="00D048AD"/>
    <w:rsid w:val="00D058B9"/>
    <w:rsid w:val="00D068A3"/>
    <w:rsid w:val="00D07136"/>
    <w:rsid w:val="00D124DF"/>
    <w:rsid w:val="00D135E3"/>
    <w:rsid w:val="00D15784"/>
    <w:rsid w:val="00D1604D"/>
    <w:rsid w:val="00D16A4D"/>
    <w:rsid w:val="00D16E0A"/>
    <w:rsid w:val="00D17F7E"/>
    <w:rsid w:val="00D2441D"/>
    <w:rsid w:val="00D244E1"/>
    <w:rsid w:val="00D24714"/>
    <w:rsid w:val="00D26A85"/>
    <w:rsid w:val="00D26E3B"/>
    <w:rsid w:val="00D333C2"/>
    <w:rsid w:val="00D343C6"/>
    <w:rsid w:val="00D35670"/>
    <w:rsid w:val="00D40D68"/>
    <w:rsid w:val="00D4254E"/>
    <w:rsid w:val="00D44835"/>
    <w:rsid w:val="00D455EB"/>
    <w:rsid w:val="00D45BA6"/>
    <w:rsid w:val="00D46F5C"/>
    <w:rsid w:val="00D50DDC"/>
    <w:rsid w:val="00D50FF9"/>
    <w:rsid w:val="00D51525"/>
    <w:rsid w:val="00D53C7D"/>
    <w:rsid w:val="00D5650F"/>
    <w:rsid w:val="00D607C8"/>
    <w:rsid w:val="00D6180A"/>
    <w:rsid w:val="00D62E89"/>
    <w:rsid w:val="00D652D7"/>
    <w:rsid w:val="00D6596A"/>
    <w:rsid w:val="00D6727C"/>
    <w:rsid w:val="00D70847"/>
    <w:rsid w:val="00D7322E"/>
    <w:rsid w:val="00D734BC"/>
    <w:rsid w:val="00D802C3"/>
    <w:rsid w:val="00D80563"/>
    <w:rsid w:val="00D84045"/>
    <w:rsid w:val="00D87F8C"/>
    <w:rsid w:val="00D90FDE"/>
    <w:rsid w:val="00D91C33"/>
    <w:rsid w:val="00D94BAD"/>
    <w:rsid w:val="00D97273"/>
    <w:rsid w:val="00D972D4"/>
    <w:rsid w:val="00D9770A"/>
    <w:rsid w:val="00DA244A"/>
    <w:rsid w:val="00DA3232"/>
    <w:rsid w:val="00DA47B0"/>
    <w:rsid w:val="00DB0FEC"/>
    <w:rsid w:val="00DB4D17"/>
    <w:rsid w:val="00DC02AD"/>
    <w:rsid w:val="00DC0924"/>
    <w:rsid w:val="00DC1CC0"/>
    <w:rsid w:val="00DC2F2E"/>
    <w:rsid w:val="00DC359F"/>
    <w:rsid w:val="00DD163F"/>
    <w:rsid w:val="00DD1F71"/>
    <w:rsid w:val="00DD2778"/>
    <w:rsid w:val="00DD40C1"/>
    <w:rsid w:val="00DD7E84"/>
    <w:rsid w:val="00DE032F"/>
    <w:rsid w:val="00DE2903"/>
    <w:rsid w:val="00DE41A9"/>
    <w:rsid w:val="00DE5C7E"/>
    <w:rsid w:val="00DE6A58"/>
    <w:rsid w:val="00DE6A61"/>
    <w:rsid w:val="00DE7DF6"/>
    <w:rsid w:val="00DE7DFB"/>
    <w:rsid w:val="00DF0D2F"/>
    <w:rsid w:val="00DF4003"/>
    <w:rsid w:val="00DF4AD8"/>
    <w:rsid w:val="00DF61EC"/>
    <w:rsid w:val="00E00DDA"/>
    <w:rsid w:val="00E0154D"/>
    <w:rsid w:val="00E01D36"/>
    <w:rsid w:val="00E02812"/>
    <w:rsid w:val="00E02EE3"/>
    <w:rsid w:val="00E0352A"/>
    <w:rsid w:val="00E057C4"/>
    <w:rsid w:val="00E10F6E"/>
    <w:rsid w:val="00E137EC"/>
    <w:rsid w:val="00E138AD"/>
    <w:rsid w:val="00E148EF"/>
    <w:rsid w:val="00E15512"/>
    <w:rsid w:val="00E156E4"/>
    <w:rsid w:val="00E161F4"/>
    <w:rsid w:val="00E20584"/>
    <w:rsid w:val="00E25108"/>
    <w:rsid w:val="00E25AE6"/>
    <w:rsid w:val="00E2611F"/>
    <w:rsid w:val="00E26614"/>
    <w:rsid w:val="00E318D2"/>
    <w:rsid w:val="00E360E8"/>
    <w:rsid w:val="00E36AF0"/>
    <w:rsid w:val="00E36CF1"/>
    <w:rsid w:val="00E419DF"/>
    <w:rsid w:val="00E41DD0"/>
    <w:rsid w:val="00E43F00"/>
    <w:rsid w:val="00E44E56"/>
    <w:rsid w:val="00E53F77"/>
    <w:rsid w:val="00E55607"/>
    <w:rsid w:val="00E61402"/>
    <w:rsid w:val="00E67C7B"/>
    <w:rsid w:val="00E73861"/>
    <w:rsid w:val="00E74AA2"/>
    <w:rsid w:val="00E76D48"/>
    <w:rsid w:val="00E829EC"/>
    <w:rsid w:val="00E82F15"/>
    <w:rsid w:val="00E84B7C"/>
    <w:rsid w:val="00E85BF7"/>
    <w:rsid w:val="00E8647D"/>
    <w:rsid w:val="00E91B32"/>
    <w:rsid w:val="00E91ED0"/>
    <w:rsid w:val="00E9271F"/>
    <w:rsid w:val="00E9311E"/>
    <w:rsid w:val="00E934A1"/>
    <w:rsid w:val="00E95DB4"/>
    <w:rsid w:val="00E97555"/>
    <w:rsid w:val="00EA2513"/>
    <w:rsid w:val="00EA37F4"/>
    <w:rsid w:val="00EA4C92"/>
    <w:rsid w:val="00EA6A60"/>
    <w:rsid w:val="00EB001F"/>
    <w:rsid w:val="00EB2571"/>
    <w:rsid w:val="00EB34F9"/>
    <w:rsid w:val="00EB5065"/>
    <w:rsid w:val="00EB6810"/>
    <w:rsid w:val="00EC5E10"/>
    <w:rsid w:val="00ED2A5A"/>
    <w:rsid w:val="00ED33CC"/>
    <w:rsid w:val="00ED4E51"/>
    <w:rsid w:val="00EE076F"/>
    <w:rsid w:val="00EE3FCF"/>
    <w:rsid w:val="00EE7805"/>
    <w:rsid w:val="00EF0BB5"/>
    <w:rsid w:val="00EF4F62"/>
    <w:rsid w:val="00EF546B"/>
    <w:rsid w:val="00F02E70"/>
    <w:rsid w:val="00F07103"/>
    <w:rsid w:val="00F072CF"/>
    <w:rsid w:val="00F13C8F"/>
    <w:rsid w:val="00F141C0"/>
    <w:rsid w:val="00F148A1"/>
    <w:rsid w:val="00F26760"/>
    <w:rsid w:val="00F2789E"/>
    <w:rsid w:val="00F30BD0"/>
    <w:rsid w:val="00F31387"/>
    <w:rsid w:val="00F318F2"/>
    <w:rsid w:val="00F343C0"/>
    <w:rsid w:val="00F35D89"/>
    <w:rsid w:val="00F3602F"/>
    <w:rsid w:val="00F3681B"/>
    <w:rsid w:val="00F373A8"/>
    <w:rsid w:val="00F37CA4"/>
    <w:rsid w:val="00F37DD0"/>
    <w:rsid w:val="00F407D5"/>
    <w:rsid w:val="00F421E6"/>
    <w:rsid w:val="00F42490"/>
    <w:rsid w:val="00F432FC"/>
    <w:rsid w:val="00F43648"/>
    <w:rsid w:val="00F46F36"/>
    <w:rsid w:val="00F47788"/>
    <w:rsid w:val="00F51AC8"/>
    <w:rsid w:val="00F53BCF"/>
    <w:rsid w:val="00F5435A"/>
    <w:rsid w:val="00F54436"/>
    <w:rsid w:val="00F55732"/>
    <w:rsid w:val="00F5769A"/>
    <w:rsid w:val="00F57A70"/>
    <w:rsid w:val="00F6092C"/>
    <w:rsid w:val="00F63890"/>
    <w:rsid w:val="00F80202"/>
    <w:rsid w:val="00F82076"/>
    <w:rsid w:val="00F90547"/>
    <w:rsid w:val="00F913CD"/>
    <w:rsid w:val="00F918B4"/>
    <w:rsid w:val="00F9499B"/>
    <w:rsid w:val="00F955B3"/>
    <w:rsid w:val="00F96DCE"/>
    <w:rsid w:val="00FA0020"/>
    <w:rsid w:val="00FA028D"/>
    <w:rsid w:val="00FA0C0F"/>
    <w:rsid w:val="00FA37AD"/>
    <w:rsid w:val="00FA4289"/>
    <w:rsid w:val="00FA4BB5"/>
    <w:rsid w:val="00FA753F"/>
    <w:rsid w:val="00FB1B38"/>
    <w:rsid w:val="00FB32B9"/>
    <w:rsid w:val="00FB6851"/>
    <w:rsid w:val="00FB7A28"/>
    <w:rsid w:val="00FC41EB"/>
    <w:rsid w:val="00FD0F5D"/>
    <w:rsid w:val="00FD45F7"/>
    <w:rsid w:val="00FD5852"/>
    <w:rsid w:val="00FD6202"/>
    <w:rsid w:val="00FD63CD"/>
    <w:rsid w:val="00FD7141"/>
    <w:rsid w:val="00FD78A8"/>
    <w:rsid w:val="00FE09E8"/>
    <w:rsid w:val="00FE0FB2"/>
    <w:rsid w:val="00FE3D75"/>
    <w:rsid w:val="00FE3DFF"/>
    <w:rsid w:val="00FE6A4C"/>
    <w:rsid w:val="00FE6FED"/>
    <w:rsid w:val="00FE7FC9"/>
    <w:rsid w:val="00FF1411"/>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79340"/>
  <w15:chartTrackingRefBased/>
  <w15:docId w15:val="{87F5B963-7329-4B48-9B56-DB287127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ED4E51"/>
    <w:pPr>
      <w:spacing w:before="120" w:after="120" w:line="280" w:lineRule="exact"/>
    </w:pPr>
    <w:rPr>
      <w:rFonts w:ascii="Arial" w:hAnsi="Arial" w:cs="Arial"/>
      <w:bCs/>
      <w:sz w:val="20"/>
      <w:szCs w:val="22"/>
      <w:lang w:eastAsia="en-US"/>
    </w:rPr>
  </w:style>
  <w:style w:type="character" w:customStyle="1" w:styleId="BodyTextChar">
    <w:name w:val="Body Text Char"/>
    <w:link w:val="BodyText"/>
    <w:rsid w:val="00ED4E51"/>
    <w:rPr>
      <w:rFonts w:ascii="Arial" w:hAnsi="Arial" w:cs="Arial"/>
      <w:bCs/>
      <w:szCs w:val="22"/>
      <w:lang w:eastAsia="en-US"/>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link w:val="ListBulletChar"/>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val="0"/>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D734BC"/>
    <w:rPr>
      <w:rFonts w:ascii="Arial" w:hAnsi="Arial"/>
      <w:szCs w:val="24"/>
    </w:rPr>
  </w:style>
  <w:style w:type="character" w:styleId="CommentReference">
    <w:name w:val="annotation reference"/>
    <w:basedOn w:val="DefaultParagraphFont"/>
    <w:rsid w:val="002962DF"/>
    <w:rPr>
      <w:sz w:val="16"/>
      <w:szCs w:val="16"/>
    </w:rPr>
  </w:style>
  <w:style w:type="paragraph" w:styleId="CommentText">
    <w:name w:val="annotation text"/>
    <w:basedOn w:val="Normal"/>
    <w:link w:val="CommentTextChar"/>
    <w:rsid w:val="002962DF"/>
    <w:rPr>
      <w:sz w:val="20"/>
      <w:szCs w:val="20"/>
    </w:rPr>
  </w:style>
  <w:style w:type="character" w:customStyle="1" w:styleId="CommentTextChar">
    <w:name w:val="Comment Text Char"/>
    <w:basedOn w:val="DefaultParagraphFont"/>
    <w:link w:val="CommentText"/>
    <w:rsid w:val="002962DF"/>
  </w:style>
  <w:style w:type="paragraph" w:styleId="CommentSubject">
    <w:name w:val="annotation subject"/>
    <w:basedOn w:val="CommentText"/>
    <w:next w:val="CommentText"/>
    <w:link w:val="CommentSubjectChar"/>
    <w:rsid w:val="002962DF"/>
    <w:rPr>
      <w:b/>
      <w:bCs/>
    </w:rPr>
  </w:style>
  <w:style w:type="character" w:customStyle="1" w:styleId="CommentSubjectChar">
    <w:name w:val="Comment Subject Char"/>
    <w:basedOn w:val="CommentTextChar"/>
    <w:link w:val="CommentSubject"/>
    <w:rsid w:val="002962DF"/>
    <w:rPr>
      <w:b/>
      <w:bCs/>
    </w:rPr>
  </w:style>
  <w:style w:type="character" w:customStyle="1" w:styleId="ListBulletChar">
    <w:name w:val="List Bullet Char"/>
    <w:link w:val="ListBullet"/>
    <w:rsid w:val="00AF40EA"/>
    <w:rPr>
      <w:rFonts w:ascii="Arial" w:hAnsi="Arial"/>
      <w:szCs w:val="24"/>
    </w:rPr>
  </w:style>
  <w:style w:type="paragraph" w:customStyle="1" w:styleId="infoheadings">
    <w:name w:val="info_headings"/>
    <w:basedOn w:val="BodyText2"/>
    <w:rsid w:val="00F35D89"/>
    <w:pPr>
      <w:spacing w:after="0" w:line="240" w:lineRule="auto"/>
      <w:ind w:left="-561" w:right="-667"/>
    </w:pPr>
    <w:rPr>
      <w:rFonts w:ascii="Verdana" w:hAnsi="Verdana"/>
      <w:color w:val="333399"/>
      <w:sz w:val="20"/>
      <w:szCs w:val="20"/>
      <w:lang w:eastAsia="zh-CN"/>
    </w:rPr>
  </w:style>
  <w:style w:type="paragraph" w:styleId="BodyText2">
    <w:name w:val="Body Text 2"/>
    <w:basedOn w:val="Normal"/>
    <w:link w:val="BodyText2Char"/>
    <w:rsid w:val="00F35D89"/>
    <w:pPr>
      <w:spacing w:after="120" w:line="480" w:lineRule="auto"/>
    </w:pPr>
  </w:style>
  <w:style w:type="character" w:customStyle="1" w:styleId="BodyText2Char">
    <w:name w:val="Body Text 2 Char"/>
    <w:basedOn w:val="DefaultParagraphFont"/>
    <w:link w:val="BodyText2"/>
    <w:rsid w:val="00F35D89"/>
    <w:rPr>
      <w:sz w:val="24"/>
      <w:szCs w:val="24"/>
    </w:rPr>
  </w:style>
  <w:style w:type="character" w:styleId="UnresolvedMention">
    <w:name w:val="Unresolved Mention"/>
    <w:basedOn w:val="DefaultParagraphFont"/>
    <w:uiPriority w:val="99"/>
    <w:semiHidden/>
    <w:unhideWhenUsed/>
    <w:rsid w:val="001517C6"/>
    <w:rPr>
      <w:color w:val="605E5C"/>
      <w:shd w:val="clear" w:color="auto" w:fill="E1DFDD"/>
    </w:rPr>
  </w:style>
  <w:style w:type="paragraph" w:styleId="ListParagraph">
    <w:name w:val="List Paragraph"/>
    <w:basedOn w:val="Normal"/>
    <w:uiPriority w:val="34"/>
    <w:qFormat/>
    <w:rsid w:val="008928ED"/>
    <w:pPr>
      <w:ind w:left="720"/>
      <w:contextualSpacing/>
    </w:pPr>
  </w:style>
  <w:style w:type="paragraph" w:styleId="Revision">
    <w:name w:val="Revision"/>
    <w:hidden/>
    <w:uiPriority w:val="99"/>
    <w:semiHidden/>
    <w:rsid w:val="005C45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445">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078593869">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bout.unimelb.edu.au/careers/working/benefits" TargetMode="External"/><Relationship Id="rId18" Type="http://schemas.openxmlformats.org/officeDocument/2006/relationships/hyperlink" Target="https://mspgh.unimelb.edu.au/research-groups/centre-for-health-policy/demography-and-ageing" TargetMode="External"/><Relationship Id="rId26" Type="http://schemas.openxmlformats.org/officeDocument/2006/relationships/hyperlink" Target="http://research.unimelb.edu.au/our-research/research-at-melbourne" TargetMode="External"/><Relationship Id="rId3" Type="http://schemas.openxmlformats.org/officeDocument/2006/relationships/customXml" Target="../customXml/item2.xml"/><Relationship Id="rId21" Type="http://schemas.openxmlformats.org/officeDocument/2006/relationships/hyperlink" Target="https://mspgh.unimelb.edu.au/research-groups/centre-for-health-policy/law-and-public-health"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s://mspgh.unimelb.edu.au/centres-institutes/centre-for-health-policy/research-group/cancer-health-unit" TargetMode="External"/><Relationship Id="rId25" Type="http://schemas.openxmlformats.org/officeDocument/2006/relationships/hyperlink" Target="http://about.unimelb.edu.au/strategy-and-leadership" TargetMode="External"/><Relationship Id="rId2" Type="http://schemas.openxmlformats.org/officeDocument/2006/relationships/customXml" Target="../customXml/item1.xml"/><Relationship Id="rId16" Type="http://schemas.openxmlformats.org/officeDocument/2006/relationships/hyperlink" Target="https://mspgh.unimelb.edu.au/centres-institutes/centre-for-health-policy" TargetMode="External"/><Relationship Id="rId20" Type="http://schemas.openxmlformats.org/officeDocument/2006/relationships/hyperlink" Target="http://mspgh.unimelb.edu.au/centres-institutes/centre-for-health-policy/research-group/health-economics"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bout.unimelb.edu.au/careers"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afety.unimelb.edu.au/topics/responsibilities/" TargetMode="External"/><Relationship Id="rId23" Type="http://schemas.openxmlformats.org/officeDocument/2006/relationships/hyperlink" Target="http://www.mdhs.unimelb.edu.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spgh.unimelb.edu.au/centres-institutes/centre-for-health-policy/research-group/evaluation-implementation-science"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hr.unimelb.edu.au/careers" TargetMode="External"/><Relationship Id="rId22" Type="http://schemas.openxmlformats.org/officeDocument/2006/relationships/hyperlink" Target="https://cis.unimelb.edu.au/" TargetMode="External"/><Relationship Id="rId27" Type="http://schemas.openxmlformats.org/officeDocument/2006/relationships/hyperlink" Target="http://www.unimelb.edu.au/governance"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60433F98A964E9A31134687921076" ma:contentTypeVersion="12" ma:contentTypeDescription="Create a new document." ma:contentTypeScope="" ma:versionID="2b54036c65c28f0794fe7b86f000afd9">
  <xsd:schema xmlns:xsd="http://www.w3.org/2001/XMLSchema" xmlns:xs="http://www.w3.org/2001/XMLSchema" xmlns:p="http://schemas.microsoft.com/office/2006/metadata/properties" xmlns:ns2="776d3c37-76e6-433f-9c88-48a717c05c54" xmlns:ns3="e1ac71a8-52ef-4043-9778-a7b3b8613c44" targetNamespace="http://schemas.microsoft.com/office/2006/metadata/properties" ma:root="true" ma:fieldsID="9454cdb6e5ba33cf734f0ef32c7aafc1" ns2:_="" ns3:_="">
    <xsd:import namespace="776d3c37-76e6-433f-9c88-48a717c05c54"/>
    <xsd:import namespace="e1ac71a8-52ef-4043-9778-a7b3b8613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d3c37-76e6-433f-9c88-48a717c05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c71a8-52ef-4043-9778-a7b3b8613c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1ac71a8-52ef-4043-9778-a7b3b8613c44">
      <UserInfo>
        <DisplayName/>
        <AccountId xsi:nil="true"/>
        <AccountType/>
      </UserInfo>
    </SharedWithUsers>
  </documentManagement>
</p:properties>
</file>

<file path=customXml/itemProps1.xml><?xml version="1.0" encoding="utf-8"?>
<ds:datastoreItem xmlns:ds="http://schemas.openxmlformats.org/officeDocument/2006/customXml" ds:itemID="{D6110A25-B5BD-4426-A37D-37E1291A0E3B}">
  <ds:schemaRefs>
    <ds:schemaRef ds:uri="http://schemas.microsoft.com/sharepoint/v3/contenttype/forms"/>
  </ds:schemaRefs>
</ds:datastoreItem>
</file>

<file path=customXml/itemProps2.xml><?xml version="1.0" encoding="utf-8"?>
<ds:datastoreItem xmlns:ds="http://schemas.openxmlformats.org/officeDocument/2006/customXml" ds:itemID="{E474D3BB-6F7A-42C8-A0BB-6E35294F0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d3c37-76e6-433f-9c88-48a717c05c54"/>
    <ds:schemaRef ds:uri="e1ac71a8-52ef-4043-9778-a7b3b8613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11724-445E-4918-8DF1-3FA830EAF0E6}">
  <ds:schemaRefs>
    <ds:schemaRef ds:uri="http://schemas.openxmlformats.org/officeDocument/2006/bibliography"/>
  </ds:schemaRefs>
</ds:datastoreItem>
</file>

<file path=customXml/itemProps4.xml><?xml version="1.0" encoding="utf-8"?>
<ds:datastoreItem xmlns:ds="http://schemas.openxmlformats.org/officeDocument/2006/customXml" ds:itemID="{C38DCA91-E928-4482-9D12-82B779C475B8}">
  <ds:schemaRefs>
    <ds:schemaRef ds:uri="http://schemas.microsoft.com/office/2006/metadata/properties"/>
    <ds:schemaRef ds:uri="http://schemas.microsoft.com/office/infopath/2007/PartnerControls"/>
    <ds:schemaRef ds:uri="e1ac71a8-52ef-4043-9778-a7b3b8613c44"/>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0</TotalTime>
  <Pages>9</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24614</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Isabella Tagilima</cp:lastModifiedBy>
  <cp:revision>2</cp:revision>
  <cp:lastPrinted>2015-08-10T23:42:00Z</cp:lastPrinted>
  <dcterms:created xsi:type="dcterms:W3CDTF">2022-06-15T14:25:00Z</dcterms:created>
  <dcterms:modified xsi:type="dcterms:W3CDTF">2022-06-15T14:25:00Z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0x01010022660433F98A964E9A31134687921076</vt:lpwstr>
  </property>
  <property fmtid="{D5CDD505-2E9C-101B-9397-08002B2CF9AE}" pid="3" name="Order">
    <vt:r8>3934900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