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48160B79" w:rsidR="00E42ADC" w:rsidRPr="00BD10E7" w:rsidRDefault="00BD4973"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Associate Lecturer, Teaching Focussed</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2B84775D" w:rsidR="00E42ADC" w:rsidRPr="00B31573" w:rsidRDefault="00334238"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0759C90B" w:rsidR="00DD4795" w:rsidRPr="00B31573" w:rsidRDefault="00334238"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334238" w:rsidRPr="003A1CFA" w14:paraId="19AA00E3" w14:textId="77777777" w:rsidTr="005D100A">
        <w:tc>
          <w:tcPr>
            <w:tcW w:w="2986" w:type="dxa"/>
            <w:tcBorders>
              <w:right w:val="nil"/>
            </w:tcBorders>
          </w:tcPr>
          <w:p w14:paraId="64896F5A" w14:textId="0CD2A77B"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2FC70432" w14:textId="77777777" w:rsidR="00334238" w:rsidRDefault="00334238"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Agriculture, Biomedicine and Environment</w:t>
            </w:r>
          </w:p>
          <w:p w14:paraId="0781CD34" w14:textId="1F3783C6" w:rsidR="00334238" w:rsidRPr="00B31573" w:rsidRDefault="00334238" w:rsidP="00334238">
            <w:pPr>
              <w:rPr>
                <w:rFonts w:asciiTheme="minorHAnsi" w:hAnsiTheme="minorHAnsi" w:cstheme="minorHAnsi"/>
                <w:color w:val="000000"/>
                <w:sz w:val="22"/>
                <w:szCs w:val="22"/>
                <w:lang w:val="en-AU"/>
              </w:rPr>
            </w:pPr>
          </w:p>
        </w:tc>
      </w:tr>
      <w:tr w:rsidR="00334238" w:rsidRPr="003A1CFA" w14:paraId="6A4798F4" w14:textId="77777777" w:rsidTr="005D100A">
        <w:tc>
          <w:tcPr>
            <w:tcW w:w="2986" w:type="dxa"/>
            <w:tcBorders>
              <w:right w:val="nil"/>
            </w:tcBorders>
          </w:tcPr>
          <w:p w14:paraId="1FD1DA92" w14:textId="77777777" w:rsidR="00334238"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334238" w:rsidRDefault="00334238" w:rsidP="00334238">
            <w:pPr>
              <w:rPr>
                <w:rFonts w:asciiTheme="minorHAnsi" w:hAnsiTheme="minorHAnsi" w:cstheme="minorHAnsi"/>
                <w:b/>
                <w:color w:val="000000"/>
                <w:sz w:val="22"/>
                <w:szCs w:val="22"/>
                <w:lang w:val="en-AU"/>
              </w:rPr>
            </w:pPr>
          </w:p>
          <w:p w14:paraId="7CCBB6A9" w14:textId="5942DA78" w:rsidR="00334238"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 Level:</w:t>
            </w:r>
          </w:p>
          <w:p w14:paraId="59A5CD7E" w14:textId="5FD4ABB2" w:rsidR="00334238" w:rsidRPr="003A1CFA" w:rsidRDefault="00334238" w:rsidP="00334238">
            <w:pPr>
              <w:rPr>
                <w:rFonts w:asciiTheme="minorHAnsi" w:hAnsiTheme="minorHAnsi" w:cstheme="minorHAnsi"/>
                <w:b/>
                <w:color w:val="000000"/>
                <w:sz w:val="22"/>
                <w:szCs w:val="22"/>
                <w:lang w:val="en-AU"/>
              </w:rPr>
            </w:pPr>
          </w:p>
        </w:tc>
        <w:tc>
          <w:tcPr>
            <w:tcW w:w="6040" w:type="dxa"/>
            <w:tcBorders>
              <w:left w:val="nil"/>
            </w:tcBorders>
          </w:tcPr>
          <w:p w14:paraId="79DDEC88" w14:textId="5A436203" w:rsidR="00334238" w:rsidRDefault="00BD4973"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w:t>
            </w:r>
            <w:r w:rsidR="00012134">
              <w:rPr>
                <w:rFonts w:asciiTheme="minorHAnsi" w:hAnsiTheme="minorHAnsi" w:cstheme="minorHAnsi"/>
                <w:color w:val="000000"/>
                <w:sz w:val="22"/>
                <w:szCs w:val="22"/>
                <w:lang w:val="en-AU"/>
              </w:rPr>
              <w:t>Microbiology, Anatomy, Physiology &amp; Pharmacology</w:t>
            </w:r>
          </w:p>
          <w:p w14:paraId="01BDC289" w14:textId="77777777" w:rsidR="00334238" w:rsidRDefault="00334238" w:rsidP="00334238">
            <w:pPr>
              <w:rPr>
                <w:rFonts w:asciiTheme="minorHAnsi" w:hAnsiTheme="minorHAnsi" w:cstheme="minorHAnsi"/>
                <w:color w:val="000000"/>
                <w:sz w:val="22"/>
                <w:szCs w:val="22"/>
                <w:lang w:val="en-AU"/>
              </w:rPr>
            </w:pPr>
          </w:p>
          <w:p w14:paraId="48C936C9" w14:textId="5D65B93C" w:rsidR="00334238" w:rsidRPr="00B31573" w:rsidRDefault="00334238" w:rsidP="00334238">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Level A</w:t>
            </w:r>
            <w:r w:rsidR="00A12036">
              <w:rPr>
                <w:rFonts w:asciiTheme="minorHAnsi" w:hAnsiTheme="minorHAnsi" w:cstheme="minorHAnsi"/>
                <w:color w:val="000000"/>
                <w:sz w:val="22"/>
                <w:szCs w:val="22"/>
                <w:lang w:val="en-AU"/>
              </w:rPr>
              <w:t>,</w:t>
            </w:r>
            <w:r w:rsidRPr="00255A8D">
              <w:rPr>
                <w:rFonts w:asciiTheme="minorHAnsi" w:hAnsiTheme="minorHAnsi" w:cstheme="minorHAnsi"/>
                <w:color w:val="000000"/>
                <w:sz w:val="22"/>
                <w:szCs w:val="22"/>
                <w:lang w:val="en-AU"/>
              </w:rPr>
              <w:t xml:space="preserve"> Teaching Focussed</w:t>
            </w:r>
          </w:p>
        </w:tc>
      </w:tr>
      <w:tr w:rsidR="00334238" w:rsidRPr="003A1CFA" w14:paraId="3A54E68C" w14:textId="77777777" w:rsidTr="00BA114A">
        <w:trPr>
          <w:trHeight w:val="594"/>
        </w:trPr>
        <w:tc>
          <w:tcPr>
            <w:tcW w:w="2986" w:type="dxa"/>
            <w:tcBorders>
              <w:right w:val="nil"/>
            </w:tcBorders>
          </w:tcPr>
          <w:p w14:paraId="23700D66" w14:textId="77777777"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B8F9401" w:rsidR="00334238" w:rsidRPr="003A1CFA" w:rsidRDefault="00B14B09"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Part Time, </w:t>
            </w:r>
            <w:r w:rsidR="00BD4973">
              <w:rPr>
                <w:rFonts w:asciiTheme="minorHAnsi" w:hAnsiTheme="minorHAnsi" w:cstheme="minorHAnsi"/>
                <w:color w:val="000000"/>
                <w:sz w:val="22"/>
                <w:szCs w:val="22"/>
                <w:lang w:val="en-AU"/>
              </w:rPr>
              <w:t>Continuing</w:t>
            </w:r>
            <w:r w:rsidR="0076205E">
              <w:rPr>
                <w:rFonts w:asciiTheme="minorHAnsi" w:hAnsiTheme="minorHAnsi" w:cstheme="minorHAnsi"/>
                <w:color w:val="000000"/>
                <w:sz w:val="22"/>
                <w:szCs w:val="22"/>
                <w:lang w:val="en-AU"/>
              </w:rPr>
              <w:t xml:space="preserve"> (0.</w:t>
            </w:r>
            <w:r w:rsidR="00282E62">
              <w:rPr>
                <w:rFonts w:asciiTheme="minorHAnsi" w:hAnsiTheme="minorHAnsi" w:cstheme="minorHAnsi"/>
                <w:color w:val="000000"/>
                <w:sz w:val="22"/>
                <w:szCs w:val="22"/>
                <w:lang w:val="en-AU"/>
              </w:rPr>
              <w:t>6</w:t>
            </w:r>
            <w:r w:rsidR="0076205E">
              <w:rPr>
                <w:rFonts w:asciiTheme="minorHAnsi" w:hAnsiTheme="minorHAnsi" w:cstheme="minorHAnsi"/>
                <w:color w:val="000000"/>
                <w:sz w:val="22"/>
                <w:szCs w:val="22"/>
                <w:lang w:val="en-AU"/>
              </w:rPr>
              <w:t xml:space="preserve"> FTE)</w:t>
            </w:r>
          </w:p>
          <w:p w14:paraId="5B49D3F3" w14:textId="77777777" w:rsidR="00334238" w:rsidRDefault="00334238" w:rsidP="00334238">
            <w:pPr>
              <w:rPr>
                <w:rFonts w:asciiTheme="minorHAnsi" w:hAnsiTheme="minorHAnsi" w:cstheme="minorHAnsi"/>
                <w:color w:val="000000"/>
                <w:sz w:val="22"/>
                <w:szCs w:val="22"/>
                <w:lang w:val="en-AU"/>
              </w:rPr>
            </w:pPr>
          </w:p>
        </w:tc>
      </w:tr>
      <w:tr w:rsidR="00334238" w:rsidRPr="003A1CFA" w14:paraId="71697981" w14:textId="77777777" w:rsidTr="005D100A">
        <w:trPr>
          <w:trHeight w:val="594"/>
        </w:trPr>
        <w:tc>
          <w:tcPr>
            <w:tcW w:w="2986" w:type="dxa"/>
            <w:tcBorders>
              <w:right w:val="nil"/>
            </w:tcBorders>
          </w:tcPr>
          <w:p w14:paraId="503607F5" w14:textId="35324FD8"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35A68C85" w:rsidR="00334238" w:rsidRDefault="00AB6F72"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Bundoora</w:t>
            </w:r>
          </w:p>
        </w:tc>
      </w:tr>
      <w:tr w:rsidR="00334238" w:rsidRPr="003A1CFA" w14:paraId="3D1FDE50" w14:textId="77777777" w:rsidTr="005D100A">
        <w:tc>
          <w:tcPr>
            <w:tcW w:w="2986" w:type="dxa"/>
            <w:tcBorders>
              <w:right w:val="nil"/>
            </w:tcBorders>
          </w:tcPr>
          <w:p w14:paraId="7610F29A" w14:textId="77777777" w:rsidR="00334238" w:rsidRPr="003A1CFA" w:rsidRDefault="00334238" w:rsidP="00334238">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334238" w:rsidRPr="003A1CFA" w:rsidRDefault="00334238" w:rsidP="00334238">
            <w:pPr>
              <w:rPr>
                <w:rFonts w:asciiTheme="minorHAnsi" w:hAnsiTheme="minorHAnsi" w:cstheme="minorHAnsi"/>
                <w:b/>
                <w:color w:val="000000"/>
                <w:sz w:val="22"/>
                <w:szCs w:val="22"/>
                <w:lang w:val="en-AU"/>
              </w:rPr>
            </w:pPr>
          </w:p>
        </w:tc>
        <w:tc>
          <w:tcPr>
            <w:tcW w:w="6040" w:type="dxa"/>
            <w:tcBorders>
              <w:left w:val="nil"/>
            </w:tcBorders>
          </w:tcPr>
          <w:p w14:paraId="15ECEBD4" w14:textId="77777777" w:rsidR="00334238" w:rsidRPr="003A1CFA" w:rsidRDefault="00334238" w:rsidP="00334238">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502E"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238C1E59" w14:textId="3C8EFE9B" w:rsidR="007B6217" w:rsidRPr="008E38C6" w:rsidRDefault="007B6217" w:rsidP="007B6217">
      <w:pPr>
        <w:pStyle w:val="Default"/>
        <w:rPr>
          <w:color w:val="auto"/>
          <w:sz w:val="22"/>
          <w:szCs w:val="22"/>
        </w:rPr>
      </w:pPr>
      <w:r w:rsidRPr="008E38C6">
        <w:rPr>
          <w:color w:val="auto"/>
          <w:sz w:val="22"/>
          <w:szCs w:val="22"/>
        </w:rPr>
        <w:t>A Level A</w:t>
      </w:r>
      <w:r w:rsidR="00A12036">
        <w:rPr>
          <w:color w:val="auto"/>
          <w:sz w:val="22"/>
          <w:szCs w:val="22"/>
        </w:rPr>
        <w:t>,</w:t>
      </w:r>
      <w:r w:rsidRPr="008E38C6">
        <w:rPr>
          <w:color w:val="auto"/>
          <w:sz w:val="22"/>
          <w:szCs w:val="22"/>
        </w:rPr>
        <w:t xml:space="preserve"> </w:t>
      </w:r>
      <w:r w:rsidR="00A12036">
        <w:rPr>
          <w:color w:val="auto"/>
          <w:sz w:val="22"/>
          <w:szCs w:val="22"/>
        </w:rPr>
        <w:t>Associate Lecturer</w:t>
      </w:r>
      <w:r w:rsidRPr="008E38C6">
        <w:rPr>
          <w:color w:val="auto"/>
          <w:sz w:val="22"/>
          <w:szCs w:val="22"/>
        </w:rPr>
        <w:t xml:space="preserve"> will work under supervision and is expected to contribute to the development of curriculum, assist in the coordination of subjects, teach and support students as they learn, particularly at undergraduate level. In addition, a teaching focussed academic will support the administrative functions of the discipline as well as undertake scholarly work relevant to the development of learning and teaching in their discipline or professional field. </w:t>
      </w:r>
    </w:p>
    <w:p w14:paraId="5174F102" w14:textId="77777777" w:rsidR="007B6217" w:rsidRPr="008E38C6" w:rsidRDefault="007B6217" w:rsidP="007B6217">
      <w:pPr>
        <w:pStyle w:val="Default"/>
        <w:rPr>
          <w:color w:val="auto"/>
          <w:sz w:val="22"/>
          <w:szCs w:val="22"/>
        </w:rPr>
      </w:pPr>
    </w:p>
    <w:p w14:paraId="442F1C7B" w14:textId="52A8CD2A" w:rsidR="00F874D8" w:rsidRPr="00B159F9" w:rsidRDefault="007B6217" w:rsidP="00F874D8">
      <w:pPr>
        <w:pStyle w:val="Default"/>
        <w:rPr>
          <w:color w:val="auto"/>
          <w:sz w:val="22"/>
          <w:szCs w:val="22"/>
        </w:rPr>
      </w:pPr>
      <w:r w:rsidRPr="008E38C6">
        <w:rPr>
          <w:color w:val="auto"/>
          <w:sz w:val="22"/>
          <w:szCs w:val="22"/>
        </w:rPr>
        <w:t>A teaching focussed academic is expected to demonstrate teaching excellence in keeping with the La Trobe Teaching Excellence Principles</w:t>
      </w:r>
      <w:r w:rsidR="0090150C">
        <w:rPr>
          <w:color w:val="auto"/>
          <w:sz w:val="22"/>
          <w:szCs w:val="22"/>
        </w:rPr>
        <w:t xml:space="preserve">, those being </w:t>
      </w:r>
      <w:r w:rsidR="0090150C" w:rsidRPr="0090150C">
        <w:rPr>
          <w:color w:val="auto"/>
          <w:sz w:val="22"/>
          <w:szCs w:val="22"/>
        </w:rPr>
        <w:t>passion, rigour, relevance, ethics, effectiveness, innovation and reflection</w:t>
      </w:r>
      <w:r w:rsidR="0090150C">
        <w:rPr>
          <w:color w:val="auto"/>
          <w:sz w:val="22"/>
          <w:szCs w:val="22"/>
        </w:rPr>
        <w:t>.  They are expected to</w:t>
      </w:r>
      <w:r w:rsidRPr="008E38C6">
        <w:rPr>
          <w:color w:val="auto"/>
          <w:sz w:val="22"/>
          <w:szCs w:val="22"/>
        </w:rPr>
        <w:t xml:space="preserve"> maintain a track record of excellence as evidenced by Student Feedback on Teaching (SFT) surveys, peer-feedback on teaching and through other evidence-based measures.</w:t>
      </w:r>
    </w:p>
    <w:p w14:paraId="609618FC" w14:textId="77777777" w:rsidR="00C73B62" w:rsidRDefault="00C73B62" w:rsidP="00C73B62">
      <w:pPr>
        <w:pStyle w:val="Default"/>
        <w:rPr>
          <w:sz w:val="22"/>
          <w:szCs w:val="22"/>
        </w:rPr>
      </w:pPr>
    </w:p>
    <w:p w14:paraId="0DDEE2D2" w14:textId="7E9EC578" w:rsidR="006044D1"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36A1DCEE" w14:textId="77777777" w:rsidR="00255A8D"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an evidence-based approach to evaluate learning and teaching initiatives.</w:t>
      </w:r>
    </w:p>
    <w:p w14:paraId="58E1EDE5" w14:textId="454CC26D" w:rsidR="007175C6" w:rsidRPr="007175C6" w:rsidRDefault="007175C6" w:rsidP="007175C6">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 scholarly approach to learning and teaching by contributing to La Trobe’s SOLT including sharing of good practice.</w:t>
      </w:r>
    </w:p>
    <w:p w14:paraId="34CFAE4E"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Under the guidance of subject coordinators, teach subjects providing a high-quality learning experience that engages students through the conduct of lectures, tutorials, practical classes, demonstrations, workshops, student field excursions, clinical sessions and/or other sessions in online, blended or face-to-face modes.</w:t>
      </w:r>
    </w:p>
    <w:p w14:paraId="1E5EB7C9"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Provide constructive, fair and timely feedback on learning to students.</w:t>
      </w:r>
    </w:p>
    <w:p w14:paraId="32BD5E81"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 with subject or course coordinators on innovative subject and course level curriculum design, development and review in areas such as, but not restricted to, online and blended delivery, and assist in taking an evidence-based approach to evaluate how these initiatives improve the student experience.</w:t>
      </w:r>
    </w:p>
    <w:p w14:paraId="25DF5574"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Assist in obtaining funding from internal or external sources for teaching improvement projects.</w:t>
      </w:r>
    </w:p>
    <w:p w14:paraId="03DE0DC6" w14:textId="4CF32AC1"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Supervise undergraduate and/or graduate diploma class activities, e.g. practical work.</w:t>
      </w:r>
    </w:p>
    <w:p w14:paraId="78C3151B"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Contribute to knowledge transfer and to building relationships at a local level.</w:t>
      </w:r>
    </w:p>
    <w:p w14:paraId="6F0DA524" w14:textId="166C77D1" w:rsidR="00255A8D"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 xml:space="preserve">Undertake other duties and administrative functions commensurate with the classification and scope of the position as required by the Head of Department or </w:t>
      </w:r>
      <w:r w:rsidR="00046B85">
        <w:rPr>
          <w:rFonts w:ascii="Calibri" w:hAnsi="Calibri" w:cs="Calibri"/>
          <w:color w:val="000000"/>
          <w:sz w:val="22"/>
          <w:szCs w:val="22"/>
          <w:lang w:val="en-AU" w:eastAsia="en-AU"/>
        </w:rPr>
        <w:t>Dean</w:t>
      </w:r>
      <w:r w:rsidRPr="00607098">
        <w:rPr>
          <w:rFonts w:ascii="Calibri" w:hAnsi="Calibri" w:cs="Calibri"/>
          <w:color w:val="000000"/>
          <w:sz w:val="22"/>
          <w:szCs w:val="22"/>
          <w:lang w:val="en-AU" w:eastAsia="en-AU"/>
        </w:rPr>
        <w:t>.</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59FEEE9E" w14:textId="227D962B" w:rsidR="00D10EC3" w:rsidRPr="00D10EC3" w:rsidRDefault="005D100A" w:rsidP="0071300D">
      <w:pPr>
        <w:pStyle w:val="Default"/>
        <w:tabs>
          <w:tab w:val="left" w:pos="3300"/>
        </w:tabs>
        <w:spacing w:before="240"/>
        <w:rPr>
          <w:b/>
          <w:bCs/>
          <w:sz w:val="22"/>
          <w:szCs w:val="22"/>
        </w:rPr>
      </w:pPr>
      <w:r>
        <w:rPr>
          <w:b/>
          <w:bCs/>
          <w:sz w:val="22"/>
          <w:szCs w:val="22"/>
        </w:rPr>
        <w:t>Skills and knowledge required for the position</w:t>
      </w:r>
    </w:p>
    <w:p w14:paraId="2100EFC8" w14:textId="77777777" w:rsidR="0095572A" w:rsidRPr="0095572A" w:rsidRDefault="0095572A" w:rsidP="0095572A">
      <w:pPr>
        <w:pStyle w:val="ListParagraph"/>
        <w:widowControl w:val="0"/>
        <w:numPr>
          <w:ilvl w:val="0"/>
          <w:numId w:val="2"/>
        </w:numPr>
        <w:tabs>
          <w:tab w:val="left" w:pos="1030"/>
          <w:tab w:val="left" w:pos="1032"/>
        </w:tabs>
        <w:autoSpaceDE w:val="0"/>
        <w:autoSpaceDN w:val="0"/>
        <w:spacing w:before="1" w:after="0" w:line="254" w:lineRule="auto"/>
        <w:ind w:right="177"/>
        <w:contextualSpacing w:val="0"/>
        <w:jc w:val="both"/>
        <w:rPr>
          <w:rFonts w:ascii="Calibri" w:hAnsi="Calibri" w:cs="Calibri"/>
        </w:rPr>
      </w:pPr>
      <w:r w:rsidRPr="0095572A">
        <w:rPr>
          <w:rFonts w:ascii="Calibri" w:hAnsi="Calibri" w:cs="Calibri"/>
          <w:sz w:val="22"/>
        </w:rPr>
        <w:t>Completion</w:t>
      </w:r>
      <w:r w:rsidRPr="0095572A">
        <w:rPr>
          <w:rFonts w:ascii="Calibri" w:hAnsi="Calibri" w:cs="Calibri"/>
          <w:spacing w:val="-8"/>
          <w:sz w:val="22"/>
        </w:rPr>
        <w:t xml:space="preserve"> </w:t>
      </w:r>
      <w:r w:rsidRPr="0095572A">
        <w:rPr>
          <w:rFonts w:ascii="Calibri" w:hAnsi="Calibri" w:cs="Calibri"/>
          <w:sz w:val="22"/>
        </w:rPr>
        <w:t>of a</w:t>
      </w:r>
      <w:r w:rsidRPr="0095572A">
        <w:rPr>
          <w:rFonts w:ascii="Calibri" w:hAnsi="Calibri" w:cs="Calibri"/>
          <w:spacing w:val="-2"/>
          <w:sz w:val="22"/>
        </w:rPr>
        <w:t xml:space="preserve"> </w:t>
      </w:r>
      <w:r w:rsidRPr="0095572A">
        <w:rPr>
          <w:rFonts w:ascii="Calibri" w:hAnsi="Calibri" w:cs="Calibri"/>
          <w:sz w:val="22"/>
        </w:rPr>
        <w:t>bachelor’s</w:t>
      </w:r>
      <w:r w:rsidRPr="0095572A">
        <w:rPr>
          <w:rFonts w:ascii="Calibri" w:hAnsi="Calibri" w:cs="Calibri"/>
          <w:spacing w:val="-4"/>
          <w:sz w:val="22"/>
        </w:rPr>
        <w:t xml:space="preserve"> </w:t>
      </w:r>
      <w:r w:rsidRPr="0095572A">
        <w:rPr>
          <w:rFonts w:ascii="Calibri" w:hAnsi="Calibri" w:cs="Calibri"/>
          <w:sz w:val="22"/>
        </w:rPr>
        <w:t>degree</w:t>
      </w:r>
      <w:r w:rsidRPr="0095572A">
        <w:rPr>
          <w:rFonts w:ascii="Calibri" w:hAnsi="Calibri" w:cs="Calibri"/>
          <w:spacing w:val="-1"/>
          <w:sz w:val="22"/>
        </w:rPr>
        <w:t xml:space="preserve"> </w:t>
      </w:r>
      <w:r w:rsidRPr="0095572A">
        <w:rPr>
          <w:rFonts w:ascii="Calibri" w:hAnsi="Calibri" w:cs="Calibri"/>
          <w:sz w:val="22"/>
        </w:rPr>
        <w:t>in the</w:t>
      </w:r>
      <w:r w:rsidRPr="0095572A">
        <w:rPr>
          <w:rFonts w:ascii="Calibri" w:hAnsi="Calibri" w:cs="Calibri"/>
          <w:spacing w:val="-1"/>
          <w:sz w:val="22"/>
        </w:rPr>
        <w:t xml:space="preserve"> </w:t>
      </w:r>
      <w:r w:rsidRPr="0095572A">
        <w:rPr>
          <w:rFonts w:ascii="Calibri" w:hAnsi="Calibri" w:cs="Calibri"/>
          <w:sz w:val="22"/>
        </w:rPr>
        <w:t>relevant</w:t>
      </w:r>
      <w:r w:rsidRPr="0095572A">
        <w:rPr>
          <w:rFonts w:ascii="Calibri" w:hAnsi="Calibri" w:cs="Calibri"/>
          <w:spacing w:val="-1"/>
          <w:sz w:val="22"/>
        </w:rPr>
        <w:t xml:space="preserve"> </w:t>
      </w:r>
      <w:r w:rsidRPr="0095572A">
        <w:rPr>
          <w:rFonts w:ascii="Calibri" w:hAnsi="Calibri" w:cs="Calibri"/>
          <w:sz w:val="22"/>
        </w:rPr>
        <w:t>discipline, and evidence</w:t>
      </w:r>
      <w:r w:rsidRPr="0095572A">
        <w:rPr>
          <w:rFonts w:ascii="Calibri" w:hAnsi="Calibri" w:cs="Calibri"/>
          <w:spacing w:val="-1"/>
          <w:sz w:val="22"/>
        </w:rPr>
        <w:t xml:space="preserve"> </w:t>
      </w:r>
      <w:r w:rsidRPr="0095572A">
        <w:rPr>
          <w:rFonts w:ascii="Calibri" w:hAnsi="Calibri" w:cs="Calibri"/>
          <w:sz w:val="22"/>
        </w:rPr>
        <w:t>of</w:t>
      </w:r>
      <w:r w:rsidRPr="0095572A">
        <w:rPr>
          <w:rFonts w:ascii="Calibri" w:hAnsi="Calibri" w:cs="Calibri"/>
          <w:spacing w:val="-4"/>
          <w:sz w:val="22"/>
        </w:rPr>
        <w:t xml:space="preserve"> </w:t>
      </w:r>
      <w:r w:rsidRPr="0095572A">
        <w:rPr>
          <w:rFonts w:ascii="Calibri" w:hAnsi="Calibri" w:cs="Calibri"/>
          <w:sz w:val="22"/>
        </w:rPr>
        <w:t>participation</w:t>
      </w:r>
      <w:r w:rsidRPr="0095572A">
        <w:rPr>
          <w:rFonts w:ascii="Calibri" w:hAnsi="Calibri" w:cs="Calibri"/>
          <w:spacing w:val="-3"/>
          <w:sz w:val="22"/>
        </w:rPr>
        <w:t xml:space="preserve"> </w:t>
      </w:r>
      <w:r w:rsidRPr="0095572A">
        <w:rPr>
          <w:rFonts w:ascii="Calibri" w:hAnsi="Calibri" w:cs="Calibri"/>
          <w:sz w:val="22"/>
        </w:rPr>
        <w:t>in higher level study relevant to discipline or professional area.</w:t>
      </w:r>
    </w:p>
    <w:p w14:paraId="230941BF"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352BF0D7"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Evidence of innovative initiatives undertaken in the last three years that have improved the student experience.</w:t>
      </w:r>
    </w:p>
    <w:p w14:paraId="6F0B652E" w14:textId="77BEF61E" w:rsidR="007175C6" w:rsidRPr="005D5BCE" w:rsidRDefault="00255A8D" w:rsidP="005D5BCE">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engage with the Scholarship of Teaching and Learning.</w:t>
      </w:r>
    </w:p>
    <w:p w14:paraId="6952E344" w14:textId="40288F39"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2BE5A210" w14:textId="77777777" w:rsidR="00255A8D" w:rsidRDefault="00255A8D" w:rsidP="00255A8D">
      <w:pPr>
        <w:pStyle w:val="ListParagraph"/>
        <w:numPr>
          <w:ilvl w:val="0"/>
          <w:numId w:val="2"/>
        </w:numPr>
        <w:spacing w:after="60" w:line="240" w:lineRule="atLeast"/>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701367BD" w14:textId="2C7B7F53" w:rsidR="005D100A" w:rsidRDefault="005D100A" w:rsidP="005D100A">
      <w:pPr>
        <w:spacing w:after="60" w:line="240" w:lineRule="atLeast"/>
        <w:jc w:val="both"/>
        <w:rPr>
          <w:rFonts w:asciiTheme="minorHAnsi" w:hAnsiTheme="minorHAnsi"/>
          <w:sz w:val="22"/>
          <w:szCs w:val="22"/>
          <w:lang w:val="en-AU"/>
        </w:rPr>
      </w:pPr>
    </w:p>
    <w:p w14:paraId="25A0B1F0" w14:textId="18FC235D" w:rsidR="00D67ADA" w:rsidRPr="00D10EC3" w:rsidRDefault="005D100A" w:rsidP="00BD10E7">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lastRenderedPageBreak/>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16BFA2E6" w14:textId="77777777" w:rsidR="00513D70" w:rsidRDefault="00513D70" w:rsidP="00513D70">
      <w:pPr>
        <w:pStyle w:val="xmsonormal"/>
        <w:rPr>
          <w:b/>
          <w:bCs/>
        </w:rPr>
      </w:pPr>
      <w:bookmarkStart w:id="0" w:name="_Hlk97887926"/>
      <w:r>
        <w:rPr>
          <w:b/>
          <w:bCs/>
        </w:rPr>
        <w:t>Why La Trobe: </w:t>
      </w:r>
    </w:p>
    <w:p w14:paraId="50D90C5F" w14:textId="77777777" w:rsidR="00513D70" w:rsidRDefault="00513D70" w:rsidP="00513D70">
      <w:pPr>
        <w:pStyle w:val="xmsonormal"/>
        <w:rPr>
          <w:b/>
          <w:bCs/>
        </w:rPr>
      </w:pPr>
    </w:p>
    <w:p w14:paraId="31BC88E8" w14:textId="77777777" w:rsidR="00513D70" w:rsidRDefault="00513D70" w:rsidP="00513D70">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28DCF171" w14:textId="77777777" w:rsidR="00513D70" w:rsidRDefault="00513D70" w:rsidP="00513D70">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3F2748A1" w14:textId="77777777" w:rsidR="00513D70" w:rsidRDefault="00513D70" w:rsidP="00513D70">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611A1464" w14:textId="77777777" w:rsidR="00513D70" w:rsidRDefault="00513D70" w:rsidP="00513D70">
      <w:pPr>
        <w:pStyle w:val="xmsonormal"/>
      </w:pPr>
      <w:r>
        <w:rPr>
          <w:rFonts w:ascii="Avenir" w:hAnsi="Avenir"/>
        </w:rPr>
        <w:t> </w:t>
      </w:r>
    </w:p>
    <w:p w14:paraId="408D1A3E" w14:textId="77777777" w:rsidR="00513D70" w:rsidRDefault="00513D70" w:rsidP="00513D70">
      <w:pPr>
        <w:pStyle w:val="xmsonormal"/>
      </w:pPr>
      <w:r>
        <w:rPr>
          <w:rFonts w:ascii="Avenir" w:hAnsi="Avenir"/>
        </w:rPr>
        <w:t>This is more than just a job. Working at La Trobe offers opportunities to demonstrate excellence and transform lives. </w:t>
      </w:r>
    </w:p>
    <w:p w14:paraId="0034952B" w14:textId="77777777" w:rsidR="00513D70" w:rsidRDefault="00513D70" w:rsidP="00513D70">
      <w:pPr>
        <w:pStyle w:val="xmsonormal"/>
      </w:pPr>
      <w:r>
        <w:rPr>
          <w:rFonts w:ascii="Avenir" w:hAnsi="Avenir"/>
        </w:rPr>
        <w:t> </w:t>
      </w:r>
    </w:p>
    <w:p w14:paraId="7C4B4186" w14:textId="77777777" w:rsidR="00513D70" w:rsidRDefault="00513D70" w:rsidP="00513D70">
      <w:pPr>
        <w:pStyle w:val="xmsonormal"/>
      </w:pPr>
      <w:r>
        <w:rPr>
          <w:rFonts w:ascii="Avenir" w:hAnsi="Avenir"/>
        </w:rPr>
        <w:t>Here, you’ll join exceptional people, partners and communities, who power our operations with ambition and purpose. </w:t>
      </w:r>
    </w:p>
    <w:p w14:paraId="6E1DA6A4" w14:textId="77777777" w:rsidR="00513D70" w:rsidRDefault="00513D70" w:rsidP="00513D70">
      <w:pPr>
        <w:pStyle w:val="xmsonormal"/>
      </w:pPr>
      <w:r>
        <w:rPr>
          <w:rFonts w:ascii="Avenir" w:hAnsi="Avenir"/>
        </w:rPr>
        <w:t> </w:t>
      </w:r>
    </w:p>
    <w:p w14:paraId="028EDEA3" w14:textId="77777777" w:rsidR="00513D70" w:rsidRDefault="00513D70" w:rsidP="00513D70">
      <w:pPr>
        <w:pStyle w:val="xmsonormal"/>
      </w:pPr>
      <w:r>
        <w:rPr>
          <w:rFonts w:ascii="Avenir" w:hAnsi="Avenir"/>
        </w:rPr>
        <w:t xml:space="preserve">We are forward-looking and culturally inclusive. We continuously review, improve and transform our processes to embrace new, flexible approaches. That means you’ll always </w:t>
      </w:r>
      <w:proofErr w:type="gramStart"/>
      <w:r>
        <w:rPr>
          <w:rFonts w:ascii="Avenir" w:hAnsi="Avenir"/>
        </w:rPr>
        <w:t>have the opportunity to</w:t>
      </w:r>
      <w:proofErr w:type="gramEnd"/>
      <w:r>
        <w:rPr>
          <w:rFonts w:ascii="Avenir" w:hAnsi="Avenir"/>
        </w:rPr>
        <w:t xml:space="preserve"> succeed and make a difference</w:t>
      </w:r>
      <w:r>
        <w:t>.</w:t>
      </w:r>
    </w:p>
    <w:p w14:paraId="3DFFCCD6" w14:textId="77777777" w:rsidR="00513D70" w:rsidRDefault="00513D70" w:rsidP="00513D70">
      <w:pPr>
        <w:pStyle w:val="xmsonormal"/>
      </w:pPr>
      <w:r>
        <w:t> </w:t>
      </w:r>
    </w:p>
    <w:p w14:paraId="1961FB5F" w14:textId="77777777" w:rsidR="00513D70" w:rsidRDefault="00513D70" w:rsidP="00513D70">
      <w:pPr>
        <w:pStyle w:val="xmsonormal"/>
        <w:rPr>
          <w:b/>
          <w:bCs/>
        </w:rPr>
      </w:pPr>
      <w:r>
        <w:rPr>
          <w:b/>
          <w:bCs/>
        </w:rPr>
        <w:t>La Trobe’s Cultural Qualities:</w:t>
      </w:r>
    </w:p>
    <w:p w14:paraId="5EF53CE2" w14:textId="42263E94" w:rsidR="00513D70" w:rsidRDefault="00513D70" w:rsidP="00513D70">
      <w:r>
        <w:rPr>
          <w:noProof/>
        </w:rPr>
        <w:drawing>
          <wp:inline distT="0" distB="0" distL="0" distR="0" wp14:anchorId="67E351A2" wp14:editId="0DCE65DB">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4C5491">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E696" w14:textId="77777777" w:rsidR="00CB2848" w:rsidRDefault="00CB2848">
      <w:r>
        <w:separator/>
      </w:r>
    </w:p>
  </w:endnote>
  <w:endnote w:type="continuationSeparator" w:id="0">
    <w:p w14:paraId="19B75FE8" w14:textId="77777777" w:rsidR="00CB2848" w:rsidRDefault="00CB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2BD4" w14:textId="77777777" w:rsidR="00CB2848" w:rsidRDefault="00CB2848">
      <w:r>
        <w:separator/>
      </w:r>
    </w:p>
  </w:footnote>
  <w:footnote w:type="continuationSeparator" w:id="0">
    <w:p w14:paraId="43D853EF" w14:textId="77777777" w:rsidR="00CB2848" w:rsidRDefault="00CB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AC5FD9"/>
    <w:multiLevelType w:val="hybridMultilevel"/>
    <w:tmpl w:val="A2EA65D6"/>
    <w:lvl w:ilvl="0" w:tplc="47725AB4">
      <w:numFmt w:val="bullet"/>
      <w:lvlText w:val=""/>
      <w:lvlJc w:val="left"/>
      <w:pPr>
        <w:ind w:left="1040" w:hanging="361"/>
      </w:pPr>
      <w:rPr>
        <w:rFonts w:ascii="Symbol" w:eastAsia="Symbol" w:hAnsi="Symbol" w:cs="Symbol" w:hint="default"/>
        <w:spacing w:val="0"/>
        <w:w w:val="100"/>
        <w:lang w:val="en-US" w:eastAsia="en-US" w:bidi="ar-SA"/>
      </w:rPr>
    </w:lvl>
    <w:lvl w:ilvl="1" w:tplc="0EC28396">
      <w:numFmt w:val="bullet"/>
      <w:lvlText w:val="•"/>
      <w:lvlJc w:val="left"/>
      <w:pPr>
        <w:ind w:left="1883" w:hanging="361"/>
      </w:pPr>
      <w:rPr>
        <w:rFonts w:hint="default"/>
        <w:lang w:val="en-US" w:eastAsia="en-US" w:bidi="ar-SA"/>
      </w:rPr>
    </w:lvl>
    <w:lvl w:ilvl="2" w:tplc="89D41CCA">
      <w:numFmt w:val="bullet"/>
      <w:lvlText w:val="•"/>
      <w:lvlJc w:val="left"/>
      <w:pPr>
        <w:ind w:left="2726" w:hanging="361"/>
      </w:pPr>
      <w:rPr>
        <w:rFonts w:hint="default"/>
        <w:lang w:val="en-US" w:eastAsia="en-US" w:bidi="ar-SA"/>
      </w:rPr>
    </w:lvl>
    <w:lvl w:ilvl="3" w:tplc="E41225A0">
      <w:numFmt w:val="bullet"/>
      <w:lvlText w:val="•"/>
      <w:lvlJc w:val="left"/>
      <w:pPr>
        <w:ind w:left="3569" w:hanging="361"/>
      </w:pPr>
      <w:rPr>
        <w:rFonts w:hint="default"/>
        <w:lang w:val="en-US" w:eastAsia="en-US" w:bidi="ar-SA"/>
      </w:rPr>
    </w:lvl>
    <w:lvl w:ilvl="4" w:tplc="AD4E0F58">
      <w:numFmt w:val="bullet"/>
      <w:lvlText w:val="•"/>
      <w:lvlJc w:val="left"/>
      <w:pPr>
        <w:ind w:left="4412" w:hanging="361"/>
      </w:pPr>
      <w:rPr>
        <w:rFonts w:hint="default"/>
        <w:lang w:val="en-US" w:eastAsia="en-US" w:bidi="ar-SA"/>
      </w:rPr>
    </w:lvl>
    <w:lvl w:ilvl="5" w:tplc="2026BA70">
      <w:numFmt w:val="bullet"/>
      <w:lvlText w:val="•"/>
      <w:lvlJc w:val="left"/>
      <w:pPr>
        <w:ind w:left="5255" w:hanging="361"/>
      </w:pPr>
      <w:rPr>
        <w:rFonts w:hint="default"/>
        <w:lang w:val="en-US" w:eastAsia="en-US" w:bidi="ar-SA"/>
      </w:rPr>
    </w:lvl>
    <w:lvl w:ilvl="6" w:tplc="0D1EB720">
      <w:numFmt w:val="bullet"/>
      <w:lvlText w:val="•"/>
      <w:lvlJc w:val="left"/>
      <w:pPr>
        <w:ind w:left="6098" w:hanging="361"/>
      </w:pPr>
      <w:rPr>
        <w:rFonts w:hint="default"/>
        <w:lang w:val="en-US" w:eastAsia="en-US" w:bidi="ar-SA"/>
      </w:rPr>
    </w:lvl>
    <w:lvl w:ilvl="7" w:tplc="EE222D98">
      <w:numFmt w:val="bullet"/>
      <w:lvlText w:val="•"/>
      <w:lvlJc w:val="left"/>
      <w:pPr>
        <w:ind w:left="6941" w:hanging="361"/>
      </w:pPr>
      <w:rPr>
        <w:rFonts w:hint="default"/>
        <w:lang w:val="en-US" w:eastAsia="en-US" w:bidi="ar-SA"/>
      </w:rPr>
    </w:lvl>
    <w:lvl w:ilvl="8" w:tplc="78D03480">
      <w:numFmt w:val="bullet"/>
      <w:lvlText w:val="•"/>
      <w:lvlJc w:val="left"/>
      <w:pPr>
        <w:ind w:left="7784" w:hanging="361"/>
      </w:pPr>
      <w:rPr>
        <w:rFonts w:hint="default"/>
        <w:lang w:val="en-US" w:eastAsia="en-US" w:bidi="ar-SA"/>
      </w:rPr>
    </w:lvl>
  </w:abstractNum>
  <w:abstractNum w:abstractNumId="6"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41311">
    <w:abstractNumId w:val="1"/>
  </w:num>
  <w:num w:numId="2" w16cid:durableId="504630819">
    <w:abstractNumId w:val="4"/>
  </w:num>
  <w:num w:numId="3" w16cid:durableId="464472860">
    <w:abstractNumId w:val="7"/>
  </w:num>
  <w:num w:numId="4" w16cid:durableId="2100061224">
    <w:abstractNumId w:val="6"/>
  </w:num>
  <w:num w:numId="5" w16cid:durableId="965618704">
    <w:abstractNumId w:val="8"/>
  </w:num>
  <w:num w:numId="6" w16cid:durableId="583073900">
    <w:abstractNumId w:val="0"/>
  </w:num>
  <w:num w:numId="7" w16cid:durableId="1963270478">
    <w:abstractNumId w:val="3"/>
  </w:num>
  <w:num w:numId="8" w16cid:durableId="82802598">
    <w:abstractNumId w:val="2"/>
  </w:num>
  <w:num w:numId="9" w16cid:durableId="8981724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2134"/>
    <w:rsid w:val="00022CBA"/>
    <w:rsid w:val="00024409"/>
    <w:rsid w:val="00024FA3"/>
    <w:rsid w:val="00026046"/>
    <w:rsid w:val="00026E3B"/>
    <w:rsid w:val="0004599F"/>
    <w:rsid w:val="00046B85"/>
    <w:rsid w:val="000500BC"/>
    <w:rsid w:val="000500E7"/>
    <w:rsid w:val="00051E2D"/>
    <w:rsid w:val="000525D9"/>
    <w:rsid w:val="00053F53"/>
    <w:rsid w:val="00054C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0F7BB0"/>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83805"/>
    <w:rsid w:val="001908D2"/>
    <w:rsid w:val="001A044F"/>
    <w:rsid w:val="001A15D3"/>
    <w:rsid w:val="001A49C5"/>
    <w:rsid w:val="001A68F1"/>
    <w:rsid w:val="001A722E"/>
    <w:rsid w:val="001B303F"/>
    <w:rsid w:val="001B38E4"/>
    <w:rsid w:val="001B570B"/>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5A8D"/>
    <w:rsid w:val="00256C18"/>
    <w:rsid w:val="00256FDB"/>
    <w:rsid w:val="00265D6D"/>
    <w:rsid w:val="00270013"/>
    <w:rsid w:val="002744A2"/>
    <w:rsid w:val="002769BA"/>
    <w:rsid w:val="00276FAF"/>
    <w:rsid w:val="00277CCE"/>
    <w:rsid w:val="00282184"/>
    <w:rsid w:val="00282E62"/>
    <w:rsid w:val="002857E2"/>
    <w:rsid w:val="00285CA1"/>
    <w:rsid w:val="0029127F"/>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32197"/>
    <w:rsid w:val="0033226C"/>
    <w:rsid w:val="00334238"/>
    <w:rsid w:val="00337E0A"/>
    <w:rsid w:val="00340895"/>
    <w:rsid w:val="003412D4"/>
    <w:rsid w:val="00341F6D"/>
    <w:rsid w:val="00345A34"/>
    <w:rsid w:val="0034773D"/>
    <w:rsid w:val="00347D7E"/>
    <w:rsid w:val="00361F4F"/>
    <w:rsid w:val="003641BA"/>
    <w:rsid w:val="003A1CFA"/>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240D1"/>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491"/>
    <w:rsid w:val="004C5B77"/>
    <w:rsid w:val="004E0984"/>
    <w:rsid w:val="004E456D"/>
    <w:rsid w:val="004F12B6"/>
    <w:rsid w:val="005034AC"/>
    <w:rsid w:val="00513D70"/>
    <w:rsid w:val="00521405"/>
    <w:rsid w:val="00522086"/>
    <w:rsid w:val="00524467"/>
    <w:rsid w:val="005274EB"/>
    <w:rsid w:val="005350D7"/>
    <w:rsid w:val="005402E9"/>
    <w:rsid w:val="00545851"/>
    <w:rsid w:val="00560D9F"/>
    <w:rsid w:val="00573BF8"/>
    <w:rsid w:val="00581B8D"/>
    <w:rsid w:val="00587393"/>
    <w:rsid w:val="0059602C"/>
    <w:rsid w:val="005A771D"/>
    <w:rsid w:val="005B0A21"/>
    <w:rsid w:val="005B2180"/>
    <w:rsid w:val="005C69DB"/>
    <w:rsid w:val="005C7C84"/>
    <w:rsid w:val="005D100A"/>
    <w:rsid w:val="005D5BCE"/>
    <w:rsid w:val="005F03E3"/>
    <w:rsid w:val="005F3321"/>
    <w:rsid w:val="00603EB0"/>
    <w:rsid w:val="006044D1"/>
    <w:rsid w:val="00611589"/>
    <w:rsid w:val="0061290F"/>
    <w:rsid w:val="00614B49"/>
    <w:rsid w:val="00621140"/>
    <w:rsid w:val="006257B9"/>
    <w:rsid w:val="006278E6"/>
    <w:rsid w:val="006374AB"/>
    <w:rsid w:val="00640E23"/>
    <w:rsid w:val="00644663"/>
    <w:rsid w:val="00657659"/>
    <w:rsid w:val="00660C71"/>
    <w:rsid w:val="006629E6"/>
    <w:rsid w:val="00663EFE"/>
    <w:rsid w:val="006754F3"/>
    <w:rsid w:val="00676154"/>
    <w:rsid w:val="00677A7D"/>
    <w:rsid w:val="006811C9"/>
    <w:rsid w:val="00684D0B"/>
    <w:rsid w:val="006864C7"/>
    <w:rsid w:val="006A20AC"/>
    <w:rsid w:val="006A636C"/>
    <w:rsid w:val="006B02AA"/>
    <w:rsid w:val="006B7417"/>
    <w:rsid w:val="006C3AEF"/>
    <w:rsid w:val="006C45D9"/>
    <w:rsid w:val="006D31A5"/>
    <w:rsid w:val="006D4583"/>
    <w:rsid w:val="006D6D72"/>
    <w:rsid w:val="006F0613"/>
    <w:rsid w:val="006F3406"/>
    <w:rsid w:val="006F5C66"/>
    <w:rsid w:val="007011D4"/>
    <w:rsid w:val="00706981"/>
    <w:rsid w:val="0071300D"/>
    <w:rsid w:val="007175C6"/>
    <w:rsid w:val="00725112"/>
    <w:rsid w:val="00725B2D"/>
    <w:rsid w:val="00736054"/>
    <w:rsid w:val="00740906"/>
    <w:rsid w:val="00750871"/>
    <w:rsid w:val="007517D1"/>
    <w:rsid w:val="00753622"/>
    <w:rsid w:val="007541EA"/>
    <w:rsid w:val="0076205E"/>
    <w:rsid w:val="007625AE"/>
    <w:rsid w:val="007643D9"/>
    <w:rsid w:val="00764834"/>
    <w:rsid w:val="00765F33"/>
    <w:rsid w:val="00766EAB"/>
    <w:rsid w:val="00777517"/>
    <w:rsid w:val="0078356E"/>
    <w:rsid w:val="00795503"/>
    <w:rsid w:val="007A000F"/>
    <w:rsid w:val="007A568D"/>
    <w:rsid w:val="007A58EF"/>
    <w:rsid w:val="007B6217"/>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52FD2"/>
    <w:rsid w:val="00865AF9"/>
    <w:rsid w:val="00882DC0"/>
    <w:rsid w:val="00884F4D"/>
    <w:rsid w:val="008A248A"/>
    <w:rsid w:val="008A4B2E"/>
    <w:rsid w:val="008A5260"/>
    <w:rsid w:val="008B0034"/>
    <w:rsid w:val="008B1944"/>
    <w:rsid w:val="008C0614"/>
    <w:rsid w:val="008C2C73"/>
    <w:rsid w:val="008C371B"/>
    <w:rsid w:val="008C4509"/>
    <w:rsid w:val="008C6082"/>
    <w:rsid w:val="008D1AF6"/>
    <w:rsid w:val="008D7276"/>
    <w:rsid w:val="008F1341"/>
    <w:rsid w:val="008F1A53"/>
    <w:rsid w:val="008F4F33"/>
    <w:rsid w:val="008F76F5"/>
    <w:rsid w:val="0090150C"/>
    <w:rsid w:val="0090633E"/>
    <w:rsid w:val="009064E1"/>
    <w:rsid w:val="0091323E"/>
    <w:rsid w:val="0091410B"/>
    <w:rsid w:val="00915AC0"/>
    <w:rsid w:val="00920A96"/>
    <w:rsid w:val="00924773"/>
    <w:rsid w:val="009253AE"/>
    <w:rsid w:val="00932CDD"/>
    <w:rsid w:val="009344DA"/>
    <w:rsid w:val="00954EE6"/>
    <w:rsid w:val="009554D9"/>
    <w:rsid w:val="0095572A"/>
    <w:rsid w:val="00966DE0"/>
    <w:rsid w:val="00970335"/>
    <w:rsid w:val="00970F02"/>
    <w:rsid w:val="009775E9"/>
    <w:rsid w:val="0098228A"/>
    <w:rsid w:val="0098359C"/>
    <w:rsid w:val="00990932"/>
    <w:rsid w:val="009A15BA"/>
    <w:rsid w:val="009B2F16"/>
    <w:rsid w:val="009B6BB5"/>
    <w:rsid w:val="009C11A7"/>
    <w:rsid w:val="009D5B18"/>
    <w:rsid w:val="009E0A63"/>
    <w:rsid w:val="009F1792"/>
    <w:rsid w:val="009F212E"/>
    <w:rsid w:val="009F641D"/>
    <w:rsid w:val="009F7B57"/>
    <w:rsid w:val="00A02E8F"/>
    <w:rsid w:val="00A04189"/>
    <w:rsid w:val="00A1133C"/>
    <w:rsid w:val="00A12036"/>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B6F72"/>
    <w:rsid w:val="00AC2033"/>
    <w:rsid w:val="00AC23EB"/>
    <w:rsid w:val="00AC3447"/>
    <w:rsid w:val="00AE25D2"/>
    <w:rsid w:val="00AF5EE0"/>
    <w:rsid w:val="00B018E2"/>
    <w:rsid w:val="00B01CB4"/>
    <w:rsid w:val="00B037AE"/>
    <w:rsid w:val="00B105FB"/>
    <w:rsid w:val="00B14B09"/>
    <w:rsid w:val="00B159F9"/>
    <w:rsid w:val="00B20918"/>
    <w:rsid w:val="00B20CFC"/>
    <w:rsid w:val="00B220E8"/>
    <w:rsid w:val="00B31573"/>
    <w:rsid w:val="00B36F35"/>
    <w:rsid w:val="00B4034C"/>
    <w:rsid w:val="00B42111"/>
    <w:rsid w:val="00B4513A"/>
    <w:rsid w:val="00B47792"/>
    <w:rsid w:val="00B55AB0"/>
    <w:rsid w:val="00B655BD"/>
    <w:rsid w:val="00B72B6C"/>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D4973"/>
    <w:rsid w:val="00BE08F6"/>
    <w:rsid w:val="00BE092B"/>
    <w:rsid w:val="00BE1992"/>
    <w:rsid w:val="00BE1D29"/>
    <w:rsid w:val="00BE5C22"/>
    <w:rsid w:val="00BF0110"/>
    <w:rsid w:val="00BF51E6"/>
    <w:rsid w:val="00C01826"/>
    <w:rsid w:val="00C02C2A"/>
    <w:rsid w:val="00C03F22"/>
    <w:rsid w:val="00C04F87"/>
    <w:rsid w:val="00C1033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2848"/>
    <w:rsid w:val="00CB4775"/>
    <w:rsid w:val="00CB5144"/>
    <w:rsid w:val="00CB5A25"/>
    <w:rsid w:val="00CE0217"/>
    <w:rsid w:val="00CE360A"/>
    <w:rsid w:val="00CE5982"/>
    <w:rsid w:val="00CE60AE"/>
    <w:rsid w:val="00CE71EC"/>
    <w:rsid w:val="00CF0177"/>
    <w:rsid w:val="00D02A68"/>
    <w:rsid w:val="00D05FF5"/>
    <w:rsid w:val="00D10EC3"/>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6152"/>
    <w:rsid w:val="00EA7384"/>
    <w:rsid w:val="00EB02FC"/>
    <w:rsid w:val="00EB0D18"/>
    <w:rsid w:val="00EB0F28"/>
    <w:rsid w:val="00EC62C4"/>
    <w:rsid w:val="00EE11DF"/>
    <w:rsid w:val="00EE4242"/>
    <w:rsid w:val="00EF653B"/>
    <w:rsid w:val="00EF799E"/>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5EDF"/>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513D70"/>
    <w:pPr>
      <w:widowControl/>
    </w:pPr>
    <w:rPr>
      <w:rFonts w:ascii="Calibri" w:eastAsiaTheme="minorHAnsi" w:hAnsi="Calibri" w:cs="Calibri"/>
      <w:snapToGrid/>
      <w:sz w:val="22"/>
      <w:szCs w:val="22"/>
      <w:lang w:val="en-AU" w:eastAsia="en-AU"/>
    </w:rPr>
  </w:style>
  <w:style w:type="character" w:styleId="CommentReference">
    <w:name w:val="annotation reference"/>
    <w:basedOn w:val="DefaultParagraphFont"/>
    <w:semiHidden/>
    <w:unhideWhenUsed/>
    <w:rsid w:val="006B02AA"/>
    <w:rPr>
      <w:sz w:val="16"/>
      <w:szCs w:val="16"/>
    </w:rPr>
  </w:style>
  <w:style w:type="paragraph" w:styleId="CommentText">
    <w:name w:val="annotation text"/>
    <w:basedOn w:val="Normal"/>
    <w:link w:val="CommentTextChar"/>
    <w:unhideWhenUsed/>
    <w:rsid w:val="006B02AA"/>
    <w:rPr>
      <w:sz w:val="20"/>
    </w:rPr>
  </w:style>
  <w:style w:type="character" w:customStyle="1" w:styleId="CommentTextChar">
    <w:name w:val="Comment Text Char"/>
    <w:basedOn w:val="DefaultParagraphFont"/>
    <w:link w:val="CommentText"/>
    <w:rsid w:val="006B02AA"/>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6B02AA"/>
    <w:rPr>
      <w:b/>
      <w:bCs/>
    </w:rPr>
  </w:style>
  <w:style w:type="character" w:customStyle="1" w:styleId="CommentSubjectChar">
    <w:name w:val="Comment Subject Char"/>
    <w:basedOn w:val="CommentTextChar"/>
    <w:link w:val="CommentSubject"/>
    <w:semiHidden/>
    <w:rsid w:val="006B02AA"/>
    <w:rPr>
      <w:rFonts w:ascii="Univers" w:hAnsi="Univers"/>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720447890">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27D5.86F0E0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6124</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2024-11-13T02:36:00Z</dcterms:created>
  <dcterms:modified xsi:type="dcterms:W3CDTF">2024-11-13T02:36:00Z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