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29FB4" w14:textId="423199CE" w:rsidR="00845111" w:rsidRDefault="006227BB" w:rsidP="00460677">
      <w:pPr>
        <w:pStyle w:val="Heading1"/>
      </w:pPr>
      <w:r>
        <w:t>WorkSafe Tasmania</w:t>
      </w:r>
      <w:r w:rsidR="00D94C46">
        <w:t xml:space="preserve">   </w:t>
      </w:r>
    </w:p>
    <w:p w14:paraId="3A258D3D" w14:textId="4D12D161" w:rsidR="00845111" w:rsidRDefault="00A007C8" w:rsidP="00FE28E6">
      <w:pPr>
        <w:pStyle w:val="Heading2centre"/>
      </w:pPr>
      <w:r>
        <w:t>Statement of Duties</w:t>
      </w:r>
      <w:r w:rsidR="006227BB">
        <w:t xml:space="preserve"> – </w:t>
      </w:r>
      <w:r w:rsidR="000023F8">
        <w:t>April</w:t>
      </w:r>
      <w:r w:rsidR="00A62D12">
        <w:t xml:space="preserve"> </w:t>
      </w:r>
      <w:r w:rsidR="006227BB">
        <w:t>20</w:t>
      </w:r>
      <w:r w:rsidR="000023F8">
        <w:t>21</w:t>
      </w:r>
    </w:p>
    <w:tbl>
      <w:tblPr>
        <w:tblW w:w="0" w:type="auto"/>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0"/>
        <w:gridCol w:w="6094"/>
      </w:tblGrid>
      <w:tr w:rsidR="00EE50F8" w:rsidRPr="00005DBB" w14:paraId="6122AA6B" w14:textId="77777777" w:rsidTr="00EE50F8">
        <w:trPr>
          <w:tblHeader/>
        </w:trPr>
        <w:tc>
          <w:tcPr>
            <w:tcW w:w="3369" w:type="dxa"/>
            <w:shd w:val="clear" w:color="auto" w:fill="EEECE1"/>
            <w:vAlign w:val="center"/>
          </w:tcPr>
          <w:p w14:paraId="4DA836A0" w14:textId="77777777" w:rsidR="00005DBB" w:rsidRPr="00B9618A" w:rsidRDefault="00005DBB" w:rsidP="00005DBB">
            <w:pPr>
              <w:pStyle w:val="Heading3table"/>
            </w:pPr>
            <w:r w:rsidRPr="00B9618A">
              <w:t>Title</w:t>
            </w:r>
          </w:p>
        </w:tc>
        <w:tc>
          <w:tcPr>
            <w:tcW w:w="6251" w:type="dxa"/>
            <w:shd w:val="clear" w:color="auto" w:fill="EEECE1"/>
            <w:vAlign w:val="center"/>
          </w:tcPr>
          <w:p w14:paraId="49446D51" w14:textId="77777777" w:rsidR="00005DBB" w:rsidRPr="00005DBB" w:rsidRDefault="00381AAA" w:rsidP="00005DBB">
            <w:pPr>
              <w:pStyle w:val="Normaltable"/>
            </w:pPr>
            <w:r>
              <w:t>Inspector</w:t>
            </w:r>
          </w:p>
        </w:tc>
      </w:tr>
      <w:tr w:rsidR="00EE50F8" w:rsidRPr="00005DBB" w14:paraId="427B9179" w14:textId="77777777" w:rsidTr="00EE50F8">
        <w:trPr>
          <w:tblHeader/>
        </w:trPr>
        <w:tc>
          <w:tcPr>
            <w:tcW w:w="3369" w:type="dxa"/>
            <w:shd w:val="clear" w:color="auto" w:fill="EEECE1"/>
            <w:vAlign w:val="center"/>
          </w:tcPr>
          <w:p w14:paraId="09F0BD97" w14:textId="77777777" w:rsidR="00005DBB" w:rsidRPr="00B9618A" w:rsidRDefault="00005DBB" w:rsidP="00005DBB">
            <w:pPr>
              <w:pStyle w:val="Heading3table"/>
            </w:pPr>
            <w:r w:rsidRPr="00B9618A">
              <w:t>Number</w:t>
            </w:r>
          </w:p>
        </w:tc>
        <w:tc>
          <w:tcPr>
            <w:tcW w:w="6251" w:type="dxa"/>
            <w:shd w:val="clear" w:color="auto" w:fill="EEECE1"/>
            <w:vAlign w:val="center"/>
          </w:tcPr>
          <w:p w14:paraId="73A600DA" w14:textId="73C77D86" w:rsidR="00005DBB" w:rsidRPr="00005DBB" w:rsidRDefault="000023F8" w:rsidP="00AF34D9">
            <w:pPr>
              <w:pStyle w:val="Normaltable"/>
            </w:pPr>
            <w:r>
              <w:t>355670</w:t>
            </w:r>
          </w:p>
        </w:tc>
      </w:tr>
      <w:tr w:rsidR="00EE50F8" w:rsidRPr="00005DBB" w14:paraId="46B34853" w14:textId="77777777" w:rsidTr="00EE50F8">
        <w:trPr>
          <w:tblHeader/>
        </w:trPr>
        <w:tc>
          <w:tcPr>
            <w:tcW w:w="3369" w:type="dxa"/>
            <w:shd w:val="clear" w:color="auto" w:fill="EEECE1"/>
            <w:vAlign w:val="center"/>
          </w:tcPr>
          <w:p w14:paraId="1988A68D" w14:textId="77777777" w:rsidR="00005DBB" w:rsidRPr="00B9618A" w:rsidRDefault="00005DBB" w:rsidP="00005DBB">
            <w:pPr>
              <w:pStyle w:val="Heading3table"/>
            </w:pPr>
            <w:r w:rsidRPr="00B9618A">
              <w:t>Award</w:t>
            </w:r>
          </w:p>
        </w:tc>
        <w:tc>
          <w:tcPr>
            <w:tcW w:w="6251" w:type="dxa"/>
            <w:shd w:val="clear" w:color="auto" w:fill="EEECE1"/>
            <w:vAlign w:val="center"/>
          </w:tcPr>
          <w:p w14:paraId="2A6A2FAA" w14:textId="77777777" w:rsidR="00005DBB" w:rsidRPr="00005DBB" w:rsidRDefault="00381AAA" w:rsidP="00005DBB">
            <w:pPr>
              <w:pStyle w:val="Normaltable"/>
            </w:pPr>
            <w:r>
              <w:t>Tasmanian State Service Award</w:t>
            </w:r>
          </w:p>
        </w:tc>
      </w:tr>
      <w:tr w:rsidR="00EE50F8" w:rsidRPr="00005DBB" w14:paraId="678232AB" w14:textId="77777777" w:rsidTr="00EE50F8">
        <w:trPr>
          <w:tblHeader/>
        </w:trPr>
        <w:tc>
          <w:tcPr>
            <w:tcW w:w="3369" w:type="dxa"/>
            <w:shd w:val="clear" w:color="auto" w:fill="EEECE1"/>
            <w:vAlign w:val="center"/>
          </w:tcPr>
          <w:p w14:paraId="66EA8180" w14:textId="77777777" w:rsidR="00005DBB" w:rsidRPr="00B9618A" w:rsidRDefault="00005DBB" w:rsidP="00005DBB">
            <w:pPr>
              <w:pStyle w:val="Heading3table"/>
            </w:pPr>
            <w:r w:rsidRPr="00B9618A">
              <w:t>Classification</w:t>
            </w:r>
          </w:p>
        </w:tc>
        <w:tc>
          <w:tcPr>
            <w:tcW w:w="6251" w:type="dxa"/>
            <w:shd w:val="clear" w:color="auto" w:fill="EEECE1"/>
            <w:vAlign w:val="center"/>
          </w:tcPr>
          <w:p w14:paraId="4D76F42D" w14:textId="77777777" w:rsidR="00005DBB" w:rsidRPr="00005DBB" w:rsidRDefault="00381AAA" w:rsidP="00502E37">
            <w:pPr>
              <w:pStyle w:val="Normaltable"/>
            </w:pPr>
            <w:r>
              <w:t xml:space="preserve">General Stream Band </w:t>
            </w:r>
            <w:r w:rsidR="008F2599">
              <w:t>4</w:t>
            </w:r>
          </w:p>
        </w:tc>
      </w:tr>
      <w:tr w:rsidR="00EE50F8" w:rsidRPr="00005DBB" w14:paraId="53721EC9" w14:textId="77777777" w:rsidTr="00EE50F8">
        <w:trPr>
          <w:tblHeader/>
        </w:trPr>
        <w:tc>
          <w:tcPr>
            <w:tcW w:w="3369" w:type="dxa"/>
            <w:shd w:val="clear" w:color="auto" w:fill="EEECE1"/>
            <w:vAlign w:val="center"/>
          </w:tcPr>
          <w:p w14:paraId="08DEBF8A" w14:textId="53383274" w:rsidR="00005DBB" w:rsidRPr="00B9618A" w:rsidRDefault="001A2415" w:rsidP="00005DBB">
            <w:pPr>
              <w:pStyle w:val="Heading3table"/>
            </w:pPr>
            <w:r>
              <w:t>Division</w:t>
            </w:r>
          </w:p>
        </w:tc>
        <w:tc>
          <w:tcPr>
            <w:tcW w:w="6251" w:type="dxa"/>
            <w:shd w:val="clear" w:color="auto" w:fill="EEECE1"/>
            <w:vAlign w:val="center"/>
          </w:tcPr>
          <w:p w14:paraId="6466B672" w14:textId="7ADBD0C5" w:rsidR="00005DBB" w:rsidRPr="00005DBB" w:rsidRDefault="001252E6" w:rsidP="001A2415">
            <w:pPr>
              <w:pStyle w:val="Normaltable"/>
            </w:pPr>
            <w:r>
              <w:t>Regulation and Service Delivery</w:t>
            </w:r>
          </w:p>
        </w:tc>
      </w:tr>
      <w:tr w:rsidR="00EE50F8" w:rsidRPr="00005DBB" w14:paraId="0E169552" w14:textId="77777777" w:rsidTr="00EE50F8">
        <w:trPr>
          <w:tblHeader/>
        </w:trPr>
        <w:tc>
          <w:tcPr>
            <w:tcW w:w="3369" w:type="dxa"/>
            <w:shd w:val="clear" w:color="auto" w:fill="EEECE1"/>
            <w:vAlign w:val="center"/>
          </w:tcPr>
          <w:p w14:paraId="5C13EA05" w14:textId="77777777" w:rsidR="00005DBB" w:rsidRPr="00B9618A" w:rsidRDefault="00005DBB" w:rsidP="00005DBB">
            <w:pPr>
              <w:pStyle w:val="Heading3table"/>
            </w:pPr>
            <w:r w:rsidRPr="00B9618A">
              <w:t>Full Time Equivalent</w:t>
            </w:r>
          </w:p>
        </w:tc>
        <w:tc>
          <w:tcPr>
            <w:tcW w:w="6251" w:type="dxa"/>
            <w:shd w:val="clear" w:color="auto" w:fill="EEECE1"/>
            <w:vAlign w:val="center"/>
          </w:tcPr>
          <w:p w14:paraId="0305BC54" w14:textId="77777777" w:rsidR="00005DBB" w:rsidRPr="00005DBB" w:rsidRDefault="00381AAA" w:rsidP="00005DBB">
            <w:pPr>
              <w:pStyle w:val="Normaltable"/>
            </w:pPr>
            <w:r>
              <w:t>1.0</w:t>
            </w:r>
          </w:p>
        </w:tc>
      </w:tr>
      <w:tr w:rsidR="00EE50F8" w:rsidRPr="00005DBB" w14:paraId="2FEA4009" w14:textId="77777777" w:rsidTr="00EE50F8">
        <w:trPr>
          <w:tblHeader/>
        </w:trPr>
        <w:tc>
          <w:tcPr>
            <w:tcW w:w="3369" w:type="dxa"/>
            <w:shd w:val="clear" w:color="auto" w:fill="EEECE1"/>
            <w:vAlign w:val="center"/>
          </w:tcPr>
          <w:p w14:paraId="136B241D" w14:textId="40C34BD0" w:rsidR="00005DBB" w:rsidRPr="00B9618A" w:rsidRDefault="001A2415" w:rsidP="00005DBB">
            <w:pPr>
              <w:pStyle w:val="Heading3table"/>
            </w:pPr>
            <w:r>
              <w:t>Output Group</w:t>
            </w:r>
          </w:p>
        </w:tc>
        <w:tc>
          <w:tcPr>
            <w:tcW w:w="6251" w:type="dxa"/>
            <w:shd w:val="clear" w:color="auto" w:fill="EEECE1"/>
            <w:vAlign w:val="center"/>
          </w:tcPr>
          <w:p w14:paraId="1055354B" w14:textId="77777777" w:rsidR="00005DBB" w:rsidRPr="00005DBB" w:rsidRDefault="00381AAA" w:rsidP="00005DBB">
            <w:pPr>
              <w:pStyle w:val="Normaltable"/>
            </w:pPr>
            <w:r>
              <w:t>WorkSafe Tasmania</w:t>
            </w:r>
          </w:p>
        </w:tc>
      </w:tr>
      <w:tr w:rsidR="00EE50F8" w:rsidRPr="00005DBB" w14:paraId="5A0392F1" w14:textId="77777777" w:rsidTr="00EE50F8">
        <w:trPr>
          <w:tblHeader/>
        </w:trPr>
        <w:tc>
          <w:tcPr>
            <w:tcW w:w="3369" w:type="dxa"/>
            <w:shd w:val="clear" w:color="auto" w:fill="EEECE1"/>
            <w:vAlign w:val="center"/>
          </w:tcPr>
          <w:p w14:paraId="48A75F2D" w14:textId="77777777" w:rsidR="00005DBB" w:rsidRPr="00B9618A" w:rsidRDefault="00005DBB" w:rsidP="00005DBB">
            <w:pPr>
              <w:pStyle w:val="Heading3table"/>
            </w:pPr>
            <w:r w:rsidRPr="00B9618A">
              <w:t>Branch</w:t>
            </w:r>
          </w:p>
        </w:tc>
        <w:tc>
          <w:tcPr>
            <w:tcW w:w="6251" w:type="dxa"/>
            <w:shd w:val="clear" w:color="auto" w:fill="EEECE1"/>
            <w:vAlign w:val="center"/>
          </w:tcPr>
          <w:p w14:paraId="57FB2D3E" w14:textId="77777777" w:rsidR="00005DBB" w:rsidRPr="00005DBB" w:rsidRDefault="00381AAA" w:rsidP="00C20539">
            <w:pPr>
              <w:pStyle w:val="Normaltable"/>
            </w:pPr>
            <w:r>
              <w:t xml:space="preserve">Industry Safety </w:t>
            </w:r>
            <w:r w:rsidR="00242C7E">
              <w:t>–</w:t>
            </w:r>
            <w:r w:rsidR="00C20539">
              <w:t xml:space="preserve"> </w:t>
            </w:r>
            <w:r w:rsidR="00242C7E">
              <w:t>Inspectorate</w:t>
            </w:r>
          </w:p>
        </w:tc>
      </w:tr>
      <w:tr w:rsidR="00EE50F8" w:rsidRPr="00005DBB" w14:paraId="37B090D0" w14:textId="77777777" w:rsidTr="00EE50F8">
        <w:trPr>
          <w:tblHeader/>
        </w:trPr>
        <w:tc>
          <w:tcPr>
            <w:tcW w:w="3369" w:type="dxa"/>
            <w:shd w:val="clear" w:color="auto" w:fill="EEECE1"/>
            <w:vAlign w:val="center"/>
          </w:tcPr>
          <w:p w14:paraId="56290536" w14:textId="77777777" w:rsidR="00005DBB" w:rsidRPr="00B9618A" w:rsidRDefault="00005DBB" w:rsidP="00005DBB">
            <w:pPr>
              <w:pStyle w:val="Heading3table"/>
            </w:pPr>
            <w:r w:rsidRPr="00B9618A">
              <w:t>Supervisor</w:t>
            </w:r>
          </w:p>
        </w:tc>
        <w:tc>
          <w:tcPr>
            <w:tcW w:w="6251" w:type="dxa"/>
            <w:shd w:val="clear" w:color="auto" w:fill="EEECE1"/>
            <w:vAlign w:val="center"/>
          </w:tcPr>
          <w:p w14:paraId="7EB9C467" w14:textId="135A5E14" w:rsidR="00005DBB" w:rsidRPr="00EE50F8" w:rsidRDefault="00AE74A2" w:rsidP="00502E37">
            <w:pPr>
              <w:pStyle w:val="Normaltable"/>
              <w:rPr>
                <w:rFonts w:cs="Arial"/>
              </w:rPr>
            </w:pPr>
            <w:r>
              <w:rPr>
                <w:rFonts w:cs="Arial"/>
              </w:rPr>
              <w:t>Manager Licensing and Accreditation</w:t>
            </w:r>
          </w:p>
        </w:tc>
      </w:tr>
      <w:tr w:rsidR="00EE50F8" w:rsidRPr="00005DBB" w14:paraId="00AF02D1" w14:textId="77777777" w:rsidTr="00EE50F8">
        <w:trPr>
          <w:tblHeader/>
        </w:trPr>
        <w:tc>
          <w:tcPr>
            <w:tcW w:w="3369" w:type="dxa"/>
            <w:shd w:val="clear" w:color="auto" w:fill="EEECE1"/>
            <w:vAlign w:val="center"/>
          </w:tcPr>
          <w:p w14:paraId="0BB05CE6" w14:textId="77777777" w:rsidR="00005DBB" w:rsidRPr="00B9618A" w:rsidRDefault="00005DBB" w:rsidP="00005DBB">
            <w:pPr>
              <w:pStyle w:val="Heading3table"/>
            </w:pPr>
            <w:r w:rsidRPr="00B9618A">
              <w:t>Direct Reports</w:t>
            </w:r>
          </w:p>
        </w:tc>
        <w:tc>
          <w:tcPr>
            <w:tcW w:w="6251" w:type="dxa"/>
            <w:shd w:val="clear" w:color="auto" w:fill="EEECE1"/>
            <w:vAlign w:val="center"/>
          </w:tcPr>
          <w:p w14:paraId="07E89529" w14:textId="77777777" w:rsidR="00005DBB" w:rsidRPr="00EE50F8" w:rsidRDefault="00381AAA" w:rsidP="00005DBB">
            <w:pPr>
              <w:pStyle w:val="Normaltable"/>
              <w:rPr>
                <w:rFonts w:cs="Arial"/>
              </w:rPr>
            </w:pPr>
            <w:r>
              <w:rPr>
                <w:rFonts w:cs="Arial"/>
              </w:rPr>
              <w:t>Nil</w:t>
            </w:r>
          </w:p>
        </w:tc>
      </w:tr>
      <w:tr w:rsidR="00EE50F8" w:rsidRPr="00005DBB" w14:paraId="2946D778" w14:textId="77777777" w:rsidTr="00EE50F8">
        <w:trPr>
          <w:tblHeader/>
        </w:trPr>
        <w:tc>
          <w:tcPr>
            <w:tcW w:w="3369" w:type="dxa"/>
            <w:shd w:val="clear" w:color="auto" w:fill="EEECE1"/>
            <w:vAlign w:val="center"/>
          </w:tcPr>
          <w:p w14:paraId="550BB2E3" w14:textId="77777777" w:rsidR="00005DBB" w:rsidRPr="00B9618A" w:rsidRDefault="00005DBB" w:rsidP="00005DBB">
            <w:pPr>
              <w:pStyle w:val="Heading3table"/>
            </w:pPr>
            <w:r w:rsidRPr="00B9618A">
              <w:t>Location</w:t>
            </w:r>
          </w:p>
        </w:tc>
        <w:tc>
          <w:tcPr>
            <w:tcW w:w="6251" w:type="dxa"/>
            <w:shd w:val="clear" w:color="auto" w:fill="EEECE1"/>
            <w:vAlign w:val="center"/>
          </w:tcPr>
          <w:p w14:paraId="3CDA99B0" w14:textId="7A5AF291" w:rsidR="00005DBB" w:rsidRPr="00EE50F8" w:rsidRDefault="001A2415" w:rsidP="00AF34D9">
            <w:pPr>
              <w:pStyle w:val="Normaltable"/>
              <w:rPr>
                <w:rFonts w:cs="Arial"/>
              </w:rPr>
            </w:pPr>
            <w:r>
              <w:rPr>
                <w:rFonts w:cs="Arial"/>
              </w:rPr>
              <w:t>Rosny</w:t>
            </w:r>
          </w:p>
        </w:tc>
      </w:tr>
      <w:tr w:rsidR="00EE50F8" w:rsidRPr="00005DBB" w14:paraId="36B41502" w14:textId="77777777" w:rsidTr="00EE50F8">
        <w:trPr>
          <w:tblHeader/>
        </w:trPr>
        <w:tc>
          <w:tcPr>
            <w:tcW w:w="3369" w:type="dxa"/>
            <w:shd w:val="clear" w:color="auto" w:fill="EEECE1"/>
            <w:vAlign w:val="center"/>
          </w:tcPr>
          <w:p w14:paraId="1DC4EAF7" w14:textId="77777777" w:rsidR="00005DBB" w:rsidRPr="00B9618A" w:rsidRDefault="00005DBB" w:rsidP="00005DBB">
            <w:pPr>
              <w:pStyle w:val="Heading3table"/>
            </w:pPr>
            <w:r w:rsidRPr="00B9618A">
              <w:t>Terms of Employment</w:t>
            </w:r>
          </w:p>
        </w:tc>
        <w:tc>
          <w:tcPr>
            <w:tcW w:w="6251" w:type="dxa"/>
            <w:shd w:val="clear" w:color="auto" w:fill="EEECE1"/>
            <w:vAlign w:val="center"/>
          </w:tcPr>
          <w:p w14:paraId="2676CD70" w14:textId="77777777" w:rsidR="00005DBB" w:rsidRPr="00005DBB" w:rsidRDefault="00A007C8" w:rsidP="00734261">
            <w:pPr>
              <w:pStyle w:val="Normaltable"/>
            </w:pPr>
            <w:r>
              <w:t>Permanent</w:t>
            </w:r>
            <w:r w:rsidR="00242C7E">
              <w:t xml:space="preserve"> full time</w:t>
            </w:r>
            <w:r w:rsidR="00C20539">
              <w:t>,</w:t>
            </w:r>
            <w:r w:rsidR="00242C7E">
              <w:t xml:space="preserve"> 73.50 hours per fortnight. </w:t>
            </w:r>
            <w:r w:rsidR="00734261">
              <w:t>Some i</w:t>
            </w:r>
            <w:r w:rsidR="00242C7E">
              <w:t>ntrastate travel will be required.</w:t>
            </w:r>
          </w:p>
        </w:tc>
      </w:tr>
      <w:tr w:rsidR="00EE50F8" w:rsidRPr="00005DBB" w14:paraId="0288FB9A" w14:textId="77777777" w:rsidTr="00EE50F8">
        <w:trPr>
          <w:tblHeader/>
        </w:trPr>
        <w:tc>
          <w:tcPr>
            <w:tcW w:w="3369" w:type="dxa"/>
            <w:shd w:val="clear" w:color="auto" w:fill="EEECE1"/>
            <w:vAlign w:val="center"/>
          </w:tcPr>
          <w:p w14:paraId="3596C6F8" w14:textId="77777777" w:rsidR="00005DBB" w:rsidRPr="00B9618A" w:rsidRDefault="00005DBB" w:rsidP="00005DBB">
            <w:pPr>
              <w:pStyle w:val="Heading3table"/>
            </w:pPr>
            <w:r w:rsidRPr="00B9618A">
              <w:t>Position category and funding</w:t>
            </w:r>
          </w:p>
        </w:tc>
        <w:tc>
          <w:tcPr>
            <w:tcW w:w="6251" w:type="dxa"/>
            <w:shd w:val="clear" w:color="auto" w:fill="EEECE1"/>
            <w:vAlign w:val="center"/>
          </w:tcPr>
          <w:p w14:paraId="745BD861" w14:textId="5E2F3EAF" w:rsidR="00005DBB" w:rsidRPr="00242C7E" w:rsidRDefault="00AE74A2" w:rsidP="00005DBB">
            <w:pPr>
              <w:pStyle w:val="Normaltable"/>
            </w:pPr>
            <w:r>
              <w:t>A371</w:t>
            </w:r>
          </w:p>
        </w:tc>
      </w:tr>
    </w:tbl>
    <w:p w14:paraId="5C28E7E2" w14:textId="77777777" w:rsidR="008702FF" w:rsidRPr="008702FF" w:rsidRDefault="008702FF" w:rsidP="00F71D29">
      <w:pPr>
        <w:pStyle w:val="Heading2"/>
        <w:rPr>
          <w:bCs w:val="0"/>
        </w:rPr>
      </w:pPr>
      <w:r w:rsidRPr="008702FF">
        <w:t>The Department of Justice</w:t>
      </w:r>
    </w:p>
    <w:p w14:paraId="2854B800" w14:textId="4A0908DA" w:rsidR="00CE3850" w:rsidRDefault="008702FF" w:rsidP="00CE3850">
      <w:pPr>
        <w:pStyle w:val="Heading3"/>
      </w:pPr>
      <w:r w:rsidRPr="00CE3850">
        <w:t>Aim</w:t>
      </w:r>
      <w:r w:rsidRPr="008702FF">
        <w:t xml:space="preserve"> </w:t>
      </w:r>
    </w:p>
    <w:p w14:paraId="55239BE2" w14:textId="77777777" w:rsidR="008702FF" w:rsidRDefault="008702FF" w:rsidP="00AE74A2">
      <w:pPr>
        <w:tabs>
          <w:tab w:val="left" w:pos="3750"/>
        </w:tabs>
        <w:jc w:val="both"/>
        <w:rPr>
          <w:sz w:val="22"/>
          <w:szCs w:val="22"/>
        </w:rPr>
      </w:pPr>
      <w:r w:rsidRPr="008702FF">
        <w:rPr>
          <w:sz w:val="22"/>
          <w:szCs w:val="22"/>
        </w:rPr>
        <w:t>A safe, fair and just Tasmania.</w:t>
      </w:r>
    </w:p>
    <w:p w14:paraId="52201CAB" w14:textId="77777777" w:rsidR="00734261" w:rsidRPr="00F678B1" w:rsidRDefault="00734261" w:rsidP="00AE74A2">
      <w:pPr>
        <w:spacing w:before="120"/>
        <w:jc w:val="both"/>
        <w:rPr>
          <w:color w:val="444444"/>
          <w:sz w:val="22"/>
          <w:lang w:val="en" w:eastAsia="en-AU"/>
        </w:rPr>
      </w:pPr>
      <w:r w:rsidRPr="00F678B1">
        <w:rPr>
          <w:color w:val="444444"/>
          <w:sz w:val="22"/>
          <w:lang w:val="en" w:eastAsia="en-AU"/>
        </w:rPr>
        <w:t>As a division of the Department of Justice, WorkSafe Tasmania focusses on improving workplace health, safety, return to work practices and wellbeing. We do this by:</w:t>
      </w:r>
    </w:p>
    <w:p w14:paraId="34F8B7B8" w14:textId="77777777" w:rsidR="00734261" w:rsidRPr="00F678B1" w:rsidRDefault="00734261" w:rsidP="00AE74A2">
      <w:pPr>
        <w:numPr>
          <w:ilvl w:val="0"/>
          <w:numId w:val="28"/>
        </w:numPr>
        <w:spacing w:before="120"/>
        <w:jc w:val="both"/>
        <w:rPr>
          <w:color w:val="444444"/>
          <w:sz w:val="22"/>
          <w:lang w:val="en" w:eastAsia="en-AU"/>
        </w:rPr>
      </w:pPr>
      <w:r w:rsidRPr="00F678B1">
        <w:rPr>
          <w:color w:val="444444"/>
          <w:sz w:val="22"/>
          <w:lang w:val="en" w:eastAsia="en-AU"/>
        </w:rPr>
        <w:t>investigating workplace incidents;</w:t>
      </w:r>
    </w:p>
    <w:p w14:paraId="44ACE164" w14:textId="77777777" w:rsidR="00734261" w:rsidRPr="00F678B1" w:rsidRDefault="00734261" w:rsidP="00AE74A2">
      <w:pPr>
        <w:numPr>
          <w:ilvl w:val="0"/>
          <w:numId w:val="28"/>
        </w:numPr>
        <w:spacing w:before="120"/>
        <w:jc w:val="both"/>
        <w:rPr>
          <w:color w:val="444444"/>
          <w:sz w:val="22"/>
          <w:lang w:val="en" w:eastAsia="en-AU"/>
        </w:rPr>
      </w:pPr>
      <w:r w:rsidRPr="00F678B1">
        <w:rPr>
          <w:color w:val="444444"/>
          <w:sz w:val="22"/>
          <w:lang w:val="en" w:eastAsia="en-AU"/>
        </w:rPr>
        <w:t>inspecting workplaces for compliance with legislation;</w:t>
      </w:r>
    </w:p>
    <w:p w14:paraId="374F811C" w14:textId="77777777" w:rsidR="00734261" w:rsidRPr="00F678B1" w:rsidRDefault="00734261" w:rsidP="00AE74A2">
      <w:pPr>
        <w:numPr>
          <w:ilvl w:val="0"/>
          <w:numId w:val="28"/>
        </w:numPr>
        <w:spacing w:before="120"/>
        <w:jc w:val="both"/>
        <w:rPr>
          <w:color w:val="444444"/>
          <w:sz w:val="22"/>
          <w:lang w:val="en" w:eastAsia="en-AU"/>
        </w:rPr>
      </w:pPr>
      <w:r w:rsidRPr="00F678B1">
        <w:rPr>
          <w:color w:val="444444"/>
          <w:sz w:val="22"/>
          <w:lang w:val="en" w:eastAsia="en-AU"/>
        </w:rPr>
        <w:t>promoting safer and healthier workplaces and practices through education and awareness;</w:t>
      </w:r>
    </w:p>
    <w:p w14:paraId="0018E977" w14:textId="77777777" w:rsidR="00734261" w:rsidRPr="00F678B1" w:rsidRDefault="00734261" w:rsidP="00AE74A2">
      <w:pPr>
        <w:numPr>
          <w:ilvl w:val="0"/>
          <w:numId w:val="28"/>
        </w:numPr>
        <w:spacing w:before="120"/>
        <w:jc w:val="both"/>
        <w:rPr>
          <w:color w:val="444444"/>
          <w:sz w:val="22"/>
          <w:lang w:val="en" w:eastAsia="en-AU"/>
        </w:rPr>
      </w:pPr>
      <w:r w:rsidRPr="00F678B1">
        <w:rPr>
          <w:color w:val="444444"/>
          <w:sz w:val="22"/>
          <w:lang w:val="en" w:eastAsia="en-AU"/>
        </w:rPr>
        <w:t>promoting prompt and effective return to work practices through practical guidance; and</w:t>
      </w:r>
    </w:p>
    <w:p w14:paraId="56C128FC" w14:textId="77777777" w:rsidR="00734261" w:rsidRPr="00F678B1" w:rsidRDefault="00734261" w:rsidP="00AE74A2">
      <w:pPr>
        <w:numPr>
          <w:ilvl w:val="0"/>
          <w:numId w:val="28"/>
        </w:numPr>
        <w:spacing w:before="120"/>
        <w:jc w:val="both"/>
        <w:rPr>
          <w:color w:val="444444"/>
          <w:sz w:val="22"/>
          <w:lang w:val="en" w:eastAsia="en-AU"/>
        </w:rPr>
      </w:pPr>
      <w:r w:rsidRPr="00F678B1">
        <w:rPr>
          <w:color w:val="444444"/>
          <w:sz w:val="22"/>
          <w:lang w:val="en" w:eastAsia="en-AU"/>
        </w:rPr>
        <w:t>licensing identified occupational and high-risk activities.</w:t>
      </w:r>
    </w:p>
    <w:p w14:paraId="4B4E3293" w14:textId="77777777" w:rsidR="00734261" w:rsidRPr="00F678B1" w:rsidRDefault="00734261" w:rsidP="00AE74A2">
      <w:pPr>
        <w:spacing w:before="120"/>
        <w:jc w:val="both"/>
        <w:rPr>
          <w:color w:val="444444"/>
          <w:sz w:val="22"/>
          <w:lang w:val="en" w:eastAsia="en-AU"/>
        </w:rPr>
      </w:pPr>
      <w:r w:rsidRPr="00F678B1">
        <w:rPr>
          <w:color w:val="444444"/>
          <w:sz w:val="22"/>
          <w:lang w:val="en" w:eastAsia="en-AU"/>
        </w:rPr>
        <w:t>We also have a strong relationship with the WorkCover Tasmania Board, assisting the Board fulfil its functions in injury management, work health and safety, and workers compensation.</w:t>
      </w:r>
    </w:p>
    <w:p w14:paraId="11F70F84" w14:textId="77777777" w:rsidR="00734261" w:rsidRPr="00F678B1" w:rsidRDefault="00734261" w:rsidP="00AE74A2">
      <w:pPr>
        <w:tabs>
          <w:tab w:val="left" w:pos="3750"/>
        </w:tabs>
        <w:jc w:val="both"/>
        <w:rPr>
          <w:sz w:val="22"/>
        </w:rPr>
      </w:pPr>
      <w:r w:rsidRPr="00F678B1">
        <w:rPr>
          <w:color w:val="444444"/>
          <w:sz w:val="22"/>
          <w:lang w:val="en" w:eastAsia="en-AU"/>
        </w:rPr>
        <w:t>Our activities directly support the Department of Justice's aim of achieving a fair, just and safe Tasmania; by advancing work health, safety and wellbeing in Tasmania.</w:t>
      </w:r>
    </w:p>
    <w:p w14:paraId="4E1AF3D3" w14:textId="77777777" w:rsidR="00CE3850" w:rsidRDefault="00CE3850" w:rsidP="00CE3850">
      <w:pPr>
        <w:pStyle w:val="Heading3"/>
      </w:pPr>
      <w:r>
        <w:lastRenderedPageBreak/>
        <w:t>Purpose</w:t>
      </w:r>
    </w:p>
    <w:p w14:paraId="7B08BA51" w14:textId="77777777" w:rsidR="008702FF" w:rsidRPr="008702FF" w:rsidRDefault="00CE3850" w:rsidP="008702FF">
      <w:pPr>
        <w:rPr>
          <w:sz w:val="22"/>
          <w:szCs w:val="22"/>
        </w:rPr>
      </w:pPr>
      <w:r>
        <w:rPr>
          <w:sz w:val="22"/>
          <w:szCs w:val="22"/>
        </w:rPr>
        <w:t>T</w:t>
      </w:r>
      <w:r w:rsidR="008702FF" w:rsidRPr="008702FF">
        <w:rPr>
          <w:sz w:val="22"/>
          <w:szCs w:val="22"/>
        </w:rPr>
        <w:t>o support the Tasmanian Governmen</w:t>
      </w:r>
      <w:r>
        <w:rPr>
          <w:sz w:val="22"/>
          <w:szCs w:val="22"/>
        </w:rPr>
        <w:t>t to promote the rule of law by</w:t>
      </w:r>
    </w:p>
    <w:p w14:paraId="18E0BF5F" w14:textId="77777777" w:rsidR="008702FF" w:rsidRPr="008702FF" w:rsidRDefault="00CE3850" w:rsidP="003D70AD">
      <w:pPr>
        <w:numPr>
          <w:ilvl w:val="0"/>
          <w:numId w:val="4"/>
        </w:numPr>
        <w:spacing w:after="0"/>
        <w:rPr>
          <w:sz w:val="22"/>
          <w:szCs w:val="22"/>
        </w:rPr>
      </w:pPr>
      <w:r>
        <w:rPr>
          <w:sz w:val="22"/>
          <w:szCs w:val="22"/>
        </w:rPr>
        <w:t>e</w:t>
      </w:r>
      <w:r w:rsidR="008702FF" w:rsidRPr="008702FF">
        <w:rPr>
          <w:sz w:val="22"/>
          <w:szCs w:val="22"/>
        </w:rPr>
        <w:t>nsuring an effective, efficien</w:t>
      </w:r>
      <w:r>
        <w:rPr>
          <w:sz w:val="22"/>
          <w:szCs w:val="22"/>
        </w:rPr>
        <w:t>t and accessible justice system.</w:t>
      </w:r>
    </w:p>
    <w:p w14:paraId="011A626D" w14:textId="77777777" w:rsidR="008702FF" w:rsidRPr="008702FF" w:rsidRDefault="00CE3850" w:rsidP="003D70AD">
      <w:pPr>
        <w:numPr>
          <w:ilvl w:val="0"/>
          <w:numId w:val="4"/>
        </w:numPr>
        <w:spacing w:after="0"/>
        <w:rPr>
          <w:sz w:val="22"/>
          <w:szCs w:val="22"/>
        </w:rPr>
      </w:pPr>
      <w:r>
        <w:rPr>
          <w:sz w:val="22"/>
          <w:szCs w:val="22"/>
        </w:rPr>
        <w:t>protecting and respecting rights.</w:t>
      </w:r>
    </w:p>
    <w:p w14:paraId="6C3EAAF0" w14:textId="77777777" w:rsidR="008702FF" w:rsidRPr="008702FF" w:rsidRDefault="00CE3850" w:rsidP="003D70AD">
      <w:pPr>
        <w:numPr>
          <w:ilvl w:val="0"/>
          <w:numId w:val="4"/>
        </w:numPr>
        <w:spacing w:after="0"/>
        <w:rPr>
          <w:sz w:val="22"/>
          <w:szCs w:val="22"/>
        </w:rPr>
      </w:pPr>
      <w:r>
        <w:rPr>
          <w:sz w:val="22"/>
          <w:szCs w:val="22"/>
        </w:rPr>
        <w:t>improving laws.</w:t>
      </w:r>
    </w:p>
    <w:p w14:paraId="3B30B3FF" w14:textId="77777777" w:rsidR="008702FF" w:rsidRPr="008702FF" w:rsidRDefault="00CE3850" w:rsidP="003D70AD">
      <w:pPr>
        <w:numPr>
          <w:ilvl w:val="0"/>
          <w:numId w:val="4"/>
        </w:numPr>
        <w:spacing w:after="0"/>
        <w:rPr>
          <w:sz w:val="22"/>
          <w:szCs w:val="22"/>
        </w:rPr>
      </w:pPr>
      <w:r>
        <w:rPr>
          <w:sz w:val="22"/>
          <w:szCs w:val="22"/>
        </w:rPr>
        <w:t>i</w:t>
      </w:r>
      <w:r w:rsidR="008702FF" w:rsidRPr="008702FF">
        <w:rPr>
          <w:sz w:val="22"/>
          <w:szCs w:val="22"/>
        </w:rPr>
        <w:t>nfluencing positive behaviour and enforcing responsibilities.</w:t>
      </w:r>
    </w:p>
    <w:p w14:paraId="5EC13DDB" w14:textId="77777777" w:rsidR="00AE74A2" w:rsidRDefault="00AE74A2" w:rsidP="00CE3850"/>
    <w:p w14:paraId="567617ED" w14:textId="5584B283" w:rsidR="00CE3850" w:rsidRPr="00CE3850" w:rsidRDefault="00CE3850" w:rsidP="00CE3850">
      <w:r w:rsidRPr="00CE3850">
        <w:t xml:space="preserve">Visit the </w:t>
      </w:r>
      <w:hyperlink r:id="rId7" w:history="1">
        <w:r w:rsidRPr="00CE3850">
          <w:rPr>
            <w:rStyle w:val="Hyperlink"/>
            <w:sz w:val="22"/>
            <w:szCs w:val="22"/>
          </w:rPr>
          <w:t>Department of Ju</w:t>
        </w:r>
        <w:r w:rsidRPr="00CE3850">
          <w:rPr>
            <w:rStyle w:val="Hyperlink"/>
            <w:sz w:val="22"/>
            <w:szCs w:val="22"/>
          </w:rPr>
          <w:t>s</w:t>
        </w:r>
        <w:r w:rsidRPr="00CE3850">
          <w:rPr>
            <w:rStyle w:val="Hyperlink"/>
            <w:sz w:val="22"/>
            <w:szCs w:val="22"/>
          </w:rPr>
          <w:t>tice website</w:t>
        </w:r>
      </w:hyperlink>
      <w:r w:rsidRPr="00CE3850">
        <w:t xml:space="preserve"> for more information. </w:t>
      </w:r>
    </w:p>
    <w:p w14:paraId="0B80B438" w14:textId="77777777" w:rsidR="00C322B8" w:rsidRDefault="00CE3850" w:rsidP="00CE3850">
      <w:pPr>
        <w:pStyle w:val="Heading2"/>
      </w:pPr>
      <w:r w:rsidRPr="00CE3850">
        <w:t>Division</w:t>
      </w:r>
      <w:r w:rsidR="00FA5ACF">
        <w:t>al Information</w:t>
      </w:r>
    </w:p>
    <w:p w14:paraId="638E8901" w14:textId="77777777" w:rsidR="00734261" w:rsidRPr="00F678B1" w:rsidRDefault="00734261" w:rsidP="00AE74A2">
      <w:pPr>
        <w:spacing w:before="80" w:after="80"/>
        <w:ind w:right="-2"/>
        <w:jc w:val="both"/>
        <w:rPr>
          <w:rFonts w:cs="Arial"/>
          <w:sz w:val="22"/>
        </w:rPr>
      </w:pPr>
      <w:r w:rsidRPr="00F678B1">
        <w:rPr>
          <w:rFonts w:cs="Arial"/>
          <w:sz w:val="22"/>
        </w:rPr>
        <w:t>WorkSafe Tasmania is responsible for administering much of the legislation that regulates business in Tasmania.  Work health and safety, asbestos compensation, workers compensation, long service leave, shop trading hours and public holidays are key areas.</w:t>
      </w:r>
    </w:p>
    <w:p w14:paraId="6E2AE232" w14:textId="77777777" w:rsidR="00734261" w:rsidRPr="00F678B1" w:rsidRDefault="00734261" w:rsidP="00AE74A2">
      <w:pPr>
        <w:spacing w:before="120"/>
        <w:jc w:val="both"/>
        <w:rPr>
          <w:rFonts w:cs="Arial"/>
          <w:sz w:val="22"/>
        </w:rPr>
      </w:pPr>
      <w:r w:rsidRPr="00F678B1">
        <w:rPr>
          <w:rFonts w:cs="Arial"/>
          <w:sz w:val="22"/>
        </w:rPr>
        <w:t>Our behaviours are consistent with those of the Department of Justice and the broader State Service; and we have identified the following shared values and language:</w:t>
      </w:r>
    </w:p>
    <w:p w14:paraId="7E349B83" w14:textId="77777777" w:rsidR="00734261" w:rsidRPr="00F678B1" w:rsidRDefault="00734261" w:rsidP="00AE74A2">
      <w:pPr>
        <w:numPr>
          <w:ilvl w:val="0"/>
          <w:numId w:val="29"/>
        </w:numPr>
        <w:spacing w:before="120"/>
        <w:ind w:left="714" w:hanging="357"/>
        <w:jc w:val="both"/>
        <w:rPr>
          <w:rFonts w:cs="Arial"/>
          <w:sz w:val="22"/>
        </w:rPr>
      </w:pPr>
      <w:r w:rsidRPr="00F678B1">
        <w:rPr>
          <w:b/>
          <w:color w:val="444444"/>
          <w:sz w:val="22"/>
          <w:lang w:val="en" w:eastAsia="en-AU"/>
        </w:rPr>
        <w:t>Accountable</w:t>
      </w:r>
      <w:r w:rsidRPr="00F678B1">
        <w:rPr>
          <w:color w:val="444444"/>
          <w:sz w:val="22"/>
          <w:lang w:val="en" w:eastAsia="en-AU"/>
        </w:rPr>
        <w:t xml:space="preserve">: </w:t>
      </w:r>
      <w:r w:rsidRPr="00F678B1">
        <w:rPr>
          <w:rFonts w:cs="Arial"/>
          <w:sz w:val="22"/>
        </w:rPr>
        <w:t>We are consistent; always doing what we say.</w:t>
      </w:r>
    </w:p>
    <w:p w14:paraId="433EDA77" w14:textId="77777777" w:rsidR="00734261" w:rsidRPr="00F678B1" w:rsidRDefault="00734261" w:rsidP="00AE74A2">
      <w:pPr>
        <w:numPr>
          <w:ilvl w:val="0"/>
          <w:numId w:val="29"/>
        </w:numPr>
        <w:spacing w:before="120"/>
        <w:ind w:left="714" w:hanging="357"/>
        <w:jc w:val="both"/>
        <w:rPr>
          <w:rFonts w:cs="Arial"/>
          <w:sz w:val="22"/>
        </w:rPr>
      </w:pPr>
      <w:r w:rsidRPr="00F678B1">
        <w:rPr>
          <w:b/>
          <w:color w:val="444444"/>
          <w:sz w:val="22"/>
          <w:lang w:val="en" w:eastAsia="en-AU"/>
        </w:rPr>
        <w:t>Inclusive</w:t>
      </w:r>
      <w:r w:rsidRPr="00F678B1">
        <w:rPr>
          <w:color w:val="444444"/>
          <w:sz w:val="22"/>
          <w:lang w:val="en" w:eastAsia="en-AU"/>
        </w:rPr>
        <w:t xml:space="preserve">: </w:t>
      </w:r>
      <w:r w:rsidRPr="00F678B1">
        <w:rPr>
          <w:rFonts w:cs="Arial"/>
          <w:sz w:val="22"/>
        </w:rPr>
        <w:t>We work as one team and embrace diversity and new thinking.</w:t>
      </w:r>
    </w:p>
    <w:p w14:paraId="5D4FD408" w14:textId="77777777" w:rsidR="00734261" w:rsidRPr="00F678B1" w:rsidRDefault="00734261" w:rsidP="00AE74A2">
      <w:pPr>
        <w:numPr>
          <w:ilvl w:val="0"/>
          <w:numId w:val="29"/>
        </w:numPr>
        <w:spacing w:before="120"/>
        <w:ind w:left="714" w:hanging="357"/>
        <w:jc w:val="both"/>
        <w:rPr>
          <w:color w:val="444444"/>
          <w:sz w:val="22"/>
          <w:lang w:val="en" w:eastAsia="en-AU"/>
        </w:rPr>
      </w:pPr>
      <w:r w:rsidRPr="00F678B1">
        <w:rPr>
          <w:b/>
          <w:color w:val="444444"/>
          <w:sz w:val="22"/>
          <w:lang w:val="en" w:eastAsia="en-AU"/>
        </w:rPr>
        <w:t>Transparent</w:t>
      </w:r>
      <w:r w:rsidRPr="00F678B1">
        <w:rPr>
          <w:color w:val="444444"/>
          <w:sz w:val="22"/>
          <w:lang w:val="en" w:eastAsia="en-AU"/>
        </w:rPr>
        <w:t xml:space="preserve">: </w:t>
      </w:r>
      <w:r w:rsidRPr="00F678B1">
        <w:rPr>
          <w:rFonts w:cs="Arial"/>
          <w:sz w:val="22"/>
        </w:rPr>
        <w:t>We communicate our intent and foster a culture of open communication</w:t>
      </w:r>
      <w:r w:rsidRPr="00F678B1">
        <w:rPr>
          <w:color w:val="444444"/>
          <w:sz w:val="22"/>
          <w:lang w:val="en" w:eastAsia="en-AU"/>
        </w:rPr>
        <w:t>.</w:t>
      </w:r>
    </w:p>
    <w:p w14:paraId="5A8617B6" w14:textId="77777777" w:rsidR="00734261" w:rsidRPr="00F678B1" w:rsidRDefault="00734261" w:rsidP="00AE74A2">
      <w:pPr>
        <w:numPr>
          <w:ilvl w:val="0"/>
          <w:numId w:val="29"/>
        </w:numPr>
        <w:spacing w:before="120"/>
        <w:ind w:left="714" w:hanging="357"/>
        <w:jc w:val="both"/>
        <w:rPr>
          <w:rFonts w:cs="Arial"/>
          <w:sz w:val="22"/>
        </w:rPr>
      </w:pPr>
      <w:r w:rsidRPr="00F678B1">
        <w:rPr>
          <w:b/>
          <w:color w:val="444444"/>
          <w:sz w:val="22"/>
          <w:lang w:val="en" w:eastAsia="en-AU"/>
        </w:rPr>
        <w:t>Integrity</w:t>
      </w:r>
      <w:r w:rsidRPr="00F678B1">
        <w:rPr>
          <w:color w:val="444444"/>
          <w:sz w:val="22"/>
          <w:lang w:val="en" w:eastAsia="en-AU"/>
        </w:rPr>
        <w:t xml:space="preserve">: </w:t>
      </w:r>
      <w:r w:rsidRPr="00F678B1">
        <w:rPr>
          <w:rFonts w:cs="Arial"/>
          <w:sz w:val="22"/>
        </w:rPr>
        <w:t>We model open and honest behaviour upholding State Service Values.</w:t>
      </w:r>
    </w:p>
    <w:p w14:paraId="65489508" w14:textId="77777777" w:rsidR="00734261" w:rsidRPr="00F678B1" w:rsidRDefault="00734261" w:rsidP="00AE74A2">
      <w:pPr>
        <w:spacing w:before="120"/>
        <w:jc w:val="both"/>
        <w:rPr>
          <w:rFonts w:cs="Arial"/>
          <w:sz w:val="22"/>
        </w:rPr>
      </w:pPr>
      <w:r w:rsidRPr="00F678B1">
        <w:rPr>
          <w:rFonts w:cs="Arial"/>
          <w:sz w:val="22"/>
        </w:rPr>
        <w:t>As a team that supports each other to achieve our higher purpose, we are consistent in what we do and say, celebrating our achievements as we set the standard for work health, safety and wellbeing.</w:t>
      </w:r>
    </w:p>
    <w:p w14:paraId="2C8A2DAC" w14:textId="77777777" w:rsidR="00734261" w:rsidRPr="00F678B1" w:rsidRDefault="00734261" w:rsidP="00AE74A2">
      <w:pPr>
        <w:spacing w:before="80" w:after="80"/>
        <w:ind w:right="-2"/>
        <w:jc w:val="both"/>
        <w:rPr>
          <w:rFonts w:cs="Arial"/>
          <w:sz w:val="22"/>
          <w:szCs w:val="22"/>
        </w:rPr>
      </w:pPr>
      <w:r w:rsidRPr="00F678B1">
        <w:rPr>
          <w:rFonts w:cs="Arial"/>
          <w:sz w:val="22"/>
          <w:szCs w:val="22"/>
        </w:rPr>
        <w:t xml:space="preserve">Visit the </w:t>
      </w:r>
      <w:hyperlink r:id="rId8" w:history="1">
        <w:r w:rsidRPr="00F678B1">
          <w:rPr>
            <w:rStyle w:val="Hyperlink"/>
            <w:sz w:val="22"/>
            <w:szCs w:val="22"/>
          </w:rPr>
          <w:t>web</w:t>
        </w:r>
        <w:r w:rsidRPr="00F678B1">
          <w:rPr>
            <w:rStyle w:val="Hyperlink"/>
            <w:sz w:val="22"/>
            <w:szCs w:val="22"/>
          </w:rPr>
          <w:t>s</w:t>
        </w:r>
        <w:r w:rsidRPr="00F678B1">
          <w:rPr>
            <w:rStyle w:val="Hyperlink"/>
            <w:sz w:val="22"/>
            <w:szCs w:val="22"/>
          </w:rPr>
          <w:t>ite</w:t>
        </w:r>
      </w:hyperlink>
      <w:r w:rsidRPr="00F678B1">
        <w:rPr>
          <w:sz w:val="22"/>
          <w:szCs w:val="22"/>
        </w:rPr>
        <w:t xml:space="preserve"> </w:t>
      </w:r>
      <w:r w:rsidRPr="00F678B1">
        <w:rPr>
          <w:rFonts w:cs="Arial"/>
          <w:sz w:val="22"/>
          <w:szCs w:val="22"/>
        </w:rPr>
        <w:t>for more information.</w:t>
      </w:r>
    </w:p>
    <w:p w14:paraId="4C06EA30" w14:textId="77777777" w:rsidR="0095272E" w:rsidRDefault="0095272E" w:rsidP="00F71D29">
      <w:pPr>
        <w:pStyle w:val="Heading2"/>
      </w:pPr>
      <w:r>
        <w:t>About the position</w:t>
      </w:r>
    </w:p>
    <w:p w14:paraId="405310F3" w14:textId="77777777" w:rsidR="00347B75" w:rsidRDefault="00C322B8" w:rsidP="0095272E">
      <w:pPr>
        <w:pStyle w:val="Heading3"/>
      </w:pPr>
      <w:r w:rsidRPr="00F71D29">
        <w:t>Objective</w:t>
      </w:r>
    </w:p>
    <w:p w14:paraId="4DBE0821" w14:textId="77777777" w:rsidR="00B00073" w:rsidRPr="00B00073" w:rsidRDefault="00F32C49" w:rsidP="00AE74A2">
      <w:pPr>
        <w:spacing w:after="0"/>
        <w:jc w:val="both"/>
      </w:pPr>
      <w:r w:rsidRPr="00F32C49">
        <w:rPr>
          <w:rFonts w:cs="Arial"/>
          <w:sz w:val="22"/>
          <w:szCs w:val="22"/>
        </w:rPr>
        <w:t>Ensuring a fair, just and safe Tasmania by influencing behaviour and enforcing responsibilities</w:t>
      </w:r>
      <w:r w:rsidR="00734261">
        <w:rPr>
          <w:rFonts w:cs="Arial"/>
          <w:sz w:val="22"/>
          <w:szCs w:val="22"/>
        </w:rPr>
        <w:t>, t</w:t>
      </w:r>
      <w:r w:rsidRPr="00F32C49">
        <w:rPr>
          <w:rFonts w:cs="Arial"/>
          <w:sz w:val="22"/>
          <w:szCs w:val="22"/>
        </w:rPr>
        <w:t xml:space="preserve">he primary role of an </w:t>
      </w:r>
      <w:r w:rsidR="00734261">
        <w:rPr>
          <w:rFonts w:cs="Arial"/>
          <w:sz w:val="22"/>
          <w:szCs w:val="22"/>
        </w:rPr>
        <w:t>I</w:t>
      </w:r>
      <w:r w:rsidRPr="00F32C49">
        <w:rPr>
          <w:rFonts w:cs="Arial"/>
          <w:sz w:val="22"/>
          <w:szCs w:val="22"/>
        </w:rPr>
        <w:t>nspector is to</w:t>
      </w:r>
      <w:r w:rsidR="005A7555" w:rsidRPr="005A7555">
        <w:rPr>
          <w:rFonts w:cs="Arial"/>
          <w:sz w:val="22"/>
          <w:szCs w:val="22"/>
        </w:rPr>
        <w:t xml:space="preserve"> </w:t>
      </w:r>
      <w:r w:rsidR="005A7555" w:rsidRPr="00F678B1">
        <w:rPr>
          <w:rFonts w:cs="Arial"/>
          <w:sz w:val="22"/>
          <w:szCs w:val="22"/>
        </w:rPr>
        <w:t>contribute to public safety by ensuring safe conditions are provided for the general public at major events</w:t>
      </w:r>
      <w:r w:rsidR="005E1568">
        <w:rPr>
          <w:rFonts w:cs="Arial"/>
          <w:sz w:val="22"/>
          <w:szCs w:val="22"/>
        </w:rPr>
        <w:t xml:space="preserve"> and workplaces</w:t>
      </w:r>
      <w:r w:rsidR="005A7555">
        <w:rPr>
          <w:rFonts w:cs="Arial"/>
          <w:sz w:val="22"/>
          <w:szCs w:val="22"/>
        </w:rPr>
        <w:t xml:space="preserve">. Inspectors </w:t>
      </w:r>
      <w:r w:rsidR="005E1568">
        <w:rPr>
          <w:rFonts w:cs="Arial"/>
          <w:sz w:val="22"/>
          <w:szCs w:val="22"/>
        </w:rPr>
        <w:t xml:space="preserve">assist in the investigation </w:t>
      </w:r>
      <w:r w:rsidRPr="00F32C49">
        <w:rPr>
          <w:rFonts w:cs="Arial"/>
          <w:sz w:val="22"/>
          <w:szCs w:val="22"/>
        </w:rPr>
        <w:t xml:space="preserve">workplace incidents, </w:t>
      </w:r>
      <w:r w:rsidR="005E1568">
        <w:rPr>
          <w:rFonts w:cs="Arial"/>
          <w:sz w:val="22"/>
          <w:szCs w:val="22"/>
        </w:rPr>
        <w:t xml:space="preserve">including workplace </w:t>
      </w:r>
      <w:r w:rsidRPr="00F32C49">
        <w:rPr>
          <w:rFonts w:cs="Arial"/>
          <w:sz w:val="22"/>
          <w:szCs w:val="22"/>
        </w:rPr>
        <w:t>fatalities and dangerou</w:t>
      </w:r>
      <w:r w:rsidR="00734261">
        <w:rPr>
          <w:rFonts w:cs="Arial"/>
          <w:sz w:val="22"/>
          <w:szCs w:val="22"/>
        </w:rPr>
        <w:t xml:space="preserve">s occurrences. This may involve </w:t>
      </w:r>
      <w:r w:rsidR="00734261" w:rsidRPr="00F678B1">
        <w:rPr>
          <w:rFonts w:cs="Arial"/>
          <w:sz w:val="22"/>
          <w:szCs w:val="22"/>
        </w:rPr>
        <w:t>preparing reports</w:t>
      </w:r>
      <w:r w:rsidR="005E1568">
        <w:rPr>
          <w:rFonts w:cs="Arial"/>
          <w:sz w:val="22"/>
          <w:szCs w:val="22"/>
        </w:rPr>
        <w:t>, for consideration of the Regulator,</w:t>
      </w:r>
      <w:r w:rsidR="00734261" w:rsidRPr="00F678B1">
        <w:rPr>
          <w:rFonts w:cs="Arial"/>
          <w:sz w:val="22"/>
          <w:szCs w:val="22"/>
        </w:rPr>
        <w:t xml:space="preserve"> </w:t>
      </w:r>
      <w:r w:rsidR="005E1568">
        <w:rPr>
          <w:rFonts w:cs="Arial"/>
          <w:sz w:val="22"/>
          <w:szCs w:val="22"/>
        </w:rPr>
        <w:t>and giving</w:t>
      </w:r>
      <w:r w:rsidR="005E1568" w:rsidRPr="00F678B1">
        <w:rPr>
          <w:rFonts w:cs="Arial"/>
          <w:sz w:val="22"/>
          <w:szCs w:val="22"/>
        </w:rPr>
        <w:t xml:space="preserve"> </w:t>
      </w:r>
      <w:r w:rsidR="00734261" w:rsidRPr="00F678B1">
        <w:rPr>
          <w:rFonts w:cs="Arial"/>
          <w:sz w:val="22"/>
          <w:szCs w:val="22"/>
        </w:rPr>
        <w:t xml:space="preserve">evidence </w:t>
      </w:r>
      <w:r w:rsidR="005E1568">
        <w:rPr>
          <w:rFonts w:cs="Arial"/>
          <w:sz w:val="22"/>
          <w:szCs w:val="22"/>
        </w:rPr>
        <w:t>in</w:t>
      </w:r>
      <w:r w:rsidR="005E1568" w:rsidRPr="00F678B1">
        <w:rPr>
          <w:rFonts w:cs="Arial"/>
          <w:sz w:val="22"/>
          <w:szCs w:val="22"/>
        </w:rPr>
        <w:t xml:space="preserve"> </w:t>
      </w:r>
      <w:r w:rsidR="00734261" w:rsidRPr="00F678B1">
        <w:rPr>
          <w:rFonts w:cs="Arial"/>
          <w:sz w:val="22"/>
          <w:szCs w:val="22"/>
        </w:rPr>
        <w:t xml:space="preserve">prosecution </w:t>
      </w:r>
      <w:r w:rsidR="005E1568">
        <w:rPr>
          <w:rFonts w:cs="Arial"/>
          <w:sz w:val="22"/>
          <w:szCs w:val="22"/>
        </w:rPr>
        <w:t xml:space="preserve">and coronial </w:t>
      </w:r>
      <w:r w:rsidR="00734261" w:rsidRPr="00F678B1">
        <w:rPr>
          <w:rFonts w:cs="Arial"/>
          <w:sz w:val="22"/>
          <w:szCs w:val="22"/>
        </w:rPr>
        <w:t>proceedings</w:t>
      </w:r>
      <w:r w:rsidR="005E1568">
        <w:rPr>
          <w:rFonts w:cs="Arial"/>
          <w:sz w:val="22"/>
          <w:szCs w:val="22"/>
        </w:rPr>
        <w:t>.</w:t>
      </w:r>
    </w:p>
    <w:p w14:paraId="0E4AA944" w14:textId="77777777" w:rsidR="00855A64" w:rsidRDefault="00C322B8" w:rsidP="0095272E">
      <w:pPr>
        <w:pStyle w:val="Heading3"/>
      </w:pPr>
      <w:r w:rsidRPr="00F71D29">
        <w:t>Duties</w:t>
      </w:r>
    </w:p>
    <w:p w14:paraId="614C4FEC" w14:textId="77777777" w:rsidR="00734261" w:rsidRPr="00F678B1" w:rsidRDefault="00734261" w:rsidP="003D70AD">
      <w:pPr>
        <w:numPr>
          <w:ilvl w:val="0"/>
          <w:numId w:val="30"/>
        </w:numPr>
        <w:spacing w:after="0"/>
        <w:ind w:left="714" w:hanging="357"/>
        <w:jc w:val="both"/>
        <w:rPr>
          <w:rFonts w:cs="Arial"/>
          <w:sz w:val="22"/>
          <w:szCs w:val="22"/>
        </w:rPr>
      </w:pPr>
      <w:r w:rsidRPr="00F678B1">
        <w:rPr>
          <w:rFonts w:cs="Arial"/>
          <w:sz w:val="22"/>
          <w:szCs w:val="22"/>
        </w:rPr>
        <w:t xml:space="preserve">Conduct workplace inspections across a diverse range of industries for compliance with work health and safety </w:t>
      </w:r>
      <w:r>
        <w:rPr>
          <w:rFonts w:cs="Arial"/>
          <w:sz w:val="22"/>
          <w:szCs w:val="22"/>
        </w:rPr>
        <w:t xml:space="preserve">and other administered </w:t>
      </w:r>
      <w:r w:rsidRPr="00F678B1">
        <w:rPr>
          <w:rFonts w:cs="Arial"/>
          <w:sz w:val="22"/>
          <w:szCs w:val="22"/>
        </w:rPr>
        <w:t>legislative provisions.</w:t>
      </w:r>
    </w:p>
    <w:p w14:paraId="47A2EFBE" w14:textId="77777777" w:rsidR="00734261" w:rsidRPr="00F678B1" w:rsidRDefault="00734261" w:rsidP="003D70AD">
      <w:pPr>
        <w:numPr>
          <w:ilvl w:val="0"/>
          <w:numId w:val="30"/>
        </w:numPr>
        <w:spacing w:after="0"/>
        <w:ind w:left="714" w:hanging="357"/>
        <w:jc w:val="both"/>
        <w:rPr>
          <w:rFonts w:cs="Arial"/>
          <w:sz w:val="22"/>
          <w:szCs w:val="22"/>
        </w:rPr>
      </w:pPr>
      <w:r w:rsidRPr="00F678B1">
        <w:rPr>
          <w:rFonts w:cs="Arial"/>
          <w:sz w:val="22"/>
          <w:szCs w:val="22"/>
        </w:rPr>
        <w:t>Provide advice and information on WHS requirements and safety management systems, including providing advice and direction in respect of how compliance can be achieved.</w:t>
      </w:r>
    </w:p>
    <w:p w14:paraId="50D43226" w14:textId="77777777" w:rsidR="00734261" w:rsidRPr="00F678B1" w:rsidRDefault="00734261" w:rsidP="003D70AD">
      <w:pPr>
        <w:numPr>
          <w:ilvl w:val="0"/>
          <w:numId w:val="30"/>
        </w:numPr>
        <w:spacing w:after="0"/>
        <w:ind w:left="714" w:hanging="357"/>
        <w:jc w:val="both"/>
        <w:rPr>
          <w:rFonts w:cs="Arial"/>
          <w:sz w:val="22"/>
          <w:szCs w:val="22"/>
        </w:rPr>
      </w:pPr>
      <w:r w:rsidRPr="00F678B1">
        <w:rPr>
          <w:rFonts w:cs="Arial"/>
          <w:sz w:val="22"/>
          <w:szCs w:val="22"/>
        </w:rPr>
        <w:t>Undertake investigations using</w:t>
      </w:r>
      <w:r>
        <w:rPr>
          <w:rFonts w:cs="Arial"/>
          <w:sz w:val="22"/>
          <w:szCs w:val="22"/>
        </w:rPr>
        <w:t xml:space="preserve"> sound investigative techniques, methodologies and processes.</w:t>
      </w:r>
    </w:p>
    <w:p w14:paraId="7794CBBF" w14:textId="77777777" w:rsidR="00734261" w:rsidRPr="00F678B1" w:rsidRDefault="00734261" w:rsidP="003D70AD">
      <w:pPr>
        <w:numPr>
          <w:ilvl w:val="0"/>
          <w:numId w:val="30"/>
        </w:numPr>
        <w:spacing w:after="0"/>
        <w:ind w:left="714" w:hanging="357"/>
        <w:jc w:val="both"/>
        <w:rPr>
          <w:rFonts w:cs="Arial"/>
          <w:sz w:val="22"/>
          <w:szCs w:val="22"/>
        </w:rPr>
      </w:pPr>
      <w:r w:rsidRPr="00F678B1">
        <w:rPr>
          <w:rFonts w:cs="Arial"/>
          <w:sz w:val="22"/>
          <w:szCs w:val="22"/>
        </w:rPr>
        <w:t>Prepare high-level written work including inspection, compliance</w:t>
      </w:r>
      <w:r>
        <w:rPr>
          <w:rFonts w:cs="Arial"/>
          <w:sz w:val="22"/>
          <w:szCs w:val="22"/>
        </w:rPr>
        <w:t xml:space="preserve"> and</w:t>
      </w:r>
      <w:r w:rsidRPr="00F678B1">
        <w:rPr>
          <w:rFonts w:cs="Arial"/>
          <w:sz w:val="22"/>
          <w:szCs w:val="22"/>
        </w:rPr>
        <w:t xml:space="preserve"> investigation reports, correspondence, briefings and submissions</w:t>
      </w:r>
      <w:r>
        <w:rPr>
          <w:rFonts w:cs="Arial"/>
          <w:sz w:val="22"/>
          <w:szCs w:val="22"/>
        </w:rPr>
        <w:t>,</w:t>
      </w:r>
      <w:r w:rsidRPr="00F678B1">
        <w:rPr>
          <w:rFonts w:cs="Arial"/>
          <w:sz w:val="22"/>
          <w:szCs w:val="22"/>
        </w:rPr>
        <w:t xml:space="preserve"> including prosecution and coronial reports.</w:t>
      </w:r>
    </w:p>
    <w:p w14:paraId="22594677" w14:textId="77777777" w:rsidR="00734261" w:rsidRPr="00F678B1" w:rsidRDefault="00734261" w:rsidP="003D70AD">
      <w:pPr>
        <w:numPr>
          <w:ilvl w:val="0"/>
          <w:numId w:val="30"/>
        </w:numPr>
        <w:spacing w:after="0"/>
        <w:ind w:left="714" w:hanging="357"/>
        <w:jc w:val="both"/>
        <w:rPr>
          <w:rFonts w:cs="Arial"/>
          <w:sz w:val="22"/>
          <w:szCs w:val="22"/>
        </w:rPr>
      </w:pPr>
      <w:r w:rsidRPr="00F678B1">
        <w:rPr>
          <w:rFonts w:cs="Arial"/>
          <w:sz w:val="22"/>
          <w:szCs w:val="22"/>
        </w:rPr>
        <w:t>Participate in an after-hours on-call roster</w:t>
      </w:r>
      <w:r>
        <w:rPr>
          <w:rFonts w:cs="Arial"/>
          <w:sz w:val="22"/>
          <w:szCs w:val="22"/>
        </w:rPr>
        <w:t>,</w:t>
      </w:r>
      <w:r w:rsidRPr="00F678B1">
        <w:rPr>
          <w:rFonts w:cs="Arial"/>
          <w:sz w:val="22"/>
          <w:szCs w:val="22"/>
        </w:rPr>
        <w:t xml:space="preserve"> including weekends and nights as required.</w:t>
      </w:r>
    </w:p>
    <w:p w14:paraId="55F1023F" w14:textId="77777777" w:rsidR="00734261" w:rsidRPr="00F678B1" w:rsidRDefault="00734261" w:rsidP="003D70AD">
      <w:pPr>
        <w:numPr>
          <w:ilvl w:val="0"/>
          <w:numId w:val="30"/>
        </w:numPr>
        <w:spacing w:after="0"/>
        <w:ind w:left="714" w:hanging="357"/>
        <w:jc w:val="both"/>
        <w:rPr>
          <w:rFonts w:cs="Arial"/>
          <w:sz w:val="22"/>
          <w:szCs w:val="22"/>
        </w:rPr>
      </w:pPr>
      <w:r w:rsidRPr="00F678B1">
        <w:rPr>
          <w:rFonts w:cs="Arial"/>
          <w:sz w:val="22"/>
          <w:szCs w:val="22"/>
        </w:rPr>
        <w:t>Participate in corporate learning and development activities.</w:t>
      </w:r>
    </w:p>
    <w:p w14:paraId="19EFFB83" w14:textId="77777777" w:rsidR="00734261" w:rsidRPr="00F678B1" w:rsidRDefault="00734261" w:rsidP="003D70AD">
      <w:pPr>
        <w:numPr>
          <w:ilvl w:val="0"/>
          <w:numId w:val="30"/>
        </w:numPr>
        <w:spacing w:after="0"/>
        <w:ind w:left="714" w:hanging="357"/>
        <w:jc w:val="both"/>
        <w:rPr>
          <w:rFonts w:cs="Arial"/>
          <w:sz w:val="22"/>
          <w:szCs w:val="22"/>
        </w:rPr>
      </w:pPr>
      <w:r w:rsidRPr="00F678B1">
        <w:rPr>
          <w:rFonts w:cs="Arial"/>
          <w:sz w:val="22"/>
          <w:szCs w:val="22"/>
        </w:rPr>
        <w:t>Promote health, safety, equity, and diversity in the workplace.</w:t>
      </w:r>
    </w:p>
    <w:p w14:paraId="26909527" w14:textId="77777777" w:rsidR="00734261" w:rsidRPr="00F678B1" w:rsidRDefault="00734261" w:rsidP="003D70AD">
      <w:pPr>
        <w:numPr>
          <w:ilvl w:val="0"/>
          <w:numId w:val="30"/>
        </w:numPr>
        <w:spacing w:after="0"/>
        <w:ind w:left="714" w:hanging="357"/>
        <w:jc w:val="both"/>
        <w:rPr>
          <w:rFonts w:cs="Arial"/>
          <w:sz w:val="22"/>
          <w:szCs w:val="22"/>
        </w:rPr>
      </w:pPr>
      <w:r w:rsidRPr="00F678B1">
        <w:rPr>
          <w:rFonts w:cs="Arial"/>
          <w:sz w:val="22"/>
          <w:szCs w:val="22"/>
        </w:rPr>
        <w:t>Promote and model the Tasmanian State Service Code of Conduct and Principles.</w:t>
      </w:r>
    </w:p>
    <w:p w14:paraId="13B6B45D" w14:textId="77777777" w:rsidR="00734261" w:rsidRPr="00F678B1" w:rsidRDefault="00734261" w:rsidP="003D70AD">
      <w:pPr>
        <w:numPr>
          <w:ilvl w:val="0"/>
          <w:numId w:val="30"/>
        </w:numPr>
        <w:spacing w:after="0"/>
        <w:ind w:left="714" w:hanging="357"/>
        <w:jc w:val="both"/>
        <w:rPr>
          <w:rFonts w:cs="Arial"/>
          <w:sz w:val="22"/>
          <w:szCs w:val="22"/>
        </w:rPr>
      </w:pPr>
      <w:r w:rsidRPr="00F678B1">
        <w:rPr>
          <w:rFonts w:cs="Arial"/>
          <w:sz w:val="22"/>
          <w:szCs w:val="22"/>
        </w:rPr>
        <w:lastRenderedPageBreak/>
        <w:t>Other duties as directed.</w:t>
      </w:r>
    </w:p>
    <w:p w14:paraId="63321A4A" w14:textId="77777777" w:rsidR="00CD40EF" w:rsidRPr="0027445A" w:rsidRDefault="00C322B8" w:rsidP="0095272E">
      <w:pPr>
        <w:pStyle w:val="Heading3"/>
      </w:pPr>
      <w:r w:rsidRPr="0027445A">
        <w:t>Level of responsibility</w:t>
      </w:r>
    </w:p>
    <w:p w14:paraId="1427862A" w14:textId="77777777" w:rsidR="00F32C49" w:rsidRPr="00E86B5F" w:rsidRDefault="00F32C49" w:rsidP="00E86B5F">
      <w:pPr>
        <w:numPr>
          <w:ilvl w:val="0"/>
          <w:numId w:val="30"/>
        </w:numPr>
        <w:spacing w:before="120"/>
        <w:ind w:left="714" w:hanging="357"/>
        <w:jc w:val="both"/>
        <w:rPr>
          <w:rFonts w:cs="Arial"/>
          <w:sz w:val="22"/>
          <w:szCs w:val="22"/>
        </w:rPr>
      </w:pPr>
      <w:r w:rsidRPr="00C20539">
        <w:rPr>
          <w:sz w:val="22"/>
          <w:szCs w:val="22"/>
        </w:rPr>
        <w:t>I</w:t>
      </w:r>
      <w:r w:rsidRPr="00E86B5F">
        <w:rPr>
          <w:rFonts w:cs="Arial"/>
          <w:sz w:val="22"/>
          <w:szCs w:val="22"/>
        </w:rPr>
        <w:t>nspectors exercise</w:t>
      </w:r>
      <w:r w:rsidR="00A00916">
        <w:rPr>
          <w:rFonts w:cs="Arial"/>
          <w:sz w:val="22"/>
          <w:szCs w:val="22"/>
        </w:rPr>
        <w:t xml:space="preserve"> </w:t>
      </w:r>
      <w:r w:rsidRPr="00E86B5F">
        <w:rPr>
          <w:rFonts w:cs="Arial"/>
          <w:sz w:val="22"/>
          <w:szCs w:val="22"/>
        </w:rPr>
        <w:t>initiative, judgement and discretion when undertaking their duties. They work to resolve complex matters and are expected to assist</w:t>
      </w:r>
      <w:r w:rsidR="00734261" w:rsidRPr="00E86B5F">
        <w:rPr>
          <w:rFonts w:cs="Arial"/>
          <w:sz w:val="22"/>
          <w:szCs w:val="22"/>
        </w:rPr>
        <w:t xml:space="preserve"> other</w:t>
      </w:r>
      <w:r w:rsidRPr="00E86B5F">
        <w:rPr>
          <w:rFonts w:cs="Arial"/>
          <w:sz w:val="22"/>
          <w:szCs w:val="22"/>
        </w:rPr>
        <w:t xml:space="preserve"> </w:t>
      </w:r>
      <w:r w:rsidR="00734261" w:rsidRPr="00E86B5F">
        <w:rPr>
          <w:rFonts w:cs="Arial"/>
          <w:sz w:val="22"/>
          <w:szCs w:val="22"/>
        </w:rPr>
        <w:t>I</w:t>
      </w:r>
      <w:r w:rsidRPr="00E86B5F">
        <w:rPr>
          <w:rFonts w:cs="Arial"/>
          <w:sz w:val="22"/>
          <w:szCs w:val="22"/>
        </w:rPr>
        <w:t>nspectors</w:t>
      </w:r>
      <w:r w:rsidR="00A00916">
        <w:rPr>
          <w:rFonts w:cs="Arial"/>
          <w:sz w:val="22"/>
          <w:szCs w:val="22"/>
        </w:rPr>
        <w:t>.</w:t>
      </w:r>
      <w:r w:rsidRPr="00E86B5F">
        <w:rPr>
          <w:rFonts w:cs="Arial"/>
          <w:sz w:val="22"/>
          <w:szCs w:val="22"/>
        </w:rPr>
        <w:t xml:space="preserve"> </w:t>
      </w:r>
    </w:p>
    <w:p w14:paraId="4B52C7B5" w14:textId="77777777" w:rsidR="00F32C49" w:rsidRPr="00E86B5F" w:rsidRDefault="00F32C49" w:rsidP="00E86B5F">
      <w:pPr>
        <w:numPr>
          <w:ilvl w:val="0"/>
          <w:numId w:val="30"/>
        </w:numPr>
        <w:spacing w:before="120"/>
        <w:ind w:left="714" w:hanging="357"/>
        <w:jc w:val="both"/>
        <w:rPr>
          <w:rFonts w:cs="Arial"/>
          <w:sz w:val="22"/>
          <w:szCs w:val="22"/>
        </w:rPr>
      </w:pPr>
      <w:r w:rsidRPr="00E86B5F">
        <w:rPr>
          <w:rFonts w:cs="Arial"/>
          <w:sz w:val="22"/>
          <w:szCs w:val="22"/>
        </w:rPr>
        <w:t xml:space="preserve">Conduct </w:t>
      </w:r>
      <w:r w:rsidR="006227BB" w:rsidRPr="00E86B5F">
        <w:rPr>
          <w:rFonts w:cs="Arial"/>
          <w:sz w:val="22"/>
          <w:szCs w:val="22"/>
        </w:rPr>
        <w:t>your</w:t>
      </w:r>
      <w:r w:rsidRPr="00E86B5F">
        <w:rPr>
          <w:rFonts w:cs="Arial"/>
          <w:sz w:val="22"/>
          <w:szCs w:val="22"/>
        </w:rPr>
        <w:t xml:space="preserve"> work in a safe manner such that it does not put themselves or others at risk.</w:t>
      </w:r>
    </w:p>
    <w:p w14:paraId="41C44B69" w14:textId="77777777" w:rsidR="00EE50F8" w:rsidRPr="00C20539" w:rsidRDefault="00F32C49" w:rsidP="00E86B5F">
      <w:pPr>
        <w:numPr>
          <w:ilvl w:val="0"/>
          <w:numId w:val="30"/>
        </w:numPr>
        <w:spacing w:before="120"/>
        <w:ind w:left="714" w:hanging="357"/>
        <w:jc w:val="both"/>
        <w:rPr>
          <w:sz w:val="22"/>
          <w:szCs w:val="22"/>
        </w:rPr>
      </w:pPr>
      <w:r w:rsidRPr="00E86B5F">
        <w:rPr>
          <w:rFonts w:cs="Arial"/>
          <w:sz w:val="22"/>
          <w:szCs w:val="22"/>
        </w:rPr>
        <w:t xml:space="preserve">Comply with any reasonable instruction contained in WHS policies, procedures and instructions and report hazards, near misses and incidents to </w:t>
      </w:r>
      <w:r w:rsidR="00732F81" w:rsidRPr="00E86B5F">
        <w:rPr>
          <w:rFonts w:cs="Arial"/>
          <w:sz w:val="22"/>
          <w:szCs w:val="22"/>
        </w:rPr>
        <w:t>your</w:t>
      </w:r>
      <w:r w:rsidRPr="00E86B5F">
        <w:rPr>
          <w:rFonts w:cs="Arial"/>
          <w:sz w:val="22"/>
          <w:szCs w:val="22"/>
        </w:rPr>
        <w:t xml:space="preserve"> supervisors.</w:t>
      </w:r>
      <w:r w:rsidR="00B00073" w:rsidRPr="00E86B5F">
        <w:rPr>
          <w:rFonts w:cs="Arial"/>
          <w:sz w:val="22"/>
          <w:szCs w:val="22"/>
        </w:rPr>
        <w:tab/>
      </w:r>
    </w:p>
    <w:p w14:paraId="228DE120" w14:textId="77777777" w:rsidR="00B0084B" w:rsidRDefault="00B0084B" w:rsidP="0095272E">
      <w:pPr>
        <w:pStyle w:val="Heading3"/>
      </w:pPr>
      <w:r w:rsidRPr="00B0084B">
        <w:t>Direction and supervision received</w:t>
      </w:r>
    </w:p>
    <w:p w14:paraId="38024445" w14:textId="77777777" w:rsidR="00EE50F8" w:rsidRPr="00E86B5F" w:rsidRDefault="00F32C49" w:rsidP="00E86B5F">
      <w:pPr>
        <w:numPr>
          <w:ilvl w:val="0"/>
          <w:numId w:val="30"/>
        </w:numPr>
        <w:spacing w:before="120"/>
        <w:ind w:left="714" w:hanging="357"/>
        <w:jc w:val="both"/>
        <w:rPr>
          <w:rFonts w:cs="Arial"/>
          <w:sz w:val="22"/>
          <w:szCs w:val="22"/>
        </w:rPr>
      </w:pPr>
      <w:r w:rsidRPr="00E86B5F">
        <w:rPr>
          <w:rFonts w:cs="Arial"/>
          <w:sz w:val="22"/>
          <w:szCs w:val="22"/>
        </w:rPr>
        <w:t>Inspectors are required to perform their duties under a broad range of conditions</w:t>
      </w:r>
      <w:r w:rsidR="00F02613" w:rsidRPr="00E86B5F">
        <w:rPr>
          <w:rFonts w:cs="Arial"/>
          <w:sz w:val="22"/>
          <w:szCs w:val="22"/>
        </w:rPr>
        <w:t>,</w:t>
      </w:r>
      <w:r w:rsidRPr="00E86B5F">
        <w:rPr>
          <w:rFonts w:cs="Arial"/>
          <w:sz w:val="22"/>
          <w:szCs w:val="22"/>
        </w:rPr>
        <w:t xml:space="preserve"> including whilst undertaking significant field</w:t>
      </w:r>
      <w:r w:rsidR="008F2599" w:rsidRPr="00E86B5F">
        <w:rPr>
          <w:rFonts w:cs="Arial"/>
          <w:sz w:val="22"/>
          <w:szCs w:val="22"/>
        </w:rPr>
        <w:t>-</w:t>
      </w:r>
      <w:r w:rsidRPr="00E86B5F">
        <w:rPr>
          <w:rFonts w:cs="Arial"/>
          <w:sz w:val="22"/>
          <w:szCs w:val="22"/>
        </w:rPr>
        <w:t xml:space="preserve">work. </w:t>
      </w:r>
      <w:r w:rsidR="008F2599" w:rsidRPr="00E86B5F">
        <w:rPr>
          <w:rFonts w:cs="Arial"/>
          <w:sz w:val="22"/>
          <w:szCs w:val="22"/>
        </w:rPr>
        <w:t xml:space="preserve"> </w:t>
      </w:r>
      <w:r w:rsidRPr="00E86B5F">
        <w:rPr>
          <w:rFonts w:cs="Arial"/>
          <w:sz w:val="22"/>
          <w:szCs w:val="22"/>
        </w:rPr>
        <w:t xml:space="preserve">General supervision is provided by </w:t>
      </w:r>
      <w:r w:rsidR="00F02613" w:rsidRPr="00E86B5F">
        <w:rPr>
          <w:rFonts w:cs="Arial"/>
          <w:sz w:val="22"/>
          <w:szCs w:val="22"/>
        </w:rPr>
        <w:t>the T</w:t>
      </w:r>
      <w:r w:rsidRPr="00E86B5F">
        <w:rPr>
          <w:rFonts w:cs="Arial"/>
          <w:sz w:val="22"/>
          <w:szCs w:val="22"/>
        </w:rPr>
        <w:t xml:space="preserve">eam </w:t>
      </w:r>
      <w:r w:rsidR="00F02613" w:rsidRPr="00E86B5F">
        <w:rPr>
          <w:rFonts w:cs="Arial"/>
          <w:sz w:val="22"/>
          <w:szCs w:val="22"/>
        </w:rPr>
        <w:t>L</w:t>
      </w:r>
      <w:r w:rsidRPr="00E86B5F">
        <w:rPr>
          <w:rFonts w:cs="Arial"/>
          <w:sz w:val="22"/>
          <w:szCs w:val="22"/>
        </w:rPr>
        <w:t>eader</w:t>
      </w:r>
      <w:r w:rsidR="00F02613" w:rsidRPr="00E86B5F">
        <w:rPr>
          <w:rFonts w:cs="Arial"/>
          <w:sz w:val="22"/>
          <w:szCs w:val="22"/>
        </w:rPr>
        <w:t>.</w:t>
      </w:r>
    </w:p>
    <w:p w14:paraId="4A01D505" w14:textId="77777777" w:rsidR="00C322B8" w:rsidRPr="0027445A" w:rsidRDefault="00C322B8" w:rsidP="0027445A">
      <w:pPr>
        <w:pStyle w:val="Heading2"/>
      </w:pPr>
      <w:r w:rsidRPr="0027445A">
        <w:t>Selection criteria</w:t>
      </w:r>
    </w:p>
    <w:p w14:paraId="4356055F" w14:textId="77777777" w:rsidR="00A652E5" w:rsidRDefault="00C322B8" w:rsidP="00A652E5">
      <w:pPr>
        <w:rPr>
          <w:rFonts w:cs="Arial"/>
          <w:sz w:val="22"/>
          <w:szCs w:val="22"/>
        </w:rPr>
      </w:pPr>
      <w:r w:rsidRPr="008F31D4">
        <w:rPr>
          <w:rFonts w:cs="Arial"/>
          <w:sz w:val="22"/>
          <w:szCs w:val="22"/>
        </w:rPr>
        <w:t>The following specific selection criteria must be addressed by candidates by describing their relevant personal and professional skills and abilities; qualifications, training and competencies; past achievements; and potential for development.  The position objective and duties can also be used to assist in addressing the selection criteria.</w:t>
      </w:r>
    </w:p>
    <w:p w14:paraId="5618DE35" w14:textId="5AAE3902" w:rsidR="00F02613" w:rsidRPr="00BA0876" w:rsidRDefault="00F02613" w:rsidP="00F02613">
      <w:pPr>
        <w:pStyle w:val="ListNumber"/>
        <w:numPr>
          <w:ilvl w:val="0"/>
          <w:numId w:val="31"/>
        </w:numPr>
        <w:spacing w:before="120"/>
        <w:ind w:left="714" w:hanging="357"/>
        <w:jc w:val="both"/>
        <w:rPr>
          <w:sz w:val="22"/>
          <w:szCs w:val="22"/>
        </w:rPr>
      </w:pPr>
      <w:r w:rsidRPr="00C63FDE">
        <w:rPr>
          <w:b/>
          <w:sz w:val="22"/>
          <w:szCs w:val="22"/>
        </w:rPr>
        <w:t>Supports strategic direction</w:t>
      </w:r>
      <w:r w:rsidRPr="00BA0876">
        <w:rPr>
          <w:sz w:val="22"/>
          <w:szCs w:val="22"/>
        </w:rPr>
        <w:t xml:space="preserve">: </w:t>
      </w:r>
      <w:r w:rsidR="00460677" w:rsidRPr="009A028D">
        <w:rPr>
          <w:sz w:val="22"/>
          <w:szCs w:val="22"/>
        </w:rPr>
        <w:t xml:space="preserve">Ability to support WorkSafe’s strategic four objectives (Reducing harm in Tasmanian workplaces; Responding to current and emerging WHS issues, Ensuring regulatory frameworks are contemporary and effective; and Striving for excellence as a regulator) </w:t>
      </w:r>
      <w:r w:rsidR="00460677">
        <w:rPr>
          <w:sz w:val="22"/>
          <w:szCs w:val="22"/>
        </w:rPr>
        <w:t xml:space="preserve">by participating in workplace inspections, audits and targeted compliance programs. Ability to undertake </w:t>
      </w:r>
      <w:r w:rsidR="00591EEC" w:rsidRPr="00BA0876">
        <w:rPr>
          <w:sz w:val="22"/>
          <w:szCs w:val="22"/>
        </w:rPr>
        <w:t xml:space="preserve">research </w:t>
      </w:r>
      <w:r w:rsidR="00591EEC">
        <w:rPr>
          <w:sz w:val="22"/>
          <w:szCs w:val="22"/>
        </w:rPr>
        <w:t xml:space="preserve">and </w:t>
      </w:r>
      <w:r w:rsidR="00591EEC" w:rsidRPr="00BA0876">
        <w:rPr>
          <w:sz w:val="22"/>
          <w:szCs w:val="22"/>
        </w:rPr>
        <w:t>an</w:t>
      </w:r>
      <w:r w:rsidR="00591EEC">
        <w:rPr>
          <w:sz w:val="22"/>
          <w:szCs w:val="22"/>
        </w:rPr>
        <w:t>alysis in</w:t>
      </w:r>
      <w:r w:rsidR="00460677">
        <w:rPr>
          <w:sz w:val="22"/>
          <w:szCs w:val="22"/>
        </w:rPr>
        <w:t xml:space="preserve">to WHS issues and other legislation relevant to </w:t>
      </w:r>
      <w:r w:rsidR="00591EEC">
        <w:rPr>
          <w:sz w:val="22"/>
          <w:szCs w:val="22"/>
        </w:rPr>
        <w:t xml:space="preserve">the position, </w:t>
      </w:r>
      <w:r w:rsidR="00460677">
        <w:rPr>
          <w:sz w:val="22"/>
          <w:szCs w:val="22"/>
        </w:rPr>
        <w:t xml:space="preserve">and provide </w:t>
      </w:r>
      <w:r w:rsidRPr="00BA0876">
        <w:rPr>
          <w:sz w:val="22"/>
          <w:szCs w:val="22"/>
        </w:rPr>
        <w:t>authoritative and comprehensive advice</w:t>
      </w:r>
      <w:r w:rsidR="00460677">
        <w:rPr>
          <w:sz w:val="22"/>
          <w:szCs w:val="22"/>
        </w:rPr>
        <w:t xml:space="preserve"> to </w:t>
      </w:r>
      <w:r w:rsidR="00591EEC">
        <w:rPr>
          <w:sz w:val="22"/>
          <w:szCs w:val="22"/>
        </w:rPr>
        <w:t>resolv</w:t>
      </w:r>
      <w:r w:rsidR="00460677">
        <w:rPr>
          <w:sz w:val="22"/>
          <w:szCs w:val="22"/>
        </w:rPr>
        <w:t>e</w:t>
      </w:r>
      <w:r w:rsidR="00591EEC">
        <w:rPr>
          <w:sz w:val="22"/>
          <w:szCs w:val="22"/>
        </w:rPr>
        <w:t xml:space="preserve"> </w:t>
      </w:r>
      <w:r w:rsidRPr="00BA0876">
        <w:rPr>
          <w:sz w:val="22"/>
          <w:szCs w:val="22"/>
        </w:rPr>
        <w:t xml:space="preserve">complex issues and </w:t>
      </w:r>
      <w:r w:rsidR="00460677">
        <w:rPr>
          <w:sz w:val="22"/>
          <w:szCs w:val="22"/>
        </w:rPr>
        <w:t xml:space="preserve">make </w:t>
      </w:r>
      <w:r w:rsidRPr="00BA0876">
        <w:rPr>
          <w:sz w:val="22"/>
          <w:szCs w:val="22"/>
        </w:rPr>
        <w:t>sound recommendations.</w:t>
      </w:r>
    </w:p>
    <w:p w14:paraId="13118926" w14:textId="71B15E24" w:rsidR="00F02613" w:rsidRPr="00BA0876" w:rsidRDefault="00F02613" w:rsidP="00F02613">
      <w:pPr>
        <w:pStyle w:val="ListNumber"/>
        <w:numPr>
          <w:ilvl w:val="0"/>
          <w:numId w:val="31"/>
        </w:numPr>
        <w:spacing w:before="120"/>
        <w:ind w:left="714" w:hanging="357"/>
        <w:jc w:val="both"/>
        <w:rPr>
          <w:sz w:val="22"/>
          <w:szCs w:val="22"/>
        </w:rPr>
      </w:pPr>
      <w:r w:rsidRPr="00C63FDE">
        <w:rPr>
          <w:b/>
          <w:sz w:val="22"/>
          <w:szCs w:val="22"/>
        </w:rPr>
        <w:t>Achieves results</w:t>
      </w:r>
      <w:r w:rsidRPr="00BA0876">
        <w:rPr>
          <w:sz w:val="22"/>
          <w:szCs w:val="22"/>
        </w:rPr>
        <w:t xml:space="preserve">: well-developed organisational skills; a proven ability to </w:t>
      </w:r>
      <w:r w:rsidR="00460677">
        <w:rPr>
          <w:sz w:val="22"/>
          <w:szCs w:val="22"/>
        </w:rPr>
        <w:t xml:space="preserve">deliver work outcomes, </w:t>
      </w:r>
      <w:r w:rsidRPr="00BA0876">
        <w:rPr>
          <w:sz w:val="22"/>
          <w:szCs w:val="22"/>
        </w:rPr>
        <w:t xml:space="preserve">be flexible and balance competing priorities, and use initiative and judgment to achieve outcomes. </w:t>
      </w:r>
      <w:r w:rsidR="00C70BDD">
        <w:rPr>
          <w:sz w:val="22"/>
          <w:szCs w:val="22"/>
        </w:rPr>
        <w:t>Proven ability to manage work through to completion and to work under pressure</w:t>
      </w:r>
      <w:r w:rsidRPr="00BA0876">
        <w:rPr>
          <w:sz w:val="22"/>
          <w:szCs w:val="22"/>
        </w:rPr>
        <w:t>.</w:t>
      </w:r>
    </w:p>
    <w:p w14:paraId="22C72DE1" w14:textId="3C5271C2" w:rsidR="00F02613" w:rsidRPr="00BA0876" w:rsidRDefault="00F02613" w:rsidP="00F02613">
      <w:pPr>
        <w:pStyle w:val="ListNumber"/>
        <w:numPr>
          <w:ilvl w:val="0"/>
          <w:numId w:val="31"/>
        </w:numPr>
        <w:spacing w:before="120"/>
        <w:ind w:left="714" w:hanging="357"/>
        <w:jc w:val="both"/>
        <w:rPr>
          <w:sz w:val="22"/>
          <w:szCs w:val="22"/>
        </w:rPr>
      </w:pPr>
      <w:r w:rsidRPr="00C63FDE">
        <w:rPr>
          <w:b/>
          <w:sz w:val="22"/>
          <w:szCs w:val="22"/>
        </w:rPr>
        <w:t>Supports productive working relationships</w:t>
      </w:r>
      <w:r w:rsidRPr="00BA0876">
        <w:rPr>
          <w:sz w:val="22"/>
          <w:szCs w:val="22"/>
        </w:rPr>
        <w:t xml:space="preserve">: well-developed interpersonal skills, with the proven ability to build and sustain positive relationships with </w:t>
      </w:r>
      <w:r w:rsidR="00460677">
        <w:rPr>
          <w:sz w:val="22"/>
          <w:szCs w:val="22"/>
        </w:rPr>
        <w:t xml:space="preserve">team members and </w:t>
      </w:r>
      <w:r w:rsidRPr="00BA0876">
        <w:rPr>
          <w:sz w:val="22"/>
          <w:szCs w:val="22"/>
        </w:rPr>
        <w:t xml:space="preserve">a broad range of </w:t>
      </w:r>
      <w:r w:rsidR="00591EEC">
        <w:rPr>
          <w:sz w:val="22"/>
          <w:szCs w:val="22"/>
        </w:rPr>
        <w:t xml:space="preserve">internal and external </w:t>
      </w:r>
      <w:r w:rsidRPr="00BA0876">
        <w:rPr>
          <w:sz w:val="22"/>
          <w:szCs w:val="22"/>
        </w:rPr>
        <w:t>stakeholders.</w:t>
      </w:r>
      <w:r w:rsidR="00C70BDD">
        <w:rPr>
          <w:sz w:val="22"/>
          <w:szCs w:val="22"/>
        </w:rPr>
        <w:t xml:space="preserve"> </w:t>
      </w:r>
      <w:bookmarkStart w:id="0" w:name="_Hlk51496188"/>
      <w:r w:rsidR="00C70BDD">
        <w:rPr>
          <w:sz w:val="22"/>
          <w:szCs w:val="22"/>
        </w:rPr>
        <w:t>D</w:t>
      </w:r>
      <w:r w:rsidR="00C70BDD" w:rsidRPr="00BA0876">
        <w:rPr>
          <w:sz w:val="22"/>
          <w:szCs w:val="22"/>
        </w:rPr>
        <w:t>emonstrated capacity to work effectively as part of a team</w:t>
      </w:r>
      <w:r w:rsidR="00C70BDD">
        <w:rPr>
          <w:sz w:val="22"/>
          <w:szCs w:val="22"/>
        </w:rPr>
        <w:t>.</w:t>
      </w:r>
      <w:bookmarkEnd w:id="0"/>
    </w:p>
    <w:p w14:paraId="4E37D79F" w14:textId="2B775662" w:rsidR="00F02613" w:rsidRPr="00BA0876" w:rsidRDefault="00F02613" w:rsidP="00F02613">
      <w:pPr>
        <w:pStyle w:val="ListNumber"/>
        <w:numPr>
          <w:ilvl w:val="0"/>
          <w:numId w:val="31"/>
        </w:numPr>
        <w:spacing w:before="120"/>
        <w:ind w:left="714" w:hanging="357"/>
        <w:jc w:val="both"/>
        <w:rPr>
          <w:sz w:val="22"/>
          <w:szCs w:val="22"/>
        </w:rPr>
      </w:pPr>
      <w:r w:rsidRPr="003A0301">
        <w:rPr>
          <w:b/>
          <w:sz w:val="22"/>
          <w:szCs w:val="22"/>
        </w:rPr>
        <w:t>Displays personal drive and integrity</w:t>
      </w:r>
      <w:r w:rsidRPr="00BA0876">
        <w:rPr>
          <w:sz w:val="22"/>
          <w:szCs w:val="22"/>
        </w:rPr>
        <w:t xml:space="preserve">: </w:t>
      </w:r>
      <w:r w:rsidR="00460677" w:rsidRPr="00460677">
        <w:rPr>
          <w:sz w:val="22"/>
          <w:szCs w:val="22"/>
        </w:rPr>
        <w:t xml:space="preserve"> </w:t>
      </w:r>
      <w:r w:rsidR="00460677">
        <w:rPr>
          <w:sz w:val="22"/>
          <w:szCs w:val="22"/>
        </w:rPr>
        <w:t>Proven ability to act with a high degree of integrity and professionalism at all times and behave in a way that is consistent with organisational values and behaviours.</w:t>
      </w:r>
    </w:p>
    <w:p w14:paraId="4F57C228" w14:textId="6F1B11ED" w:rsidR="00F02613" w:rsidRPr="00BA0876" w:rsidRDefault="00F02613" w:rsidP="00F02613">
      <w:pPr>
        <w:pStyle w:val="ListNumber"/>
        <w:numPr>
          <w:ilvl w:val="0"/>
          <w:numId w:val="31"/>
        </w:numPr>
        <w:spacing w:before="120"/>
        <w:ind w:left="714" w:hanging="357"/>
        <w:jc w:val="both"/>
        <w:rPr>
          <w:sz w:val="22"/>
          <w:szCs w:val="22"/>
        </w:rPr>
      </w:pPr>
      <w:r w:rsidRPr="003A0301">
        <w:rPr>
          <w:b/>
          <w:sz w:val="22"/>
          <w:szCs w:val="22"/>
        </w:rPr>
        <w:t>Communicates with influence</w:t>
      </w:r>
      <w:r w:rsidRPr="00BA0876">
        <w:rPr>
          <w:sz w:val="22"/>
          <w:szCs w:val="22"/>
        </w:rPr>
        <w:t xml:space="preserve">: </w:t>
      </w:r>
      <w:r w:rsidR="005A7555">
        <w:rPr>
          <w:sz w:val="22"/>
          <w:szCs w:val="22"/>
        </w:rPr>
        <w:t>well-developed</w:t>
      </w:r>
      <w:r w:rsidRPr="00BA0876">
        <w:rPr>
          <w:sz w:val="22"/>
          <w:szCs w:val="22"/>
        </w:rPr>
        <w:t xml:space="preserve"> oral and written communication skills, </w:t>
      </w:r>
      <w:r w:rsidR="00460677">
        <w:rPr>
          <w:sz w:val="22"/>
          <w:szCs w:val="22"/>
        </w:rPr>
        <w:t xml:space="preserve">including the ability to communicate technical information verbally and in writing to a technical and non-technical audience. Ability to prepare </w:t>
      </w:r>
      <w:r w:rsidRPr="00BA0876">
        <w:rPr>
          <w:sz w:val="22"/>
          <w:szCs w:val="22"/>
        </w:rPr>
        <w:t>clear and concise documents that are fit for purpose.</w:t>
      </w:r>
      <w:r w:rsidR="00460677">
        <w:rPr>
          <w:sz w:val="22"/>
          <w:szCs w:val="22"/>
        </w:rPr>
        <w:t xml:space="preserve"> </w:t>
      </w:r>
    </w:p>
    <w:p w14:paraId="74C058BC" w14:textId="6D9E4D2C" w:rsidR="00F02613" w:rsidRPr="00BA0876" w:rsidRDefault="00F02613" w:rsidP="00F02613">
      <w:pPr>
        <w:pStyle w:val="ListNumber"/>
        <w:numPr>
          <w:ilvl w:val="0"/>
          <w:numId w:val="31"/>
        </w:numPr>
        <w:spacing w:before="120"/>
        <w:ind w:left="714" w:hanging="357"/>
        <w:jc w:val="both"/>
        <w:rPr>
          <w:sz w:val="22"/>
          <w:szCs w:val="22"/>
        </w:rPr>
      </w:pPr>
      <w:r w:rsidRPr="003A0301">
        <w:rPr>
          <w:b/>
          <w:sz w:val="22"/>
          <w:szCs w:val="22"/>
        </w:rPr>
        <w:t>Sound knowledge and understanding</w:t>
      </w:r>
      <w:r>
        <w:rPr>
          <w:sz w:val="22"/>
          <w:szCs w:val="22"/>
        </w:rPr>
        <w:t xml:space="preserve">: </w:t>
      </w:r>
      <w:r w:rsidR="00460677">
        <w:rPr>
          <w:sz w:val="22"/>
          <w:szCs w:val="22"/>
        </w:rPr>
        <w:t xml:space="preserve">A demonstrated knowledge and understanding of the </w:t>
      </w:r>
      <w:r w:rsidRPr="00BA0876">
        <w:rPr>
          <w:sz w:val="22"/>
          <w:szCs w:val="22"/>
        </w:rPr>
        <w:t xml:space="preserve">of the functions of, and the legislation administered by, WorkSafe </w:t>
      </w:r>
      <w:r w:rsidR="00460677">
        <w:rPr>
          <w:sz w:val="22"/>
          <w:szCs w:val="22"/>
        </w:rPr>
        <w:t>Tasmania, particularly WHS</w:t>
      </w:r>
      <w:r w:rsidRPr="00BA0876">
        <w:rPr>
          <w:sz w:val="22"/>
          <w:szCs w:val="22"/>
        </w:rPr>
        <w:t>; or the ability to quickly acquire that knowledge</w:t>
      </w:r>
      <w:r w:rsidR="00460677">
        <w:rPr>
          <w:sz w:val="22"/>
          <w:szCs w:val="22"/>
        </w:rPr>
        <w:t xml:space="preserve">. Proven industry experience or relevant qualifications in WHS or a similar area. </w:t>
      </w:r>
    </w:p>
    <w:p w14:paraId="2A5E4126" w14:textId="77777777" w:rsidR="003D70AD" w:rsidRDefault="003D70AD" w:rsidP="0027445A">
      <w:pPr>
        <w:pStyle w:val="Heading2"/>
      </w:pPr>
    </w:p>
    <w:p w14:paraId="12192D32" w14:textId="79115E5E" w:rsidR="00C322B8" w:rsidRDefault="00C322B8" w:rsidP="0027445A">
      <w:pPr>
        <w:pStyle w:val="Heading2"/>
      </w:pPr>
      <w:r w:rsidRPr="0027445A">
        <w:t>Working environment</w:t>
      </w:r>
    </w:p>
    <w:p w14:paraId="6AE7853E" w14:textId="77777777" w:rsidR="00F02613" w:rsidRPr="00F678B1" w:rsidRDefault="00F02613" w:rsidP="00F02613">
      <w:pPr>
        <w:jc w:val="both"/>
        <w:rPr>
          <w:rFonts w:cs="Arial"/>
          <w:sz w:val="22"/>
          <w:szCs w:val="22"/>
        </w:rPr>
      </w:pPr>
      <w:r w:rsidRPr="00F678B1">
        <w:rPr>
          <w:rFonts w:cs="Arial"/>
          <w:sz w:val="22"/>
          <w:szCs w:val="22"/>
        </w:rPr>
        <w:t xml:space="preserve">Employment in the State Service is governed by the </w:t>
      </w:r>
      <w:r w:rsidRPr="00F678B1">
        <w:rPr>
          <w:rFonts w:cs="Arial"/>
          <w:i/>
          <w:sz w:val="22"/>
          <w:szCs w:val="22"/>
        </w:rPr>
        <w:t>State Service Act 2000</w:t>
      </w:r>
      <w:r w:rsidRPr="00F678B1">
        <w:rPr>
          <w:rFonts w:cs="Arial"/>
          <w:sz w:val="22"/>
          <w:szCs w:val="22"/>
        </w:rPr>
        <w:t>. Both employees and officers are required to uphold and comply with the State Service Principles (Section 7) and the Code of Conduct (section 9)</w:t>
      </w:r>
      <w:r w:rsidRPr="00F678B1">
        <w:rPr>
          <w:rFonts w:cs="Arial"/>
          <w:color w:val="000000"/>
          <w:sz w:val="22"/>
          <w:szCs w:val="22"/>
        </w:rPr>
        <w:t xml:space="preserve">. </w:t>
      </w:r>
      <w:r w:rsidRPr="00F678B1">
        <w:rPr>
          <w:rFonts w:cs="Arial"/>
          <w:sz w:val="22"/>
          <w:szCs w:val="22"/>
        </w:rPr>
        <w:t xml:space="preserve"> </w:t>
      </w:r>
    </w:p>
    <w:p w14:paraId="4EEF9090" w14:textId="77777777" w:rsidR="00F02613" w:rsidRPr="00F678B1" w:rsidRDefault="00F02613" w:rsidP="00F02613">
      <w:pPr>
        <w:shd w:val="clear" w:color="auto" w:fill="FFFFFF"/>
        <w:spacing w:before="100" w:beforeAutospacing="1" w:after="100" w:afterAutospacing="1"/>
        <w:rPr>
          <w:rFonts w:cs="Arial"/>
          <w:sz w:val="22"/>
          <w:szCs w:val="22"/>
          <w:lang w:eastAsia="en-AU"/>
        </w:rPr>
      </w:pPr>
      <w:r w:rsidRPr="00F678B1">
        <w:rPr>
          <w:rFonts w:cs="Arial"/>
          <w:sz w:val="22"/>
          <w:szCs w:val="22"/>
          <w:lang w:eastAsia="en-AU"/>
        </w:rPr>
        <w:t>Department of Justice state service employees:</w:t>
      </w:r>
    </w:p>
    <w:p w14:paraId="5789B3A9" w14:textId="77777777" w:rsidR="00F02613" w:rsidRPr="00F678B1" w:rsidRDefault="00F02613" w:rsidP="001B1248">
      <w:pPr>
        <w:numPr>
          <w:ilvl w:val="0"/>
          <w:numId w:val="5"/>
        </w:numPr>
        <w:shd w:val="clear" w:color="auto" w:fill="FFFFFF"/>
        <w:spacing w:after="0" w:line="276" w:lineRule="auto"/>
        <w:ind w:left="714" w:hanging="357"/>
        <w:rPr>
          <w:rFonts w:cs="Arial"/>
          <w:sz w:val="22"/>
          <w:szCs w:val="22"/>
        </w:rPr>
      </w:pPr>
      <w:r w:rsidRPr="00F678B1">
        <w:rPr>
          <w:rFonts w:cs="Arial"/>
          <w:sz w:val="22"/>
          <w:szCs w:val="22"/>
        </w:rPr>
        <w:t>treat all users of our services with respect and courtesy;</w:t>
      </w:r>
    </w:p>
    <w:p w14:paraId="58BE41F2" w14:textId="77777777" w:rsidR="00F02613" w:rsidRPr="00F678B1" w:rsidRDefault="00F02613" w:rsidP="001B1248">
      <w:pPr>
        <w:numPr>
          <w:ilvl w:val="0"/>
          <w:numId w:val="5"/>
        </w:numPr>
        <w:shd w:val="clear" w:color="auto" w:fill="FFFFFF"/>
        <w:spacing w:after="0" w:line="276" w:lineRule="auto"/>
        <w:ind w:left="714" w:hanging="357"/>
        <w:rPr>
          <w:rFonts w:cs="Arial"/>
          <w:sz w:val="22"/>
          <w:szCs w:val="22"/>
        </w:rPr>
      </w:pPr>
      <w:r w:rsidRPr="00F678B1">
        <w:rPr>
          <w:rFonts w:cs="Arial"/>
          <w:sz w:val="22"/>
          <w:szCs w:val="22"/>
        </w:rPr>
        <w:t>listen to what users of our services have to say;</w:t>
      </w:r>
    </w:p>
    <w:p w14:paraId="15F4BBCE" w14:textId="77777777" w:rsidR="00F02613" w:rsidRPr="00F678B1" w:rsidRDefault="00F02613" w:rsidP="001B1248">
      <w:pPr>
        <w:numPr>
          <w:ilvl w:val="0"/>
          <w:numId w:val="5"/>
        </w:numPr>
        <w:shd w:val="clear" w:color="auto" w:fill="FFFFFF"/>
        <w:spacing w:after="0" w:line="276" w:lineRule="auto"/>
        <w:ind w:left="714" w:hanging="357"/>
        <w:rPr>
          <w:rFonts w:cs="Arial"/>
          <w:sz w:val="22"/>
          <w:szCs w:val="22"/>
        </w:rPr>
      </w:pPr>
      <w:r w:rsidRPr="00F678B1">
        <w:rPr>
          <w:rFonts w:cs="Arial"/>
          <w:sz w:val="22"/>
          <w:szCs w:val="22"/>
        </w:rPr>
        <w:t>personalise services to the needs and circumstances of each user of our services where practical;</w:t>
      </w:r>
    </w:p>
    <w:p w14:paraId="68D58DF9" w14:textId="77777777" w:rsidR="00F02613" w:rsidRPr="00F678B1" w:rsidRDefault="00F02613" w:rsidP="001B1248">
      <w:pPr>
        <w:numPr>
          <w:ilvl w:val="0"/>
          <w:numId w:val="5"/>
        </w:numPr>
        <w:shd w:val="clear" w:color="auto" w:fill="FFFFFF"/>
        <w:spacing w:after="0" w:line="276" w:lineRule="auto"/>
        <w:ind w:left="714" w:hanging="357"/>
        <w:rPr>
          <w:rFonts w:cs="Arial"/>
          <w:sz w:val="22"/>
          <w:szCs w:val="22"/>
        </w:rPr>
      </w:pPr>
      <w:r w:rsidRPr="00F678B1">
        <w:rPr>
          <w:rFonts w:cs="Arial"/>
          <w:sz w:val="22"/>
          <w:szCs w:val="22"/>
        </w:rPr>
        <w:t>always do what they say they are going to do, or update the appropriate people promptly if things change, offering an explanation for the change;</w:t>
      </w:r>
    </w:p>
    <w:p w14:paraId="63B475E0" w14:textId="77777777" w:rsidR="00F02613" w:rsidRPr="00F678B1" w:rsidRDefault="00F02613" w:rsidP="001B1248">
      <w:pPr>
        <w:numPr>
          <w:ilvl w:val="0"/>
          <w:numId w:val="5"/>
        </w:numPr>
        <w:shd w:val="clear" w:color="auto" w:fill="FFFFFF"/>
        <w:spacing w:after="0" w:line="276" w:lineRule="auto"/>
        <w:ind w:left="714" w:hanging="357"/>
        <w:rPr>
          <w:rFonts w:cs="Arial"/>
          <w:sz w:val="22"/>
          <w:szCs w:val="22"/>
        </w:rPr>
      </w:pPr>
      <w:r w:rsidRPr="00F678B1">
        <w:rPr>
          <w:rFonts w:cs="Arial"/>
          <w:sz w:val="22"/>
          <w:szCs w:val="22"/>
        </w:rPr>
        <w:t>respond to enquiries promptly and efficiently; and</w:t>
      </w:r>
    </w:p>
    <w:p w14:paraId="1D1B0C36" w14:textId="77777777" w:rsidR="00F02613" w:rsidRPr="00F678B1" w:rsidRDefault="00F02613" w:rsidP="001B1248">
      <w:pPr>
        <w:numPr>
          <w:ilvl w:val="0"/>
          <w:numId w:val="5"/>
        </w:numPr>
        <w:shd w:val="clear" w:color="auto" w:fill="FFFFFF"/>
        <w:spacing w:after="0" w:line="276" w:lineRule="auto"/>
        <w:ind w:left="714" w:hanging="357"/>
        <w:rPr>
          <w:rFonts w:cs="Arial"/>
          <w:sz w:val="22"/>
          <w:szCs w:val="22"/>
        </w:rPr>
      </w:pPr>
      <w:r w:rsidRPr="00F678B1">
        <w:rPr>
          <w:rFonts w:cs="Arial"/>
          <w:sz w:val="22"/>
          <w:szCs w:val="22"/>
        </w:rPr>
        <w:t>consult the public and users of our services about their service needs.</w:t>
      </w:r>
    </w:p>
    <w:p w14:paraId="31B0346E" w14:textId="77777777" w:rsidR="00F02613" w:rsidRPr="00F678B1" w:rsidRDefault="00F02613" w:rsidP="00F02613">
      <w:pPr>
        <w:shd w:val="clear" w:color="auto" w:fill="FFFFFF"/>
        <w:spacing w:before="100" w:beforeAutospacing="1" w:after="100" w:afterAutospacing="1"/>
        <w:rPr>
          <w:rFonts w:cs="Arial"/>
          <w:sz w:val="22"/>
          <w:szCs w:val="22"/>
          <w:lang w:eastAsia="en-AU"/>
        </w:rPr>
      </w:pPr>
      <w:r w:rsidRPr="00F678B1">
        <w:rPr>
          <w:rFonts w:cs="Arial"/>
          <w:sz w:val="22"/>
          <w:szCs w:val="22"/>
          <w:lang w:eastAsia="en-AU"/>
        </w:rPr>
        <w:t>The minimum standard of behaviour expected of all Department of Justice employees is to:</w:t>
      </w:r>
    </w:p>
    <w:p w14:paraId="4FD83E5F" w14:textId="77777777" w:rsidR="00F02613" w:rsidRPr="00F678B1" w:rsidRDefault="00F02613" w:rsidP="001B1248">
      <w:pPr>
        <w:numPr>
          <w:ilvl w:val="0"/>
          <w:numId w:val="6"/>
        </w:numPr>
        <w:shd w:val="clear" w:color="auto" w:fill="FFFFFF"/>
        <w:spacing w:after="0" w:line="276" w:lineRule="auto"/>
        <w:ind w:left="714" w:hanging="357"/>
        <w:rPr>
          <w:rFonts w:cs="Arial"/>
          <w:sz w:val="22"/>
          <w:szCs w:val="22"/>
        </w:rPr>
      </w:pPr>
      <w:r w:rsidRPr="00F678B1">
        <w:rPr>
          <w:rFonts w:cs="Arial"/>
          <w:sz w:val="22"/>
          <w:szCs w:val="22"/>
        </w:rPr>
        <w:t>Consider people equally without prejudice or favour.</w:t>
      </w:r>
    </w:p>
    <w:p w14:paraId="35DD9742" w14:textId="77777777" w:rsidR="00F02613" w:rsidRPr="00F678B1" w:rsidRDefault="00F02613" w:rsidP="001B1248">
      <w:pPr>
        <w:numPr>
          <w:ilvl w:val="0"/>
          <w:numId w:val="6"/>
        </w:numPr>
        <w:shd w:val="clear" w:color="auto" w:fill="FFFFFF"/>
        <w:spacing w:after="0" w:line="276" w:lineRule="auto"/>
        <w:ind w:left="714" w:hanging="357"/>
        <w:rPr>
          <w:rFonts w:cs="Arial"/>
          <w:sz w:val="22"/>
          <w:szCs w:val="22"/>
        </w:rPr>
      </w:pPr>
      <w:r w:rsidRPr="00F678B1">
        <w:rPr>
          <w:rFonts w:cs="Arial"/>
          <w:sz w:val="22"/>
          <w:szCs w:val="22"/>
        </w:rPr>
        <w:t>Act professionally with honesty, consistency and impartiality.</w:t>
      </w:r>
    </w:p>
    <w:p w14:paraId="1100832A" w14:textId="77777777" w:rsidR="00F02613" w:rsidRPr="00F678B1" w:rsidRDefault="00F02613" w:rsidP="001B1248">
      <w:pPr>
        <w:numPr>
          <w:ilvl w:val="0"/>
          <w:numId w:val="6"/>
        </w:numPr>
        <w:shd w:val="clear" w:color="auto" w:fill="FFFFFF"/>
        <w:spacing w:after="0" w:line="276" w:lineRule="auto"/>
        <w:ind w:left="714" w:hanging="357"/>
        <w:rPr>
          <w:rFonts w:cs="Arial"/>
          <w:sz w:val="22"/>
          <w:szCs w:val="22"/>
        </w:rPr>
      </w:pPr>
      <w:r w:rsidRPr="00F678B1">
        <w:rPr>
          <w:rFonts w:cs="Arial"/>
          <w:sz w:val="22"/>
          <w:szCs w:val="22"/>
        </w:rPr>
        <w:t>Take responsibility for situations, showing leadership and courage.</w:t>
      </w:r>
    </w:p>
    <w:p w14:paraId="5BB4A0F9" w14:textId="77777777" w:rsidR="00F02613" w:rsidRPr="00F678B1" w:rsidRDefault="00F02613" w:rsidP="001B1248">
      <w:pPr>
        <w:numPr>
          <w:ilvl w:val="0"/>
          <w:numId w:val="6"/>
        </w:numPr>
        <w:shd w:val="clear" w:color="auto" w:fill="FFFFFF"/>
        <w:spacing w:after="0" w:line="276" w:lineRule="auto"/>
        <w:ind w:left="714" w:hanging="357"/>
        <w:rPr>
          <w:rFonts w:cs="Arial"/>
          <w:sz w:val="22"/>
          <w:szCs w:val="22"/>
        </w:rPr>
      </w:pPr>
      <w:r w:rsidRPr="00F678B1">
        <w:rPr>
          <w:rFonts w:cs="Arial"/>
          <w:sz w:val="22"/>
          <w:szCs w:val="22"/>
        </w:rPr>
        <w:t>Place the public interest over personal interest.</w:t>
      </w:r>
    </w:p>
    <w:p w14:paraId="3B904B92" w14:textId="77777777" w:rsidR="00F02613" w:rsidRPr="00F678B1" w:rsidRDefault="00F02613" w:rsidP="001B1248">
      <w:pPr>
        <w:numPr>
          <w:ilvl w:val="0"/>
          <w:numId w:val="6"/>
        </w:numPr>
        <w:shd w:val="clear" w:color="auto" w:fill="FFFFFF"/>
        <w:spacing w:after="0" w:line="276" w:lineRule="auto"/>
        <w:ind w:left="714" w:hanging="357"/>
        <w:rPr>
          <w:rFonts w:cs="Arial"/>
          <w:sz w:val="22"/>
          <w:szCs w:val="22"/>
        </w:rPr>
      </w:pPr>
      <w:r w:rsidRPr="00F678B1">
        <w:rPr>
          <w:rFonts w:cs="Arial"/>
          <w:sz w:val="22"/>
          <w:szCs w:val="22"/>
        </w:rPr>
        <w:t>Appreciate difference and welcome learning from others.</w:t>
      </w:r>
    </w:p>
    <w:p w14:paraId="29AFF516" w14:textId="77777777" w:rsidR="00F02613" w:rsidRPr="00F678B1" w:rsidRDefault="00F02613" w:rsidP="001B1248">
      <w:pPr>
        <w:numPr>
          <w:ilvl w:val="0"/>
          <w:numId w:val="6"/>
        </w:numPr>
        <w:shd w:val="clear" w:color="auto" w:fill="FFFFFF"/>
        <w:spacing w:after="0" w:line="276" w:lineRule="auto"/>
        <w:ind w:left="714" w:hanging="357"/>
        <w:rPr>
          <w:rFonts w:cs="Arial"/>
          <w:sz w:val="22"/>
          <w:szCs w:val="22"/>
        </w:rPr>
      </w:pPr>
      <w:r w:rsidRPr="00F678B1">
        <w:rPr>
          <w:rFonts w:cs="Arial"/>
          <w:sz w:val="22"/>
          <w:szCs w:val="22"/>
        </w:rPr>
        <w:t>Uphold the law, institutions of government and democratic principles.</w:t>
      </w:r>
    </w:p>
    <w:p w14:paraId="5E5A06AF" w14:textId="77777777" w:rsidR="00F02613" w:rsidRPr="00F678B1" w:rsidRDefault="00F02613" w:rsidP="001B1248">
      <w:pPr>
        <w:numPr>
          <w:ilvl w:val="0"/>
          <w:numId w:val="6"/>
        </w:numPr>
        <w:shd w:val="clear" w:color="auto" w:fill="FFFFFF"/>
        <w:spacing w:after="0" w:line="276" w:lineRule="auto"/>
        <w:ind w:left="714" w:hanging="357"/>
        <w:rPr>
          <w:rFonts w:cs="Arial"/>
          <w:sz w:val="22"/>
          <w:szCs w:val="22"/>
        </w:rPr>
      </w:pPr>
      <w:r w:rsidRPr="00F678B1">
        <w:rPr>
          <w:rFonts w:cs="Arial"/>
          <w:sz w:val="22"/>
          <w:szCs w:val="22"/>
        </w:rPr>
        <w:t>Communicate intentions clearly and invite teamwork and collaboration.</w:t>
      </w:r>
    </w:p>
    <w:p w14:paraId="3EBF6288" w14:textId="595C6C8B" w:rsidR="00F02613" w:rsidRDefault="00F02613" w:rsidP="001B1248">
      <w:pPr>
        <w:numPr>
          <w:ilvl w:val="0"/>
          <w:numId w:val="6"/>
        </w:numPr>
        <w:shd w:val="clear" w:color="auto" w:fill="FFFFFF"/>
        <w:spacing w:after="0" w:line="276" w:lineRule="auto"/>
        <w:ind w:left="714" w:hanging="357"/>
        <w:rPr>
          <w:rFonts w:cs="Arial"/>
          <w:sz w:val="22"/>
          <w:szCs w:val="22"/>
        </w:rPr>
      </w:pPr>
      <w:r w:rsidRPr="00F678B1">
        <w:rPr>
          <w:rFonts w:cs="Arial"/>
          <w:sz w:val="22"/>
          <w:szCs w:val="22"/>
        </w:rPr>
        <w:t>Provide transparency to enable public scrutiny.</w:t>
      </w:r>
    </w:p>
    <w:p w14:paraId="4F33D804" w14:textId="067899C6" w:rsidR="00F02613" w:rsidRDefault="00F02613" w:rsidP="001B1248">
      <w:pPr>
        <w:numPr>
          <w:ilvl w:val="0"/>
          <w:numId w:val="6"/>
        </w:numPr>
        <w:shd w:val="clear" w:color="auto" w:fill="FFFFFF"/>
        <w:spacing w:after="0" w:line="276" w:lineRule="auto"/>
        <w:ind w:left="714" w:hanging="357"/>
        <w:rPr>
          <w:rFonts w:cs="Arial"/>
          <w:sz w:val="22"/>
          <w:szCs w:val="22"/>
        </w:rPr>
      </w:pPr>
      <w:r w:rsidRPr="00F678B1">
        <w:rPr>
          <w:rFonts w:cs="Arial"/>
          <w:sz w:val="22"/>
          <w:szCs w:val="22"/>
        </w:rPr>
        <w:t>Be fiscally responsible and focus on efficient, effective and prudent use of resources.</w:t>
      </w:r>
    </w:p>
    <w:p w14:paraId="5BAFF335" w14:textId="77777777" w:rsidR="0076706C" w:rsidRPr="00F678B1" w:rsidRDefault="0076706C" w:rsidP="001B1248">
      <w:pPr>
        <w:shd w:val="clear" w:color="auto" w:fill="FFFFFF"/>
        <w:spacing w:after="0" w:line="276" w:lineRule="auto"/>
        <w:rPr>
          <w:rFonts w:cs="Arial"/>
          <w:sz w:val="22"/>
          <w:szCs w:val="22"/>
        </w:rPr>
      </w:pPr>
    </w:p>
    <w:p w14:paraId="12F2FEC7" w14:textId="77777777" w:rsidR="008E42F1" w:rsidRPr="00E86B5F" w:rsidRDefault="00A00916" w:rsidP="00E86B5F">
      <w:pPr>
        <w:jc w:val="both"/>
        <w:rPr>
          <w:rFonts w:cs="Arial"/>
          <w:sz w:val="22"/>
          <w:szCs w:val="22"/>
        </w:rPr>
      </w:pPr>
      <w:r>
        <w:rPr>
          <w:rFonts w:cs="Arial"/>
          <w:sz w:val="22"/>
          <w:szCs w:val="22"/>
        </w:rPr>
        <w:t xml:space="preserve">The Department of Justice </w:t>
      </w:r>
      <w:r w:rsidR="008E42F1" w:rsidRPr="00E86B5F">
        <w:rPr>
          <w:rFonts w:cs="Arial"/>
          <w:sz w:val="22"/>
          <w:szCs w:val="22"/>
        </w:rPr>
        <w:t>has a zero tolerance to violence, including any form of family violence</w:t>
      </w:r>
      <w:r>
        <w:rPr>
          <w:rFonts w:cs="Arial"/>
          <w:sz w:val="22"/>
          <w:szCs w:val="22"/>
        </w:rPr>
        <w:t>, tak</w:t>
      </w:r>
      <w:r w:rsidR="00775E3F">
        <w:rPr>
          <w:rFonts w:cs="Arial"/>
          <w:sz w:val="22"/>
          <w:szCs w:val="22"/>
        </w:rPr>
        <w:t>ing</w:t>
      </w:r>
      <w:r>
        <w:rPr>
          <w:rFonts w:cs="Arial"/>
          <w:sz w:val="22"/>
          <w:szCs w:val="22"/>
        </w:rPr>
        <w:t xml:space="preserve"> an </w:t>
      </w:r>
      <w:r w:rsidR="008E42F1" w:rsidRPr="00E86B5F">
        <w:rPr>
          <w:rFonts w:cs="Arial"/>
          <w:sz w:val="22"/>
          <w:szCs w:val="22"/>
        </w:rPr>
        <w:t xml:space="preserve">active role in supporting employees and their families </w:t>
      </w:r>
      <w:r w:rsidR="00775E3F">
        <w:rPr>
          <w:rFonts w:cs="Arial"/>
          <w:sz w:val="22"/>
          <w:szCs w:val="22"/>
        </w:rPr>
        <w:t>the Department</w:t>
      </w:r>
      <w:r w:rsidR="00775E3F" w:rsidRPr="00E86B5F">
        <w:rPr>
          <w:rFonts w:cs="Arial"/>
          <w:sz w:val="22"/>
          <w:szCs w:val="22"/>
        </w:rPr>
        <w:t xml:space="preserve"> </w:t>
      </w:r>
      <w:r w:rsidR="008E42F1" w:rsidRPr="00E86B5F">
        <w:rPr>
          <w:rFonts w:cs="Arial"/>
          <w:sz w:val="22"/>
          <w:szCs w:val="22"/>
        </w:rPr>
        <w:t>is committed to providing a</w:t>
      </w:r>
      <w:r>
        <w:rPr>
          <w:rFonts w:cs="Arial"/>
          <w:sz w:val="22"/>
          <w:szCs w:val="22"/>
        </w:rPr>
        <w:t xml:space="preserve"> w</w:t>
      </w:r>
      <w:r w:rsidR="008E42F1" w:rsidRPr="00E86B5F">
        <w:rPr>
          <w:rFonts w:cs="Arial"/>
          <w:sz w:val="22"/>
          <w:szCs w:val="22"/>
        </w:rPr>
        <w:t>orkplace that promotes safety and wellbeing of all employees.</w:t>
      </w:r>
    </w:p>
    <w:p w14:paraId="0F24CC4C" w14:textId="77777777" w:rsidR="008702FF" w:rsidRPr="00996CC1" w:rsidRDefault="008702FF" w:rsidP="00996CC1">
      <w:pPr>
        <w:jc w:val="both"/>
        <w:rPr>
          <w:rFonts w:cs="Arial"/>
          <w:sz w:val="22"/>
          <w:szCs w:val="22"/>
        </w:rPr>
      </w:pPr>
      <w:r w:rsidRPr="008702FF">
        <w:rPr>
          <w:rFonts w:cs="Arial"/>
          <w:sz w:val="22"/>
          <w:szCs w:val="22"/>
        </w:rPr>
        <w:t>Further information about employee expectations is on the Department of Justice Intranet site under Statement of Intent.</w:t>
      </w:r>
    </w:p>
    <w:p w14:paraId="7EFC8DAE" w14:textId="77777777" w:rsidR="0076706C" w:rsidRDefault="008702FF" w:rsidP="00996CC1">
      <w:pPr>
        <w:jc w:val="both"/>
        <w:rPr>
          <w:rFonts w:cs="Arial"/>
          <w:sz w:val="22"/>
          <w:szCs w:val="22"/>
        </w:rPr>
      </w:pPr>
      <w:r w:rsidRPr="008702FF">
        <w:rPr>
          <w:rFonts w:cs="Arial"/>
          <w:sz w:val="22"/>
          <w:szCs w:val="22"/>
        </w:rPr>
        <w:t xml:space="preserve">The department is committed to high standards of performance in the application of contemporary management practices and principles including workplace health and safety and workplace diversity. The department recognises and uses the diversity of the community it serves. In doing this it acknowledges the individual differences that can contribute to the capacity of a person to perform the inherent requirements of the duties. </w:t>
      </w:r>
    </w:p>
    <w:p w14:paraId="2E446F61" w14:textId="77777777" w:rsidR="0076706C" w:rsidRPr="00F37DBD" w:rsidRDefault="0076706C" w:rsidP="0076706C">
      <w:pPr>
        <w:jc w:val="both"/>
        <w:rPr>
          <w:rFonts w:ascii="Calibri" w:hAnsi="Calibri"/>
          <w:sz w:val="22"/>
          <w:szCs w:val="22"/>
        </w:rPr>
      </w:pPr>
      <w:r w:rsidRPr="00F37DBD">
        <w:rPr>
          <w:i/>
          <w:iCs/>
          <w:sz w:val="22"/>
          <w:szCs w:val="22"/>
        </w:rPr>
        <w:t xml:space="preserve">DoJ has a zero tolerance approach to violence*, including any form of family violence. DoJ takes an active role in supporting employees and their families and is committed to providing a workplace that promotes safety and wellbeing of all employees. </w:t>
      </w:r>
    </w:p>
    <w:p w14:paraId="12719DF4" w14:textId="77777777" w:rsidR="0076706C" w:rsidRDefault="0076706C" w:rsidP="0076706C">
      <w:pPr>
        <w:jc w:val="both"/>
        <w:rPr>
          <w:i/>
          <w:iCs/>
          <w:sz w:val="22"/>
          <w:szCs w:val="22"/>
        </w:rPr>
      </w:pPr>
      <w:r w:rsidRPr="00F37DBD">
        <w:rPr>
          <w:i/>
          <w:iCs/>
          <w:sz w:val="22"/>
          <w:szCs w:val="22"/>
        </w:rPr>
        <w:t>*The Department accepts the Tasmanian legal definition of violence</w:t>
      </w:r>
      <w:r>
        <w:rPr>
          <w:i/>
          <w:iCs/>
          <w:sz w:val="22"/>
          <w:szCs w:val="22"/>
        </w:rPr>
        <w:t>.</w:t>
      </w:r>
    </w:p>
    <w:p w14:paraId="21506726" w14:textId="77777777" w:rsidR="0076706C" w:rsidRDefault="0076706C" w:rsidP="00996CC1">
      <w:pPr>
        <w:jc w:val="both"/>
        <w:rPr>
          <w:rFonts w:cs="Arial"/>
          <w:sz w:val="22"/>
          <w:szCs w:val="22"/>
        </w:rPr>
      </w:pPr>
    </w:p>
    <w:p w14:paraId="11BE3556" w14:textId="39D451BC" w:rsidR="008702FF" w:rsidRPr="008702FF" w:rsidRDefault="008702FF" w:rsidP="00996CC1">
      <w:pPr>
        <w:jc w:val="both"/>
        <w:rPr>
          <w:rFonts w:cs="Arial"/>
          <w:sz w:val="22"/>
          <w:szCs w:val="22"/>
        </w:rPr>
      </w:pPr>
      <w:r w:rsidRPr="008702FF">
        <w:rPr>
          <w:rFonts w:cs="Arial"/>
          <w:sz w:val="22"/>
          <w:szCs w:val="22"/>
        </w:rPr>
        <w:lastRenderedPageBreak/>
        <w:t>All employees are expected to participate in maintaining safe working conditions and practices and to promote and uphold the principle of fair and equitable access to employment/promotion, personal development and training and the elimination of workplace harassment and discrimination.</w:t>
      </w:r>
    </w:p>
    <w:p w14:paraId="4910E0C9" w14:textId="77777777" w:rsidR="008702FF" w:rsidRPr="008702FF" w:rsidRDefault="008702FF" w:rsidP="008702FF">
      <w:pPr>
        <w:jc w:val="both"/>
        <w:rPr>
          <w:rFonts w:cs="Arial"/>
          <w:sz w:val="22"/>
          <w:szCs w:val="22"/>
        </w:rPr>
      </w:pPr>
      <w:r w:rsidRPr="008702FF">
        <w:rPr>
          <w:rFonts w:cs="Arial"/>
          <w:sz w:val="22"/>
          <w:szCs w:val="22"/>
        </w:rPr>
        <w:t>All employees are responsible for participating actively and constructively in discussions regarding performance and for the implementation of agreed outcomes in accordance with the Performance Management policies and strategies of the Department.</w:t>
      </w:r>
    </w:p>
    <w:p w14:paraId="278C4FDE" w14:textId="77777777" w:rsidR="00C322B8" w:rsidRPr="008F31D4" w:rsidRDefault="008702FF" w:rsidP="008702FF">
      <w:pPr>
        <w:jc w:val="both"/>
        <w:rPr>
          <w:rFonts w:cs="Arial"/>
          <w:sz w:val="22"/>
          <w:szCs w:val="22"/>
        </w:rPr>
      </w:pPr>
      <w:r w:rsidRPr="008702FF">
        <w:rPr>
          <w:rFonts w:cs="Arial"/>
          <w:sz w:val="22"/>
          <w:szCs w:val="22"/>
        </w:rPr>
        <w:t>Smoking is prohibited in State Government workplaces and vehicles.</w:t>
      </w:r>
    </w:p>
    <w:p w14:paraId="4CE0D11D" w14:textId="77777777" w:rsidR="00C322B8" w:rsidRPr="0027445A" w:rsidRDefault="00C322B8" w:rsidP="0027445A">
      <w:pPr>
        <w:pStyle w:val="Heading2"/>
      </w:pPr>
      <w:r w:rsidRPr="0027445A">
        <w:t>Requirements</w:t>
      </w:r>
    </w:p>
    <w:p w14:paraId="67C31ABA" w14:textId="77777777" w:rsidR="008A6BF4" w:rsidRDefault="0092433D" w:rsidP="008A6BF4">
      <w:pPr>
        <w:pStyle w:val="Heading3"/>
      </w:pPr>
      <w:r w:rsidRPr="0027445A">
        <w:t>Essentia</w:t>
      </w:r>
      <w:r w:rsidR="008A6BF4">
        <w:t>l</w:t>
      </w:r>
      <w:r w:rsidR="003928FD">
        <w:t xml:space="preserve"> requirements</w:t>
      </w:r>
    </w:p>
    <w:p w14:paraId="42E53F91" w14:textId="77777777" w:rsidR="00C1235D" w:rsidRPr="00C20539" w:rsidRDefault="00F32C49" w:rsidP="00AE74A2">
      <w:pPr>
        <w:numPr>
          <w:ilvl w:val="0"/>
          <w:numId w:val="22"/>
        </w:numPr>
        <w:spacing w:before="120" w:after="0"/>
        <w:jc w:val="both"/>
        <w:rPr>
          <w:sz w:val="22"/>
          <w:szCs w:val="22"/>
        </w:rPr>
      </w:pPr>
      <w:bookmarkStart w:id="1" w:name="_GoBack"/>
      <w:r w:rsidRPr="00C20539">
        <w:rPr>
          <w:sz w:val="22"/>
          <w:szCs w:val="22"/>
        </w:rPr>
        <w:t>Current driver licence</w:t>
      </w:r>
    </w:p>
    <w:p w14:paraId="6FC46A06" w14:textId="77777777" w:rsidR="008A6BF4" w:rsidRDefault="007918C6" w:rsidP="00AE74A2">
      <w:pPr>
        <w:pStyle w:val="Heading3"/>
        <w:jc w:val="both"/>
      </w:pPr>
      <w:r w:rsidRPr="0027445A">
        <w:t>Desirable</w:t>
      </w:r>
      <w:r w:rsidR="003928FD">
        <w:t xml:space="preserve"> requirements</w:t>
      </w:r>
    </w:p>
    <w:p w14:paraId="5D246BE7" w14:textId="77777777" w:rsidR="00F02613" w:rsidRPr="00F678B1" w:rsidRDefault="00F02613" w:rsidP="00AE74A2">
      <w:pPr>
        <w:pStyle w:val="ListBullet"/>
        <w:numPr>
          <w:ilvl w:val="0"/>
          <w:numId w:val="22"/>
        </w:numPr>
        <w:jc w:val="both"/>
      </w:pPr>
      <w:r w:rsidRPr="00F678B1">
        <w:t xml:space="preserve">The successful applicant will possess </w:t>
      </w:r>
      <w:r>
        <w:t>contemporary experience and qualifications in workplace i</w:t>
      </w:r>
      <w:r w:rsidRPr="00F678B1">
        <w:t xml:space="preserve">nspection </w:t>
      </w:r>
      <w:r>
        <w:t>and incident</w:t>
      </w:r>
      <w:r w:rsidRPr="00F678B1">
        <w:t xml:space="preserve"> </w:t>
      </w:r>
      <w:r>
        <w:t>i</w:t>
      </w:r>
      <w:r w:rsidRPr="00F678B1">
        <w:t>nvestigation.</w:t>
      </w:r>
    </w:p>
    <w:bookmarkEnd w:id="1"/>
    <w:p w14:paraId="594C6358" w14:textId="77777777" w:rsidR="00C20539" w:rsidRDefault="00C20539" w:rsidP="00C20539">
      <w:pPr>
        <w:pStyle w:val="Heading1"/>
        <w:kinsoku w:val="0"/>
        <w:overflowPunct w:val="0"/>
        <w:spacing w:before="230"/>
        <w:jc w:val="both"/>
        <w:rPr>
          <w:b w:val="0"/>
        </w:rPr>
      </w:pPr>
      <w:r w:rsidRPr="00C20539">
        <w:rPr>
          <w:b w:val="0"/>
        </w:rPr>
        <w:t>Pre-employment Checks</w:t>
      </w:r>
    </w:p>
    <w:p w14:paraId="628C0C6B" w14:textId="77777777" w:rsidR="004A5090" w:rsidRPr="004A5090" w:rsidRDefault="004A5090" w:rsidP="004A5090">
      <w:pPr>
        <w:spacing w:before="100" w:beforeAutospacing="1" w:after="100" w:afterAutospacing="1"/>
        <w:rPr>
          <w:color w:val="000000"/>
          <w:sz w:val="22"/>
          <w:szCs w:val="22"/>
          <w:lang w:eastAsia="en-AU"/>
        </w:rPr>
      </w:pPr>
      <w:r w:rsidRPr="004A5090">
        <w:rPr>
          <w:color w:val="000000"/>
          <w:sz w:val="22"/>
          <w:szCs w:val="22"/>
          <w:lang w:eastAsia="en-AU"/>
        </w:rPr>
        <w:t>The Head of State Service has determined that the person nominated for this vacancy is to satisfy a pre- employment check before taking up the appointment, promotion or transfer.</w:t>
      </w:r>
    </w:p>
    <w:p w14:paraId="31C562D4" w14:textId="77777777" w:rsidR="004A5090" w:rsidRDefault="004A5090" w:rsidP="004A5090">
      <w:pPr>
        <w:spacing w:before="100" w:beforeAutospacing="1" w:after="100" w:afterAutospacing="1"/>
        <w:rPr>
          <w:color w:val="000000"/>
          <w:sz w:val="22"/>
          <w:szCs w:val="22"/>
          <w:lang w:eastAsia="en-AU"/>
        </w:rPr>
      </w:pPr>
      <w:r w:rsidRPr="004A5090">
        <w:rPr>
          <w:color w:val="000000"/>
          <w:sz w:val="22"/>
          <w:szCs w:val="22"/>
          <w:lang w:eastAsia="en-AU"/>
        </w:rPr>
        <w:t>The following checks are to be conducted:</w:t>
      </w:r>
    </w:p>
    <w:p w14:paraId="7C6D1F73" w14:textId="77777777" w:rsidR="00817BF0" w:rsidRPr="00186BEF" w:rsidRDefault="004A5090" w:rsidP="004A5090">
      <w:pPr>
        <w:spacing w:before="100" w:beforeAutospacing="1" w:after="100" w:afterAutospacing="1"/>
        <w:rPr>
          <w:color w:val="000000"/>
          <w:sz w:val="22"/>
          <w:szCs w:val="22"/>
          <w:lang w:eastAsia="en-AU"/>
        </w:rPr>
      </w:pPr>
      <w:r>
        <w:rPr>
          <w:color w:val="000000"/>
          <w:sz w:val="22"/>
          <w:szCs w:val="22"/>
          <w:lang w:eastAsia="en-AU"/>
        </w:rPr>
        <w:t xml:space="preserve">1. </w:t>
      </w:r>
      <w:r w:rsidR="00817BF0" w:rsidRPr="00186BEF">
        <w:rPr>
          <w:color w:val="000000"/>
          <w:sz w:val="22"/>
          <w:szCs w:val="22"/>
          <w:lang w:eastAsia="en-AU"/>
        </w:rPr>
        <w:t>Pre-employment checks</w:t>
      </w:r>
    </w:p>
    <w:p w14:paraId="015C8713"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Arson and fire setting</w:t>
      </w:r>
    </w:p>
    <w:p w14:paraId="55B6A6F6"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Violent crimes and crimes against the person</w:t>
      </w:r>
    </w:p>
    <w:p w14:paraId="5B301B03"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Sex-related offences</w:t>
      </w:r>
    </w:p>
    <w:p w14:paraId="5F8919C1"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Drug and alcohol related offences</w:t>
      </w:r>
    </w:p>
    <w:p w14:paraId="29ADEEE3"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Crimes involving dishonesty</w:t>
      </w:r>
    </w:p>
    <w:p w14:paraId="10B231EA"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Crimes involving deception</w:t>
      </w:r>
    </w:p>
    <w:p w14:paraId="1F31A15F"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Making false declarations</w:t>
      </w:r>
    </w:p>
    <w:p w14:paraId="4E08784D"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Malicious damage and destruction to property</w:t>
      </w:r>
    </w:p>
    <w:p w14:paraId="35FC040E"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Serious traffic offences</w:t>
      </w:r>
    </w:p>
    <w:p w14:paraId="20345E03"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Crimes against public order or relating to the Administration of Law and Justice</w:t>
      </w:r>
    </w:p>
    <w:p w14:paraId="1407532A"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Crimes against Executive or the Legislative Power</w:t>
      </w:r>
    </w:p>
    <w:p w14:paraId="780E1CF7" w14:textId="77777777" w:rsidR="00817BF0" w:rsidRPr="00186BEF" w:rsidRDefault="00817BF0" w:rsidP="00186BEF">
      <w:pPr>
        <w:numPr>
          <w:ilvl w:val="0"/>
          <w:numId w:val="27"/>
        </w:numPr>
        <w:spacing w:before="100" w:beforeAutospacing="1" w:after="100" w:afterAutospacing="1"/>
        <w:rPr>
          <w:color w:val="000000"/>
          <w:sz w:val="22"/>
          <w:szCs w:val="22"/>
          <w:lang w:eastAsia="en-AU"/>
        </w:rPr>
      </w:pPr>
      <w:r w:rsidRPr="00186BEF">
        <w:rPr>
          <w:color w:val="000000"/>
          <w:sz w:val="22"/>
          <w:szCs w:val="22"/>
          <w:lang w:eastAsia="en-AU"/>
        </w:rPr>
        <w:t>Crimes involving Conspiracy</w:t>
      </w:r>
    </w:p>
    <w:p w14:paraId="507A1E19" w14:textId="77777777" w:rsidR="00817BF0" w:rsidRPr="00186BEF" w:rsidRDefault="00817BF0" w:rsidP="00186BEF">
      <w:pPr>
        <w:spacing w:before="100" w:beforeAutospacing="1" w:after="100" w:afterAutospacing="1"/>
        <w:rPr>
          <w:color w:val="000000"/>
          <w:sz w:val="22"/>
          <w:szCs w:val="22"/>
          <w:lang w:eastAsia="en-AU"/>
        </w:rPr>
      </w:pPr>
      <w:r w:rsidRPr="00186BEF">
        <w:rPr>
          <w:color w:val="000000"/>
          <w:sz w:val="22"/>
          <w:szCs w:val="22"/>
          <w:lang w:eastAsia="en-AU"/>
        </w:rPr>
        <w:t>   2.  Disciplinary action in previous employment.</w:t>
      </w:r>
    </w:p>
    <w:p w14:paraId="77E19459" w14:textId="77777777" w:rsidR="003928FD" w:rsidRPr="00817BF0" w:rsidRDefault="00817BF0" w:rsidP="00F02613">
      <w:pPr>
        <w:spacing w:before="100" w:beforeAutospacing="1" w:after="100" w:afterAutospacing="1"/>
      </w:pPr>
      <w:r w:rsidRPr="00186BEF">
        <w:rPr>
          <w:color w:val="000000"/>
          <w:sz w:val="22"/>
          <w:szCs w:val="22"/>
          <w:lang w:eastAsia="en-AU"/>
        </w:rPr>
        <w:t>   3.  Identification check.</w:t>
      </w:r>
    </w:p>
    <w:sectPr w:rsidR="003928FD" w:rsidRPr="00817BF0" w:rsidSect="003D70AD">
      <w:headerReference w:type="default" r:id="rId9"/>
      <w:footerReference w:type="default" r:id="rId10"/>
      <w:headerReference w:type="first" r:id="rId11"/>
      <w:pgSz w:w="12240" w:h="15840" w:code="1"/>
      <w:pgMar w:top="993" w:right="1418" w:bottom="1440" w:left="1418"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A10A4" w14:textId="77777777" w:rsidR="00096B4D" w:rsidRDefault="00096B4D" w:rsidP="00967FD5">
      <w:r>
        <w:separator/>
      </w:r>
    </w:p>
  </w:endnote>
  <w:endnote w:type="continuationSeparator" w:id="0">
    <w:p w14:paraId="277FF933" w14:textId="77777777" w:rsidR="00096B4D" w:rsidRDefault="00096B4D" w:rsidP="00967FD5">
      <w:r>
        <w:continuationSeparator/>
      </w:r>
    </w:p>
  </w:endnote>
  <w:endnote w:type="continuationNotice" w:id="1">
    <w:p w14:paraId="3E1516E9" w14:textId="77777777" w:rsidR="00096B4D" w:rsidRDefault="00096B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6F57" w14:textId="77777777" w:rsidR="001D3AC1" w:rsidRDefault="001D3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BB83" w14:textId="77777777" w:rsidR="00096B4D" w:rsidRDefault="00096B4D" w:rsidP="00967FD5">
      <w:r>
        <w:separator/>
      </w:r>
    </w:p>
  </w:footnote>
  <w:footnote w:type="continuationSeparator" w:id="0">
    <w:p w14:paraId="4F0097A6" w14:textId="77777777" w:rsidR="00096B4D" w:rsidRDefault="00096B4D" w:rsidP="00967FD5">
      <w:r>
        <w:continuationSeparator/>
      </w:r>
    </w:p>
  </w:footnote>
  <w:footnote w:type="continuationNotice" w:id="1">
    <w:p w14:paraId="350ED32E" w14:textId="77777777" w:rsidR="00096B4D" w:rsidRDefault="00096B4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46B1F" w14:textId="77777777" w:rsidR="001D3AC1" w:rsidRDefault="001D3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3B0" w14:textId="3D455AC2" w:rsidR="00B00073" w:rsidRPr="00FE28E6" w:rsidRDefault="001D3AC1" w:rsidP="00FE28E6">
    <w:pPr>
      <w:pStyle w:val="Title"/>
      <w:rPr>
        <w:sz w:val="48"/>
      </w:rPr>
    </w:pPr>
    <w:r>
      <w:rPr>
        <w:noProof/>
        <w:lang w:eastAsia="en-AU"/>
      </w:rPr>
      <w:drawing>
        <wp:anchor distT="0" distB="0" distL="114300" distR="114300" simplePos="0" relativeHeight="251657728" behindDoc="0" locked="0" layoutInCell="1" allowOverlap="1" wp14:anchorId="04AE4DCA" wp14:editId="431CA727">
          <wp:simplePos x="0" y="0"/>
          <wp:positionH relativeFrom="column">
            <wp:posOffset>5105400</wp:posOffset>
          </wp:positionH>
          <wp:positionV relativeFrom="paragraph">
            <wp:posOffset>-231140</wp:posOffset>
          </wp:positionV>
          <wp:extent cx="904240" cy="904240"/>
          <wp:effectExtent l="0" t="0" r="0" b="0"/>
          <wp:wrapSquare wrapText="bothSides"/>
          <wp:docPr id="5" name="Picture 5"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06E91E"/>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B36A7C00"/>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273656"/>
    <w:multiLevelType w:val="hybridMultilevel"/>
    <w:tmpl w:val="9692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A3259F"/>
    <w:multiLevelType w:val="multilevel"/>
    <w:tmpl w:val="0D689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F2809"/>
    <w:multiLevelType w:val="hybridMultilevel"/>
    <w:tmpl w:val="3BDA7296"/>
    <w:lvl w:ilvl="0" w:tplc="80A0F7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A83696"/>
    <w:multiLevelType w:val="hybridMultilevel"/>
    <w:tmpl w:val="9C167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74B31"/>
    <w:multiLevelType w:val="multilevel"/>
    <w:tmpl w:val="9D94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F417EC"/>
    <w:multiLevelType w:val="multilevel"/>
    <w:tmpl w:val="EF423B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61B3E6B"/>
    <w:multiLevelType w:val="hybridMultilevel"/>
    <w:tmpl w:val="A24A8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9B114E"/>
    <w:multiLevelType w:val="hybridMultilevel"/>
    <w:tmpl w:val="3E56C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24" w15:restartNumberingAfterBreak="0">
    <w:nsid w:val="5C736D20"/>
    <w:multiLevelType w:val="hybridMultilevel"/>
    <w:tmpl w:val="6290A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9F4BC9"/>
    <w:multiLevelType w:val="hybridMultilevel"/>
    <w:tmpl w:val="474A42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E357FB"/>
    <w:multiLevelType w:val="hybridMultilevel"/>
    <w:tmpl w:val="C4A46378"/>
    <w:lvl w:ilvl="0" w:tplc="8BF6FCDA">
      <w:start w:val="1"/>
      <w:numFmt w:val="bullet"/>
      <w:pStyle w:val="List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52411B"/>
    <w:multiLevelType w:val="hybridMultilevel"/>
    <w:tmpl w:val="F0EC4ADA"/>
    <w:lvl w:ilvl="0" w:tplc="709ECF50">
      <w:start w:val="1"/>
      <w:numFmt w:val="decimal"/>
      <w:lvlText w:val="%1."/>
      <w:lvlJc w:val="left"/>
      <w:pPr>
        <w:ind w:left="720" w:hanging="72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15"/>
  </w:num>
  <w:num w:numId="5">
    <w:abstractNumId w:val="20"/>
  </w:num>
  <w:num w:numId="6">
    <w:abstractNumId w:val="9"/>
  </w:num>
  <w:num w:numId="7">
    <w:abstractNumId w:val="2"/>
  </w:num>
  <w:num w:numId="8">
    <w:abstractNumId w:val="6"/>
  </w:num>
  <w:num w:numId="9">
    <w:abstractNumId w:val="29"/>
  </w:num>
  <w:num w:numId="10">
    <w:abstractNumId w:val="10"/>
  </w:num>
  <w:num w:numId="11">
    <w:abstractNumId w:val="1"/>
  </w:num>
  <w:num w:numId="12">
    <w:abstractNumId w:val="1"/>
    <w:lvlOverride w:ilvl="0">
      <w:startOverride w:val="1"/>
    </w:lvlOverride>
  </w:num>
  <w:num w:numId="13">
    <w:abstractNumId w:val="0"/>
  </w:num>
  <w:num w:numId="14">
    <w:abstractNumId w:val="4"/>
  </w:num>
  <w:num w:numId="15">
    <w:abstractNumId w:val="27"/>
  </w:num>
  <w:num w:numId="16">
    <w:abstractNumId w:val="17"/>
  </w:num>
  <w:num w:numId="17">
    <w:abstractNumId w:val="21"/>
  </w:num>
  <w:num w:numId="18">
    <w:abstractNumId w:val="16"/>
  </w:num>
  <w:num w:numId="19">
    <w:abstractNumId w:val="22"/>
  </w:num>
  <w:num w:numId="20">
    <w:abstractNumId w:val="7"/>
  </w:num>
  <w:num w:numId="21">
    <w:abstractNumId w:val="25"/>
  </w:num>
  <w:num w:numId="22">
    <w:abstractNumId w:val="11"/>
  </w:num>
  <w:num w:numId="23">
    <w:abstractNumId w:val="28"/>
  </w:num>
  <w:num w:numId="24">
    <w:abstractNumId w:val="19"/>
  </w:num>
  <w:num w:numId="25">
    <w:abstractNumId w:val="26"/>
  </w:num>
  <w:num w:numId="26">
    <w:abstractNumId w:val="8"/>
  </w:num>
  <w:num w:numId="27">
    <w:abstractNumId w:val="13"/>
  </w:num>
  <w:num w:numId="28">
    <w:abstractNumId w:val="12"/>
  </w:num>
  <w:num w:numId="29">
    <w:abstractNumId w:val="18"/>
  </w:num>
  <w:num w:numId="30">
    <w:abstractNumId w:val="3"/>
  </w:num>
  <w:num w:numId="3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23F8"/>
    <w:rsid w:val="00003D77"/>
    <w:rsid w:val="00005DBB"/>
    <w:rsid w:val="000121AD"/>
    <w:rsid w:val="00017C34"/>
    <w:rsid w:val="0003475E"/>
    <w:rsid w:val="0004019C"/>
    <w:rsid w:val="0004749E"/>
    <w:rsid w:val="00051AFF"/>
    <w:rsid w:val="000632C1"/>
    <w:rsid w:val="0008538F"/>
    <w:rsid w:val="0009181C"/>
    <w:rsid w:val="00096B4D"/>
    <w:rsid w:val="000A407B"/>
    <w:rsid w:val="000A6575"/>
    <w:rsid w:val="000A7409"/>
    <w:rsid w:val="000B7F3D"/>
    <w:rsid w:val="000C4E66"/>
    <w:rsid w:val="000C5B22"/>
    <w:rsid w:val="000C692A"/>
    <w:rsid w:val="000E2D8E"/>
    <w:rsid w:val="000F68B3"/>
    <w:rsid w:val="0010212D"/>
    <w:rsid w:val="001135BD"/>
    <w:rsid w:val="00120113"/>
    <w:rsid w:val="001252E6"/>
    <w:rsid w:val="00125630"/>
    <w:rsid w:val="00127277"/>
    <w:rsid w:val="00140A16"/>
    <w:rsid w:val="001431C7"/>
    <w:rsid w:val="00144CDE"/>
    <w:rsid w:val="00151E87"/>
    <w:rsid w:val="001559CA"/>
    <w:rsid w:val="00163C77"/>
    <w:rsid w:val="00186BEF"/>
    <w:rsid w:val="00193E41"/>
    <w:rsid w:val="00196C94"/>
    <w:rsid w:val="001A2415"/>
    <w:rsid w:val="001A4936"/>
    <w:rsid w:val="001A7157"/>
    <w:rsid w:val="001B1248"/>
    <w:rsid w:val="001B5873"/>
    <w:rsid w:val="001B6E2B"/>
    <w:rsid w:val="001C1B9D"/>
    <w:rsid w:val="001D3AC1"/>
    <w:rsid w:val="001D6BD0"/>
    <w:rsid w:val="001E6EFB"/>
    <w:rsid w:val="001F675E"/>
    <w:rsid w:val="0021092C"/>
    <w:rsid w:val="00213D4D"/>
    <w:rsid w:val="002151FF"/>
    <w:rsid w:val="00223BCD"/>
    <w:rsid w:val="002256BD"/>
    <w:rsid w:val="0022755B"/>
    <w:rsid w:val="00230A41"/>
    <w:rsid w:val="00242C7E"/>
    <w:rsid w:val="00244469"/>
    <w:rsid w:val="00245E5C"/>
    <w:rsid w:val="00262925"/>
    <w:rsid w:val="00265A3A"/>
    <w:rsid w:val="0027445A"/>
    <w:rsid w:val="00294618"/>
    <w:rsid w:val="0029601C"/>
    <w:rsid w:val="002B2E31"/>
    <w:rsid w:val="002C3039"/>
    <w:rsid w:val="002D407E"/>
    <w:rsid w:val="002F15F9"/>
    <w:rsid w:val="002F1F99"/>
    <w:rsid w:val="002F4097"/>
    <w:rsid w:val="00311490"/>
    <w:rsid w:val="00312EAD"/>
    <w:rsid w:val="00326331"/>
    <w:rsid w:val="00327AA5"/>
    <w:rsid w:val="003323B3"/>
    <w:rsid w:val="00341C22"/>
    <w:rsid w:val="00347B75"/>
    <w:rsid w:val="003538F1"/>
    <w:rsid w:val="00381AAA"/>
    <w:rsid w:val="003830BC"/>
    <w:rsid w:val="003928FD"/>
    <w:rsid w:val="003B2635"/>
    <w:rsid w:val="003B6598"/>
    <w:rsid w:val="003C5A60"/>
    <w:rsid w:val="003D70AD"/>
    <w:rsid w:val="003E1131"/>
    <w:rsid w:val="003E6A4C"/>
    <w:rsid w:val="003E721A"/>
    <w:rsid w:val="003F5F5D"/>
    <w:rsid w:val="00405006"/>
    <w:rsid w:val="00405E01"/>
    <w:rsid w:val="00412D43"/>
    <w:rsid w:val="004340E0"/>
    <w:rsid w:val="0043463F"/>
    <w:rsid w:val="00436652"/>
    <w:rsid w:val="00436854"/>
    <w:rsid w:val="004407DE"/>
    <w:rsid w:val="004433C5"/>
    <w:rsid w:val="00452B98"/>
    <w:rsid w:val="00454A11"/>
    <w:rsid w:val="00460677"/>
    <w:rsid w:val="004643AB"/>
    <w:rsid w:val="00465580"/>
    <w:rsid w:val="00465817"/>
    <w:rsid w:val="004679A4"/>
    <w:rsid w:val="00477450"/>
    <w:rsid w:val="00486189"/>
    <w:rsid w:val="004A5090"/>
    <w:rsid w:val="004B2D3F"/>
    <w:rsid w:val="004B5862"/>
    <w:rsid w:val="004C04C4"/>
    <w:rsid w:val="004C53F9"/>
    <w:rsid w:val="004D1E0B"/>
    <w:rsid w:val="004D5BED"/>
    <w:rsid w:val="004E5113"/>
    <w:rsid w:val="004E56C4"/>
    <w:rsid w:val="004F1D33"/>
    <w:rsid w:val="004F22C7"/>
    <w:rsid w:val="004F3DB1"/>
    <w:rsid w:val="00502E37"/>
    <w:rsid w:val="0050672B"/>
    <w:rsid w:val="00507FA5"/>
    <w:rsid w:val="00531939"/>
    <w:rsid w:val="0054433C"/>
    <w:rsid w:val="00545235"/>
    <w:rsid w:val="00550727"/>
    <w:rsid w:val="0056348A"/>
    <w:rsid w:val="00563BE1"/>
    <w:rsid w:val="00583ABE"/>
    <w:rsid w:val="00591EEC"/>
    <w:rsid w:val="005944D3"/>
    <w:rsid w:val="00594C69"/>
    <w:rsid w:val="005A238A"/>
    <w:rsid w:val="005A7555"/>
    <w:rsid w:val="005C0339"/>
    <w:rsid w:val="005C0CA8"/>
    <w:rsid w:val="005D23C9"/>
    <w:rsid w:val="005E0EAE"/>
    <w:rsid w:val="005E1568"/>
    <w:rsid w:val="005E20F0"/>
    <w:rsid w:val="005F4D61"/>
    <w:rsid w:val="00602173"/>
    <w:rsid w:val="0060566C"/>
    <w:rsid w:val="006227BB"/>
    <w:rsid w:val="0062591F"/>
    <w:rsid w:val="006363F9"/>
    <w:rsid w:val="0065087F"/>
    <w:rsid w:val="00661ED6"/>
    <w:rsid w:val="00665AA3"/>
    <w:rsid w:val="00666B58"/>
    <w:rsid w:val="00667011"/>
    <w:rsid w:val="0068448E"/>
    <w:rsid w:val="00687229"/>
    <w:rsid w:val="00691584"/>
    <w:rsid w:val="00692A60"/>
    <w:rsid w:val="00695079"/>
    <w:rsid w:val="006957A7"/>
    <w:rsid w:val="00695A5A"/>
    <w:rsid w:val="0069720C"/>
    <w:rsid w:val="006A2217"/>
    <w:rsid w:val="006B0170"/>
    <w:rsid w:val="006C48FE"/>
    <w:rsid w:val="006D05A1"/>
    <w:rsid w:val="006E2573"/>
    <w:rsid w:val="006F702F"/>
    <w:rsid w:val="00702C19"/>
    <w:rsid w:val="00706584"/>
    <w:rsid w:val="0071386E"/>
    <w:rsid w:val="00713D61"/>
    <w:rsid w:val="00715D89"/>
    <w:rsid w:val="00717D05"/>
    <w:rsid w:val="00732F81"/>
    <w:rsid w:val="00734261"/>
    <w:rsid w:val="00746D48"/>
    <w:rsid w:val="007552D7"/>
    <w:rsid w:val="007569BB"/>
    <w:rsid w:val="00764E72"/>
    <w:rsid w:val="0076706C"/>
    <w:rsid w:val="0077333D"/>
    <w:rsid w:val="00775E3F"/>
    <w:rsid w:val="007918C6"/>
    <w:rsid w:val="007A2478"/>
    <w:rsid w:val="007A7803"/>
    <w:rsid w:val="007B2563"/>
    <w:rsid w:val="007B6E69"/>
    <w:rsid w:val="007C3C3D"/>
    <w:rsid w:val="007C501D"/>
    <w:rsid w:val="007E648B"/>
    <w:rsid w:val="007F0308"/>
    <w:rsid w:val="007F09F5"/>
    <w:rsid w:val="00801E37"/>
    <w:rsid w:val="00805D42"/>
    <w:rsid w:val="00817BF0"/>
    <w:rsid w:val="008245D7"/>
    <w:rsid w:val="00844B35"/>
    <w:rsid w:val="00845111"/>
    <w:rsid w:val="0085017A"/>
    <w:rsid w:val="00853388"/>
    <w:rsid w:val="00855A64"/>
    <w:rsid w:val="00861FB8"/>
    <w:rsid w:val="008702FF"/>
    <w:rsid w:val="00872A19"/>
    <w:rsid w:val="008815BE"/>
    <w:rsid w:val="00884915"/>
    <w:rsid w:val="00884962"/>
    <w:rsid w:val="00886390"/>
    <w:rsid w:val="008A4EC3"/>
    <w:rsid w:val="008A52B9"/>
    <w:rsid w:val="008A6815"/>
    <w:rsid w:val="008A6BF4"/>
    <w:rsid w:val="008A7B85"/>
    <w:rsid w:val="008B33DF"/>
    <w:rsid w:val="008B3B21"/>
    <w:rsid w:val="008C04AE"/>
    <w:rsid w:val="008C06FD"/>
    <w:rsid w:val="008D0532"/>
    <w:rsid w:val="008D0775"/>
    <w:rsid w:val="008D1D17"/>
    <w:rsid w:val="008E42F1"/>
    <w:rsid w:val="008E7CBC"/>
    <w:rsid w:val="008F2599"/>
    <w:rsid w:val="008F31D4"/>
    <w:rsid w:val="008F6267"/>
    <w:rsid w:val="008F7214"/>
    <w:rsid w:val="008F7B20"/>
    <w:rsid w:val="0092433D"/>
    <w:rsid w:val="009327DC"/>
    <w:rsid w:val="0094004A"/>
    <w:rsid w:val="00940B9F"/>
    <w:rsid w:val="0095272E"/>
    <w:rsid w:val="00955B00"/>
    <w:rsid w:val="00967069"/>
    <w:rsid w:val="00967FD5"/>
    <w:rsid w:val="009777D7"/>
    <w:rsid w:val="00990A35"/>
    <w:rsid w:val="00991902"/>
    <w:rsid w:val="00994038"/>
    <w:rsid w:val="00996CC1"/>
    <w:rsid w:val="009972A0"/>
    <w:rsid w:val="009A30BF"/>
    <w:rsid w:val="009B10FA"/>
    <w:rsid w:val="009C0260"/>
    <w:rsid w:val="009C1035"/>
    <w:rsid w:val="009C1513"/>
    <w:rsid w:val="009C4920"/>
    <w:rsid w:val="009C4D51"/>
    <w:rsid w:val="009C6FD4"/>
    <w:rsid w:val="009D014B"/>
    <w:rsid w:val="009F580A"/>
    <w:rsid w:val="00A007C8"/>
    <w:rsid w:val="00A00916"/>
    <w:rsid w:val="00A02BAB"/>
    <w:rsid w:val="00A073AC"/>
    <w:rsid w:val="00A14FB5"/>
    <w:rsid w:val="00A17CE2"/>
    <w:rsid w:val="00A258AC"/>
    <w:rsid w:val="00A27FB6"/>
    <w:rsid w:val="00A36C0A"/>
    <w:rsid w:val="00A43EEC"/>
    <w:rsid w:val="00A469CE"/>
    <w:rsid w:val="00A54015"/>
    <w:rsid w:val="00A62D12"/>
    <w:rsid w:val="00A652E5"/>
    <w:rsid w:val="00A66EF0"/>
    <w:rsid w:val="00A7595F"/>
    <w:rsid w:val="00A95163"/>
    <w:rsid w:val="00AA233B"/>
    <w:rsid w:val="00AB1FDB"/>
    <w:rsid w:val="00AB2208"/>
    <w:rsid w:val="00AC161A"/>
    <w:rsid w:val="00AE157E"/>
    <w:rsid w:val="00AE1CB9"/>
    <w:rsid w:val="00AE6D3E"/>
    <w:rsid w:val="00AE74A2"/>
    <w:rsid w:val="00AF08FC"/>
    <w:rsid w:val="00AF34D9"/>
    <w:rsid w:val="00AF7C7B"/>
    <w:rsid w:val="00B00073"/>
    <w:rsid w:val="00B00371"/>
    <w:rsid w:val="00B0084B"/>
    <w:rsid w:val="00B10842"/>
    <w:rsid w:val="00B13153"/>
    <w:rsid w:val="00B16C90"/>
    <w:rsid w:val="00B2128A"/>
    <w:rsid w:val="00B21737"/>
    <w:rsid w:val="00B223D1"/>
    <w:rsid w:val="00B35943"/>
    <w:rsid w:val="00B435DB"/>
    <w:rsid w:val="00B46063"/>
    <w:rsid w:val="00B5464B"/>
    <w:rsid w:val="00B56D26"/>
    <w:rsid w:val="00B61F33"/>
    <w:rsid w:val="00B64442"/>
    <w:rsid w:val="00B74436"/>
    <w:rsid w:val="00B76A4B"/>
    <w:rsid w:val="00B82324"/>
    <w:rsid w:val="00B83334"/>
    <w:rsid w:val="00B902DA"/>
    <w:rsid w:val="00B939D8"/>
    <w:rsid w:val="00B9618A"/>
    <w:rsid w:val="00B96D95"/>
    <w:rsid w:val="00BA0075"/>
    <w:rsid w:val="00BC3ADB"/>
    <w:rsid w:val="00BD55F7"/>
    <w:rsid w:val="00BE4CC1"/>
    <w:rsid w:val="00BE4D5D"/>
    <w:rsid w:val="00BE5B2C"/>
    <w:rsid w:val="00BF079F"/>
    <w:rsid w:val="00BF1EB1"/>
    <w:rsid w:val="00C02C0F"/>
    <w:rsid w:val="00C03968"/>
    <w:rsid w:val="00C050DE"/>
    <w:rsid w:val="00C06B65"/>
    <w:rsid w:val="00C1235D"/>
    <w:rsid w:val="00C1241C"/>
    <w:rsid w:val="00C20338"/>
    <w:rsid w:val="00C20539"/>
    <w:rsid w:val="00C2260D"/>
    <w:rsid w:val="00C26012"/>
    <w:rsid w:val="00C26183"/>
    <w:rsid w:val="00C322B8"/>
    <w:rsid w:val="00C552B9"/>
    <w:rsid w:val="00C64F7D"/>
    <w:rsid w:val="00C70BDD"/>
    <w:rsid w:val="00C77598"/>
    <w:rsid w:val="00C775EF"/>
    <w:rsid w:val="00C8151A"/>
    <w:rsid w:val="00CD40EF"/>
    <w:rsid w:val="00CD7CB6"/>
    <w:rsid w:val="00CE3850"/>
    <w:rsid w:val="00CF4934"/>
    <w:rsid w:val="00CF4EBE"/>
    <w:rsid w:val="00D0101A"/>
    <w:rsid w:val="00D054A7"/>
    <w:rsid w:val="00D14494"/>
    <w:rsid w:val="00D154DA"/>
    <w:rsid w:val="00D174FB"/>
    <w:rsid w:val="00D3462E"/>
    <w:rsid w:val="00D3723A"/>
    <w:rsid w:val="00D46AB4"/>
    <w:rsid w:val="00D63027"/>
    <w:rsid w:val="00D91785"/>
    <w:rsid w:val="00D92758"/>
    <w:rsid w:val="00D94C46"/>
    <w:rsid w:val="00DA0031"/>
    <w:rsid w:val="00DC1ECF"/>
    <w:rsid w:val="00DC42AD"/>
    <w:rsid w:val="00DC50E9"/>
    <w:rsid w:val="00DC71E3"/>
    <w:rsid w:val="00DD211A"/>
    <w:rsid w:val="00DD3AF1"/>
    <w:rsid w:val="00DD4878"/>
    <w:rsid w:val="00DD53BD"/>
    <w:rsid w:val="00DE2ADC"/>
    <w:rsid w:val="00DE6F38"/>
    <w:rsid w:val="00DE7219"/>
    <w:rsid w:val="00DE7FFC"/>
    <w:rsid w:val="00DF514D"/>
    <w:rsid w:val="00E23844"/>
    <w:rsid w:val="00E25048"/>
    <w:rsid w:val="00E65665"/>
    <w:rsid w:val="00E67E15"/>
    <w:rsid w:val="00E70003"/>
    <w:rsid w:val="00E85FF0"/>
    <w:rsid w:val="00E86A27"/>
    <w:rsid w:val="00E86B5F"/>
    <w:rsid w:val="00E86F28"/>
    <w:rsid w:val="00E9114D"/>
    <w:rsid w:val="00E929FA"/>
    <w:rsid w:val="00E932D1"/>
    <w:rsid w:val="00EA3B76"/>
    <w:rsid w:val="00ED1F4B"/>
    <w:rsid w:val="00EE50F8"/>
    <w:rsid w:val="00EE5CEA"/>
    <w:rsid w:val="00F02613"/>
    <w:rsid w:val="00F06334"/>
    <w:rsid w:val="00F12CF8"/>
    <w:rsid w:val="00F1787A"/>
    <w:rsid w:val="00F25770"/>
    <w:rsid w:val="00F32C49"/>
    <w:rsid w:val="00F345E2"/>
    <w:rsid w:val="00F34A62"/>
    <w:rsid w:val="00F37011"/>
    <w:rsid w:val="00F417D5"/>
    <w:rsid w:val="00F531EA"/>
    <w:rsid w:val="00F54F91"/>
    <w:rsid w:val="00F62020"/>
    <w:rsid w:val="00F66A74"/>
    <w:rsid w:val="00F70071"/>
    <w:rsid w:val="00F71D29"/>
    <w:rsid w:val="00F83341"/>
    <w:rsid w:val="00F84AC9"/>
    <w:rsid w:val="00F9045E"/>
    <w:rsid w:val="00FA5ACF"/>
    <w:rsid w:val="00FB787C"/>
    <w:rsid w:val="00FD1423"/>
    <w:rsid w:val="00FD6D8D"/>
    <w:rsid w:val="00FE0FAE"/>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5E3ECD"/>
  <w15:chartTrackingRefBased/>
  <w15:docId w15:val="{80271161-E32A-46F4-AD16-F08F75481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817BF0"/>
    <w:pPr>
      <w:numPr>
        <w:numId w:val="25"/>
      </w:numPr>
      <w:spacing w:after="60"/>
    </w:pPr>
    <w:rPr>
      <w:rFonts w:cs="Arial"/>
      <w:sz w:val="22"/>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paragraph" w:styleId="BalloonText">
    <w:name w:val="Balloon Text"/>
    <w:basedOn w:val="Normal"/>
    <w:link w:val="BalloonTextChar"/>
    <w:semiHidden/>
    <w:unhideWhenUsed/>
    <w:rsid w:val="0046067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60677"/>
    <w:rPr>
      <w:rFonts w:ascii="Segoe UI" w:hAnsi="Segoe UI" w:cs="Segoe UI"/>
      <w:sz w:val="18"/>
      <w:szCs w:val="18"/>
      <w:lang w:eastAsia="en-US"/>
    </w:rPr>
  </w:style>
  <w:style w:type="character" w:styleId="CommentReference">
    <w:name w:val="annotation reference"/>
    <w:basedOn w:val="DefaultParagraphFont"/>
    <w:rsid w:val="00460677"/>
    <w:rPr>
      <w:sz w:val="16"/>
      <w:szCs w:val="16"/>
    </w:rPr>
  </w:style>
  <w:style w:type="paragraph" w:styleId="CommentText">
    <w:name w:val="annotation text"/>
    <w:basedOn w:val="Normal"/>
    <w:link w:val="CommentTextChar"/>
    <w:rsid w:val="00460677"/>
    <w:rPr>
      <w:sz w:val="20"/>
      <w:szCs w:val="20"/>
    </w:rPr>
  </w:style>
  <w:style w:type="character" w:customStyle="1" w:styleId="CommentTextChar">
    <w:name w:val="Comment Text Char"/>
    <w:basedOn w:val="DefaultParagraphFont"/>
    <w:link w:val="CommentText"/>
    <w:rsid w:val="00460677"/>
    <w:rPr>
      <w:rFonts w:ascii="Gill Sans MT" w:hAnsi="Gill Sans MT"/>
      <w:lang w:eastAsia="en-US"/>
    </w:rPr>
  </w:style>
  <w:style w:type="paragraph" w:styleId="CommentSubject">
    <w:name w:val="annotation subject"/>
    <w:basedOn w:val="CommentText"/>
    <w:next w:val="CommentText"/>
    <w:link w:val="CommentSubjectChar"/>
    <w:semiHidden/>
    <w:unhideWhenUsed/>
    <w:rsid w:val="00460677"/>
    <w:rPr>
      <w:b/>
      <w:bCs/>
    </w:rPr>
  </w:style>
  <w:style w:type="character" w:customStyle="1" w:styleId="CommentSubjectChar">
    <w:name w:val="Comment Subject Char"/>
    <w:basedOn w:val="CommentTextChar"/>
    <w:link w:val="CommentSubject"/>
    <w:semiHidden/>
    <w:rsid w:val="00460677"/>
    <w:rPr>
      <w:rFonts w:ascii="Gill Sans MT" w:hAnsi="Gill Sans MT"/>
      <w:b/>
      <w:bCs/>
      <w:lang w:eastAsia="en-US"/>
    </w:rPr>
  </w:style>
  <w:style w:type="paragraph" w:styleId="Revision">
    <w:name w:val="Revision"/>
    <w:hidden/>
    <w:uiPriority w:val="99"/>
    <w:semiHidden/>
    <w:rsid w:val="00460677"/>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t.tas.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ustice.tas.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9825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11395</CharactersWithSpaces>
  <SharedDoc>false</SharedDoc>
  <HLinks>
    <vt:vector size="12" baseType="variant">
      <vt:variant>
        <vt:i4>7340150</vt:i4>
      </vt:variant>
      <vt:variant>
        <vt:i4>3</vt:i4>
      </vt:variant>
      <vt:variant>
        <vt:i4>0</vt:i4>
      </vt:variant>
      <vt:variant>
        <vt:i4>5</vt:i4>
      </vt:variant>
      <vt:variant>
        <vt:lpwstr>http://www.wst.tas.gov.au/</vt:lpwstr>
      </vt:variant>
      <vt:variant>
        <vt:lpwstr/>
      </vt:variant>
      <vt:variant>
        <vt:i4>6684775</vt:i4>
      </vt:variant>
      <vt:variant>
        <vt:i4>0</vt:i4>
      </vt:variant>
      <vt:variant>
        <vt:i4>0</vt:i4>
      </vt:variant>
      <vt:variant>
        <vt:i4>5</vt:i4>
      </vt:variant>
      <vt:variant>
        <vt:lpwstr>http://www.justice.tas.gov.au/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Dianne Slater</dc:creator>
  <cp:keywords/>
  <cp:lastModifiedBy>Heneghan, Cheryl</cp:lastModifiedBy>
  <cp:revision>2</cp:revision>
  <cp:lastPrinted>2020-06-01T06:28:00Z</cp:lastPrinted>
  <dcterms:created xsi:type="dcterms:W3CDTF">2021-04-27T03:21:00Z</dcterms:created>
  <dcterms:modified xsi:type="dcterms:W3CDTF">2021-04-27T03:21:00Z</dcterms:modified>
</cp:coreProperties>
</file>