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1460" w14:textId="2D2A092B" w:rsidR="003C79F5" w:rsidRPr="00E4229E" w:rsidRDefault="00E4229E" w:rsidP="0087234C">
      <w:pPr>
        <w:pStyle w:val="Subtitle"/>
        <w:spacing w:before="400"/>
        <w:rPr>
          <w:rFonts w:ascii="Arial" w:hAnsi="Arial" w:cs="Arial"/>
        </w:rPr>
      </w:pPr>
      <w:bookmarkStart w:id="0" w:name="_Toc160358825"/>
      <w:r w:rsidRPr="00E4229E">
        <w:rPr>
          <w:rFonts w:ascii="Arial" w:hAnsi="Arial" w:cs="Arial"/>
        </w:rPr>
        <w:t>Consumer, Building and Occupational Services</w:t>
      </w:r>
    </w:p>
    <w:p w14:paraId="6DC66DFB" w14:textId="07510D52" w:rsidR="0064198D" w:rsidRPr="00E4229E" w:rsidRDefault="00E4229E" w:rsidP="0064198D">
      <w:pPr>
        <w:pStyle w:val="Title"/>
        <w:spacing w:after="400"/>
        <w:contextualSpacing w:val="0"/>
        <w:rPr>
          <w:rFonts w:ascii="Arial" w:hAnsi="Arial" w:cs="Arial"/>
        </w:rPr>
      </w:pPr>
      <w:r>
        <w:t>Assistant Director, Building &amp; Plumbing Standards and Regulation</w:t>
      </w:r>
      <w:r w:rsidRPr="008F31D4">
        <w:t xml:space="preserve"> </w:t>
      </w:r>
      <w:r w:rsidR="0064198D" w:rsidRPr="00E4229E">
        <w:rPr>
          <w:rFonts w:ascii="Arial" w:hAnsi="Arial" w:cs="Arial"/>
        </w:rPr>
        <w:t>– Statement of Duties</w:t>
      </w:r>
    </w:p>
    <w:bookmarkEnd w:id="0"/>
    <w:p w14:paraId="70761E7B" w14:textId="77777777" w:rsidR="00FB2A98" w:rsidRPr="00E4229E" w:rsidRDefault="00D40F47" w:rsidP="00D40F47">
      <w:pPr>
        <w:pStyle w:val="Heading1"/>
        <w:rPr>
          <w:rFonts w:ascii="Arial" w:hAnsi="Arial" w:cs="Arial"/>
        </w:rPr>
      </w:pPr>
      <w:r w:rsidRPr="00E4229E">
        <w:rPr>
          <w:rFonts w:ascii="Arial" w:hAnsi="Arial" w:cs="Arial"/>
        </w:rPr>
        <w:t>Objective</w:t>
      </w:r>
    </w:p>
    <w:p w14:paraId="7E7C4EE3" w14:textId="1639BE27" w:rsidR="00D40F47" w:rsidRPr="00E4229E" w:rsidRDefault="00D40F47" w:rsidP="00D40F47">
      <w:pPr>
        <w:rPr>
          <w:rFonts w:ascii="Arial" w:hAnsi="Arial" w:cs="Arial"/>
          <w:b/>
        </w:rPr>
      </w:pPr>
      <w:r w:rsidRPr="00E4229E">
        <w:rPr>
          <w:rFonts w:ascii="Arial" w:hAnsi="Arial" w:cs="Arial"/>
        </w:rPr>
        <w:t>The position contributes</w:t>
      </w:r>
      <w:r w:rsidR="00E4229E" w:rsidRPr="00E4229E">
        <w:rPr>
          <w:rFonts w:ascii="Arial" w:hAnsi="Arial" w:cs="Arial"/>
        </w:rPr>
        <w:t xml:space="preserve"> to providing high-level authoritative specialist technical and policy advice to all stakeholders and the Department in relation to policy, legislation and technical standards pertaining to the building and plumbing industry.</w:t>
      </w:r>
    </w:p>
    <w:p w14:paraId="01EB6490" w14:textId="77777777" w:rsidR="00D40F47" w:rsidRPr="00E4229E" w:rsidRDefault="00D40F47" w:rsidP="00D40F47">
      <w:pPr>
        <w:pStyle w:val="Heading1"/>
        <w:rPr>
          <w:rFonts w:ascii="Arial" w:hAnsi="Arial" w:cs="Arial"/>
        </w:rPr>
      </w:pPr>
      <w:r w:rsidRPr="00E4229E">
        <w:rPr>
          <w:rFonts w:ascii="Arial" w:hAnsi="Arial" w:cs="Arial"/>
        </w:rPr>
        <w:t>Duties</w:t>
      </w:r>
    </w:p>
    <w:p w14:paraId="3945D6EE" w14:textId="77777777" w:rsidR="00E4229E" w:rsidRPr="00E4229E" w:rsidRDefault="00E4229E" w:rsidP="00E4229E">
      <w:pPr>
        <w:pStyle w:val="BulletL1"/>
        <w:contextualSpacing w:val="0"/>
        <w:rPr>
          <w:rFonts w:ascii="Arial" w:hAnsi="Arial" w:cs="Arial"/>
        </w:rPr>
      </w:pPr>
      <w:r w:rsidRPr="00E4229E">
        <w:rPr>
          <w:rFonts w:ascii="Arial" w:hAnsi="Arial" w:cs="Arial"/>
        </w:rPr>
        <w:t>Provide high level professional and specialist technical and policy advice to all stakeholders and the Department on building and plumbing regulatory requirements.</w:t>
      </w:r>
    </w:p>
    <w:p w14:paraId="4753496B" w14:textId="77777777" w:rsidR="00E4229E" w:rsidRPr="00E4229E" w:rsidRDefault="00E4229E" w:rsidP="00E4229E">
      <w:pPr>
        <w:pStyle w:val="BulletL1"/>
        <w:contextualSpacing w:val="0"/>
        <w:rPr>
          <w:rFonts w:ascii="Arial" w:hAnsi="Arial" w:cs="Arial"/>
        </w:rPr>
      </w:pPr>
      <w:r w:rsidRPr="00E4229E">
        <w:rPr>
          <w:rFonts w:ascii="Arial" w:hAnsi="Arial" w:cs="Arial"/>
        </w:rPr>
        <w:t>Represent the Department on the relevant State and National technical advisory bodies and committees.</w:t>
      </w:r>
    </w:p>
    <w:p w14:paraId="6134695B" w14:textId="77777777" w:rsidR="00E4229E" w:rsidRPr="00E4229E" w:rsidRDefault="00E4229E" w:rsidP="00E4229E">
      <w:pPr>
        <w:pStyle w:val="BulletL1"/>
        <w:contextualSpacing w:val="0"/>
        <w:rPr>
          <w:rFonts w:ascii="Arial" w:hAnsi="Arial" w:cs="Arial"/>
        </w:rPr>
      </w:pPr>
      <w:r w:rsidRPr="00E4229E">
        <w:rPr>
          <w:rFonts w:ascii="Arial" w:hAnsi="Arial" w:cs="Arial"/>
        </w:rPr>
        <w:t xml:space="preserve">Provide professional and specialist advice to stakeholders on a range of current and emerging issues relating to the building and construction industry. </w:t>
      </w:r>
    </w:p>
    <w:p w14:paraId="32BABFF2" w14:textId="77777777" w:rsidR="00E4229E" w:rsidRPr="00E4229E" w:rsidRDefault="00E4229E" w:rsidP="00E4229E">
      <w:pPr>
        <w:pStyle w:val="BulletL1"/>
        <w:contextualSpacing w:val="0"/>
        <w:rPr>
          <w:rFonts w:ascii="Arial" w:hAnsi="Arial" w:cs="Arial"/>
        </w:rPr>
      </w:pPr>
      <w:r w:rsidRPr="00E4229E">
        <w:rPr>
          <w:rFonts w:ascii="Arial" w:hAnsi="Arial" w:cs="Arial"/>
        </w:rPr>
        <w:t>Provide professional and specialist technical advice to internal compliance staff.</w:t>
      </w:r>
    </w:p>
    <w:p w14:paraId="4162725E" w14:textId="77777777" w:rsidR="00E4229E" w:rsidRPr="00E4229E" w:rsidRDefault="00E4229E" w:rsidP="00E4229E">
      <w:pPr>
        <w:pStyle w:val="BulletL1"/>
        <w:contextualSpacing w:val="0"/>
        <w:rPr>
          <w:rFonts w:ascii="Arial" w:hAnsi="Arial" w:cs="Arial"/>
        </w:rPr>
      </w:pPr>
      <w:r w:rsidRPr="00E4229E">
        <w:rPr>
          <w:rFonts w:ascii="Arial" w:hAnsi="Arial" w:cs="Arial"/>
        </w:rPr>
        <w:t>Provide advice and information necessary to assist stakeholders in the conduct of their statutory functions.</w:t>
      </w:r>
    </w:p>
    <w:p w14:paraId="78CA569D" w14:textId="77777777" w:rsidR="00E4229E" w:rsidRPr="00E4229E" w:rsidRDefault="00E4229E" w:rsidP="00E4229E">
      <w:pPr>
        <w:pStyle w:val="BulletL1"/>
        <w:contextualSpacing w:val="0"/>
        <w:rPr>
          <w:rFonts w:ascii="Arial" w:hAnsi="Arial" w:cs="Arial"/>
        </w:rPr>
      </w:pPr>
      <w:r w:rsidRPr="00E4229E">
        <w:rPr>
          <w:rFonts w:ascii="Arial" w:hAnsi="Arial" w:cs="Arial"/>
        </w:rPr>
        <w:t>Provide advice and guidance to community stakeholders through responses to enquiries and production of guidance material specific to needs of consumers.</w:t>
      </w:r>
    </w:p>
    <w:p w14:paraId="0569B668" w14:textId="77777777" w:rsidR="00E4229E" w:rsidRPr="00E4229E" w:rsidRDefault="00E4229E" w:rsidP="00E4229E">
      <w:pPr>
        <w:pStyle w:val="BulletL1"/>
        <w:contextualSpacing w:val="0"/>
        <w:rPr>
          <w:rFonts w:ascii="Arial" w:hAnsi="Arial" w:cs="Arial"/>
        </w:rPr>
      </w:pPr>
      <w:r w:rsidRPr="00E4229E">
        <w:rPr>
          <w:rFonts w:ascii="Arial" w:hAnsi="Arial" w:cs="Arial"/>
        </w:rPr>
        <w:t>Represent Tasmania on the necessary groups and committees of the Australian Building Codes Board in Tasmania.</w:t>
      </w:r>
    </w:p>
    <w:p w14:paraId="43876083" w14:textId="77777777" w:rsidR="00E4229E" w:rsidRPr="00E4229E" w:rsidRDefault="00E4229E" w:rsidP="00E4229E">
      <w:pPr>
        <w:pStyle w:val="BulletL1"/>
        <w:contextualSpacing w:val="0"/>
        <w:rPr>
          <w:rFonts w:ascii="Arial" w:hAnsi="Arial" w:cs="Arial"/>
        </w:rPr>
      </w:pPr>
      <w:r w:rsidRPr="00E4229E">
        <w:rPr>
          <w:rFonts w:ascii="Arial" w:hAnsi="Arial" w:cs="Arial"/>
        </w:rPr>
        <w:t>Manage the negotiation, consultation, updating and maintenance of the Tasmanian Appendix to the Building Code of Australia and appropriate reference material including changes to technical regulations initiated by other government Agencies or identified by review.</w:t>
      </w:r>
    </w:p>
    <w:p w14:paraId="3B8E6C4A" w14:textId="77777777" w:rsidR="00E4229E" w:rsidRPr="00E4229E" w:rsidRDefault="00E4229E" w:rsidP="00E4229E">
      <w:pPr>
        <w:pStyle w:val="BulletL1"/>
        <w:contextualSpacing w:val="0"/>
        <w:rPr>
          <w:rFonts w:ascii="Arial" w:hAnsi="Arial" w:cs="Arial"/>
        </w:rPr>
      </w:pPr>
      <w:r w:rsidRPr="00E4229E">
        <w:rPr>
          <w:rFonts w:ascii="Arial" w:hAnsi="Arial" w:cs="Arial"/>
        </w:rPr>
        <w:t>Assist in the planning, co-ordination and facilitation of the relevant legislation and technical education strategies for stakeholders.</w:t>
      </w:r>
    </w:p>
    <w:p w14:paraId="61DD1F88" w14:textId="77777777" w:rsidR="00E4229E" w:rsidRPr="00E4229E" w:rsidRDefault="00E4229E" w:rsidP="00E4229E">
      <w:pPr>
        <w:pStyle w:val="BulletL1"/>
        <w:contextualSpacing w:val="0"/>
        <w:rPr>
          <w:rFonts w:ascii="Arial" w:hAnsi="Arial" w:cs="Arial"/>
        </w:rPr>
      </w:pPr>
      <w:r w:rsidRPr="00E4229E">
        <w:rPr>
          <w:rFonts w:ascii="Arial" w:hAnsi="Arial" w:cs="Arial"/>
        </w:rPr>
        <w:t xml:space="preserve">Conduct educational, information and briefing sessions, focussed on ensuring adherence to the legislation, relevant </w:t>
      </w:r>
      <w:proofErr w:type="gramStart"/>
      <w:r w:rsidRPr="00E4229E">
        <w:rPr>
          <w:rFonts w:ascii="Arial" w:hAnsi="Arial" w:cs="Arial"/>
        </w:rPr>
        <w:t>codes</w:t>
      </w:r>
      <w:proofErr w:type="gramEnd"/>
      <w:r w:rsidRPr="00E4229E">
        <w:rPr>
          <w:rFonts w:ascii="Arial" w:hAnsi="Arial" w:cs="Arial"/>
        </w:rPr>
        <w:t xml:space="preserve"> and standards. Assist in preparing, </w:t>
      </w:r>
      <w:proofErr w:type="gramStart"/>
      <w:r w:rsidRPr="00E4229E">
        <w:rPr>
          <w:rFonts w:ascii="Arial" w:hAnsi="Arial" w:cs="Arial"/>
        </w:rPr>
        <w:t>editing</w:t>
      </w:r>
      <w:proofErr w:type="gramEnd"/>
      <w:r w:rsidRPr="00E4229E">
        <w:rPr>
          <w:rFonts w:ascii="Arial" w:hAnsi="Arial" w:cs="Arial"/>
        </w:rPr>
        <w:t xml:space="preserve"> and publishing advisory information.</w:t>
      </w:r>
    </w:p>
    <w:p w14:paraId="7B0F9DA3" w14:textId="77777777" w:rsidR="00E4229E" w:rsidRPr="00E4229E" w:rsidRDefault="00E4229E" w:rsidP="00E4229E">
      <w:pPr>
        <w:pStyle w:val="BulletL1"/>
        <w:contextualSpacing w:val="0"/>
        <w:rPr>
          <w:rFonts w:ascii="Arial" w:hAnsi="Arial" w:cs="Arial"/>
        </w:rPr>
      </w:pPr>
      <w:r w:rsidRPr="00E4229E">
        <w:rPr>
          <w:rFonts w:ascii="Arial" w:hAnsi="Arial" w:cs="Arial"/>
        </w:rPr>
        <w:lastRenderedPageBreak/>
        <w:t xml:space="preserve">Assist the Director, Technical Regulation in the assessment of applications for Building Service Provider occupational licences.  </w:t>
      </w:r>
    </w:p>
    <w:p w14:paraId="3E7D92CC" w14:textId="211F7260" w:rsidR="00D40F47" w:rsidRPr="00E4229E" w:rsidRDefault="00E4229E" w:rsidP="00E4229E">
      <w:pPr>
        <w:pStyle w:val="BulletL1"/>
        <w:contextualSpacing w:val="0"/>
        <w:rPr>
          <w:rFonts w:ascii="Arial" w:hAnsi="Arial" w:cs="Arial"/>
        </w:rPr>
      </w:pPr>
      <w:r w:rsidRPr="00E4229E">
        <w:rPr>
          <w:rFonts w:ascii="Arial" w:hAnsi="Arial" w:cs="Arial"/>
        </w:rPr>
        <w:t xml:space="preserve">Manage the physical, </w:t>
      </w:r>
      <w:proofErr w:type="gramStart"/>
      <w:r w:rsidRPr="00E4229E">
        <w:rPr>
          <w:rFonts w:ascii="Arial" w:hAnsi="Arial" w:cs="Arial"/>
        </w:rPr>
        <w:t>human</w:t>
      </w:r>
      <w:proofErr w:type="gramEnd"/>
      <w:r w:rsidRPr="00E4229E">
        <w:rPr>
          <w:rFonts w:ascii="Arial" w:hAnsi="Arial" w:cs="Arial"/>
        </w:rPr>
        <w:t xml:space="preserve"> and financial resources of the Building &amp; Plumbing Standards and Regulation Unit.</w:t>
      </w:r>
    </w:p>
    <w:p w14:paraId="72757593" w14:textId="77777777" w:rsidR="00EA6A91" w:rsidRPr="00E4229E" w:rsidRDefault="00D40F47" w:rsidP="00D40F47">
      <w:pPr>
        <w:pStyle w:val="Heading1"/>
        <w:rPr>
          <w:rFonts w:ascii="Arial" w:hAnsi="Arial" w:cs="Arial"/>
        </w:rPr>
      </w:pPr>
      <w:r w:rsidRPr="00E4229E">
        <w:rPr>
          <w:rFonts w:ascii="Arial" w:hAnsi="Arial" w:cs="Arial"/>
        </w:rPr>
        <w:t>Level of responsibility</w:t>
      </w:r>
    </w:p>
    <w:p w14:paraId="3AB770B0" w14:textId="77777777" w:rsidR="00E4229E" w:rsidRPr="00E4229E" w:rsidRDefault="00E4229E" w:rsidP="00E4229E">
      <w:pPr>
        <w:pStyle w:val="ListBullet"/>
        <w:spacing w:after="80" w:line="312" w:lineRule="auto"/>
        <w:rPr>
          <w:rFonts w:ascii="Arial" w:hAnsi="Arial"/>
          <w:szCs w:val="24"/>
        </w:rPr>
      </w:pPr>
      <w:r w:rsidRPr="00E4229E">
        <w:rPr>
          <w:rFonts w:ascii="Arial" w:hAnsi="Arial"/>
          <w:szCs w:val="24"/>
        </w:rPr>
        <w:t xml:space="preserve">The occupant is the principal professional specialist and the source of authoritative professional specialist advice on building regulatory and standards matters to stakeholders, </w:t>
      </w:r>
      <w:proofErr w:type="gramStart"/>
      <w:r w:rsidRPr="00E4229E">
        <w:rPr>
          <w:rFonts w:ascii="Arial" w:hAnsi="Arial"/>
          <w:szCs w:val="24"/>
        </w:rPr>
        <w:t>government</w:t>
      </w:r>
      <w:proofErr w:type="gramEnd"/>
      <w:r w:rsidRPr="00E4229E">
        <w:rPr>
          <w:rFonts w:ascii="Arial" w:hAnsi="Arial"/>
          <w:szCs w:val="24"/>
        </w:rPr>
        <w:t xml:space="preserve"> and the Department within Tasmania.</w:t>
      </w:r>
    </w:p>
    <w:p w14:paraId="2A6AD1F3" w14:textId="77777777" w:rsidR="00E4229E" w:rsidRPr="00E4229E" w:rsidRDefault="00E4229E" w:rsidP="00E4229E">
      <w:pPr>
        <w:pStyle w:val="ListBullet"/>
        <w:spacing w:after="80" w:line="312" w:lineRule="auto"/>
        <w:rPr>
          <w:rFonts w:ascii="Arial" w:hAnsi="Arial"/>
          <w:szCs w:val="24"/>
        </w:rPr>
      </w:pPr>
      <w:r w:rsidRPr="00E4229E">
        <w:rPr>
          <w:rFonts w:ascii="Arial" w:hAnsi="Arial"/>
          <w:szCs w:val="24"/>
        </w:rPr>
        <w:t>The occupant is required to exercise a high degree of independent professional judgement and discretion in the resolution of more novel, complex and critical problems and/or issues.</w:t>
      </w:r>
    </w:p>
    <w:p w14:paraId="5F053217" w14:textId="77777777" w:rsidR="00E4229E" w:rsidRPr="00E4229E" w:rsidRDefault="00E4229E" w:rsidP="00E4229E">
      <w:pPr>
        <w:pStyle w:val="ListBullet"/>
        <w:spacing w:after="80" w:line="312" w:lineRule="auto"/>
        <w:rPr>
          <w:rFonts w:ascii="Arial" w:hAnsi="Arial"/>
          <w:szCs w:val="24"/>
        </w:rPr>
      </w:pPr>
      <w:r w:rsidRPr="00E4229E">
        <w:rPr>
          <w:rFonts w:ascii="Arial" w:hAnsi="Arial"/>
          <w:szCs w:val="24"/>
        </w:rPr>
        <w:t>The occupant will be required to represent the Department on relevant peak technical bodies and advise government and the Department on complex policy and technical building issues.</w:t>
      </w:r>
    </w:p>
    <w:p w14:paraId="655F7BE3" w14:textId="77777777" w:rsidR="00E4229E" w:rsidRPr="00E4229E" w:rsidRDefault="00E4229E" w:rsidP="00E4229E">
      <w:pPr>
        <w:pStyle w:val="ListBullet"/>
        <w:spacing w:after="80" w:line="312" w:lineRule="auto"/>
        <w:rPr>
          <w:rFonts w:ascii="Arial" w:hAnsi="Arial"/>
          <w:szCs w:val="24"/>
        </w:rPr>
      </w:pPr>
      <w:r w:rsidRPr="00E4229E">
        <w:rPr>
          <w:rFonts w:ascii="Arial" w:hAnsi="Arial"/>
          <w:szCs w:val="24"/>
        </w:rPr>
        <w:t xml:space="preserve">Ensure efficient and effective management of work health, </w:t>
      </w:r>
      <w:proofErr w:type="gramStart"/>
      <w:r w:rsidRPr="00E4229E">
        <w:rPr>
          <w:rFonts w:ascii="Arial" w:hAnsi="Arial"/>
          <w:szCs w:val="24"/>
        </w:rPr>
        <w:t>wellbeing</w:t>
      </w:r>
      <w:proofErr w:type="gramEnd"/>
      <w:r w:rsidRPr="00E4229E">
        <w:rPr>
          <w:rFonts w:ascii="Arial" w:hAnsi="Arial"/>
          <w:szCs w:val="24"/>
        </w:rPr>
        <w:t xml:space="preserve"> and safety for the areas of responsibility in accordance with the WHS requirements in the WHS Act.  </w:t>
      </w:r>
    </w:p>
    <w:p w14:paraId="1B20A402" w14:textId="77777777" w:rsidR="00E4229E" w:rsidRPr="00E4229E" w:rsidRDefault="00E4229E" w:rsidP="00E4229E">
      <w:pPr>
        <w:pStyle w:val="ListBullet"/>
        <w:spacing w:after="80" w:line="312" w:lineRule="auto"/>
        <w:rPr>
          <w:rFonts w:ascii="Arial" w:hAnsi="Arial"/>
          <w:szCs w:val="24"/>
        </w:rPr>
      </w:pPr>
      <w:r w:rsidRPr="00E4229E">
        <w:rPr>
          <w:rFonts w:ascii="Arial" w:hAnsi="Arial"/>
          <w:szCs w:val="24"/>
        </w:rPr>
        <w:t xml:space="preserve">Provide adequate instruction, information, </w:t>
      </w:r>
      <w:proofErr w:type="gramStart"/>
      <w:r w:rsidRPr="00E4229E">
        <w:rPr>
          <w:rFonts w:ascii="Arial" w:hAnsi="Arial"/>
          <w:szCs w:val="24"/>
        </w:rPr>
        <w:t>supervision</w:t>
      </w:r>
      <w:proofErr w:type="gramEnd"/>
      <w:r w:rsidRPr="00E4229E">
        <w:rPr>
          <w:rFonts w:ascii="Arial" w:hAnsi="Arial"/>
          <w:szCs w:val="24"/>
        </w:rPr>
        <w:t xml:space="preserve"> and training for your team members, depending on the nature of their work.</w:t>
      </w:r>
    </w:p>
    <w:p w14:paraId="4E40B3D2" w14:textId="77777777" w:rsidR="00E4229E" w:rsidRPr="00E4229E" w:rsidRDefault="00E4229E" w:rsidP="00E4229E">
      <w:pPr>
        <w:pStyle w:val="Heading3"/>
        <w:numPr>
          <w:ilvl w:val="0"/>
          <w:numId w:val="20"/>
        </w:numPr>
        <w:spacing w:after="80" w:line="312" w:lineRule="auto"/>
        <w:rPr>
          <w:rFonts w:ascii="Arial" w:hAnsi="Arial" w:cs="Arial"/>
          <w:b w:val="0"/>
          <w:color w:val="auto"/>
          <w:sz w:val="24"/>
          <w:szCs w:val="24"/>
        </w:rPr>
      </w:pPr>
      <w:r w:rsidRPr="00E4229E">
        <w:rPr>
          <w:rFonts w:ascii="Arial" w:hAnsi="Arial" w:cs="Arial"/>
          <w:b w:val="0"/>
          <w:color w:val="auto"/>
          <w:sz w:val="24"/>
          <w:szCs w:val="24"/>
        </w:rPr>
        <w:t xml:space="preserve">Ensure efficient and effective management of work health, </w:t>
      </w:r>
      <w:proofErr w:type="gramStart"/>
      <w:r w:rsidRPr="00E4229E">
        <w:rPr>
          <w:rFonts w:ascii="Arial" w:hAnsi="Arial" w:cs="Arial"/>
          <w:b w:val="0"/>
          <w:color w:val="auto"/>
          <w:sz w:val="24"/>
          <w:szCs w:val="24"/>
        </w:rPr>
        <w:t>wellbeing</w:t>
      </w:r>
      <w:proofErr w:type="gramEnd"/>
      <w:r w:rsidRPr="00E4229E">
        <w:rPr>
          <w:rFonts w:ascii="Arial" w:hAnsi="Arial" w:cs="Arial"/>
          <w:b w:val="0"/>
          <w:color w:val="auto"/>
          <w:sz w:val="24"/>
          <w:szCs w:val="24"/>
        </w:rPr>
        <w:t xml:space="preserve"> and safety for the areas of responsibility in accordance with the WHS requirements in the WHS Act.</w:t>
      </w:r>
    </w:p>
    <w:p w14:paraId="442875A3" w14:textId="26E42EE8" w:rsidR="00E4229E" w:rsidRPr="00E4229E" w:rsidRDefault="00E4229E" w:rsidP="00E4229E">
      <w:pPr>
        <w:pStyle w:val="ListParagraph"/>
        <w:numPr>
          <w:ilvl w:val="0"/>
          <w:numId w:val="20"/>
        </w:numPr>
        <w:spacing w:after="80" w:line="312" w:lineRule="auto"/>
        <w:contextualSpacing w:val="0"/>
        <w:rPr>
          <w:rFonts w:ascii="Arial" w:hAnsi="Arial" w:cs="Arial"/>
        </w:rPr>
      </w:pPr>
      <w:r w:rsidRPr="00E4229E">
        <w:rPr>
          <w:rFonts w:ascii="Arial" w:hAnsi="Arial" w:cs="Arial"/>
          <w:sz w:val="24"/>
          <w:szCs w:val="24"/>
        </w:rPr>
        <w:t>Our values are we act with Integrity, Respect and Accountability and our workplaces are Inclusive and Collaborative. You are responsible for contributing to our values-based workplace culture, leading your team in a values-based manner, ensuring your team uphold the values and role modelling the values.</w:t>
      </w:r>
    </w:p>
    <w:p w14:paraId="3092FFCB" w14:textId="77777777" w:rsidR="000221A3" w:rsidRPr="00E4229E" w:rsidRDefault="000221A3" w:rsidP="000221A3">
      <w:pPr>
        <w:pStyle w:val="Heading1"/>
        <w:rPr>
          <w:rFonts w:ascii="Arial" w:hAnsi="Arial" w:cs="Arial"/>
        </w:rPr>
      </w:pPr>
      <w:r w:rsidRPr="00E4229E">
        <w:rPr>
          <w:rFonts w:ascii="Arial" w:hAnsi="Arial" w:cs="Arial"/>
        </w:rPr>
        <w:t xml:space="preserve">Direction and supervision </w:t>
      </w:r>
      <w:proofErr w:type="gramStart"/>
      <w:r w:rsidRPr="00E4229E">
        <w:rPr>
          <w:rFonts w:ascii="Arial" w:hAnsi="Arial" w:cs="Arial"/>
        </w:rPr>
        <w:t>received</w:t>
      </w:r>
      <w:proofErr w:type="gramEnd"/>
    </w:p>
    <w:p w14:paraId="126BEE23" w14:textId="16A58ED0" w:rsidR="000221A3" w:rsidRPr="00E4229E" w:rsidRDefault="00E4229E" w:rsidP="000221A3">
      <w:pPr>
        <w:pStyle w:val="BulletL1"/>
        <w:rPr>
          <w:rFonts w:ascii="Arial" w:hAnsi="Arial" w:cs="Arial"/>
        </w:rPr>
      </w:pPr>
      <w:r w:rsidRPr="00E4229E">
        <w:rPr>
          <w:rFonts w:ascii="Arial" w:hAnsi="Arial" w:cs="Arial"/>
        </w:rPr>
        <w:t>The occupant of the position operates in accordance with Branch, Division and Departmental objectives under broad policy control and with limited direction from the Director, Technical Regulation.</w:t>
      </w:r>
    </w:p>
    <w:p w14:paraId="519B6199" w14:textId="77777777" w:rsidR="000221A3" w:rsidRPr="00E4229E" w:rsidRDefault="000221A3" w:rsidP="000221A3">
      <w:pPr>
        <w:pStyle w:val="Heading1"/>
        <w:rPr>
          <w:rFonts w:ascii="Arial" w:hAnsi="Arial" w:cs="Arial"/>
        </w:rPr>
      </w:pPr>
      <w:r w:rsidRPr="00E4229E">
        <w:rPr>
          <w:rFonts w:ascii="Arial" w:hAnsi="Arial" w:cs="Arial"/>
        </w:rPr>
        <w:lastRenderedPageBreak/>
        <w:t>Selection criteria</w:t>
      </w:r>
    </w:p>
    <w:p w14:paraId="763CABE0" w14:textId="77777777" w:rsidR="00E4229E" w:rsidRPr="00E4229E" w:rsidRDefault="00E4229E" w:rsidP="00E4229E">
      <w:pPr>
        <w:pStyle w:val="ListNumber"/>
        <w:rPr>
          <w:rFonts w:ascii="Arial" w:hAnsi="Arial" w:cs="Arial"/>
        </w:rPr>
      </w:pPr>
      <w:r w:rsidRPr="00E4229E">
        <w:rPr>
          <w:rFonts w:ascii="Arial" w:hAnsi="Arial" w:cs="Arial"/>
        </w:rPr>
        <w:t xml:space="preserve">Comprehensive knowledge of, and proven experience with, building, building systems, products and materials and associated legislation and standards. </w:t>
      </w:r>
    </w:p>
    <w:p w14:paraId="109AB77A" w14:textId="77777777" w:rsidR="00E4229E" w:rsidRPr="00E4229E" w:rsidRDefault="00E4229E" w:rsidP="00E4229E">
      <w:pPr>
        <w:pStyle w:val="ListNumber"/>
        <w:rPr>
          <w:rFonts w:ascii="Arial" w:hAnsi="Arial" w:cs="Arial"/>
        </w:rPr>
      </w:pPr>
      <w:r w:rsidRPr="00E4229E">
        <w:rPr>
          <w:rFonts w:ascii="Arial" w:hAnsi="Arial" w:cs="Arial"/>
        </w:rPr>
        <w:t xml:space="preserve">Proven experience or the ability to quickly gain knowledge in the development, implementation and application of building regulatory systems and associated technical standards, and the proven ability to develop and implement policies, procedure and </w:t>
      </w:r>
      <w:proofErr w:type="gramStart"/>
      <w:r w:rsidRPr="00E4229E">
        <w:rPr>
          <w:rFonts w:ascii="Arial" w:hAnsi="Arial" w:cs="Arial"/>
        </w:rPr>
        <w:t>systems</w:t>
      </w:r>
      <w:proofErr w:type="gramEnd"/>
    </w:p>
    <w:p w14:paraId="1A7D7A8C" w14:textId="77777777" w:rsidR="00E4229E" w:rsidRPr="00E4229E" w:rsidRDefault="00E4229E" w:rsidP="00E4229E">
      <w:pPr>
        <w:pStyle w:val="ListNumber"/>
        <w:rPr>
          <w:rFonts w:ascii="Arial" w:hAnsi="Arial" w:cs="Arial"/>
        </w:rPr>
      </w:pPr>
      <w:r w:rsidRPr="00E4229E">
        <w:rPr>
          <w:rFonts w:ascii="Arial" w:hAnsi="Arial" w:cs="Arial"/>
        </w:rPr>
        <w:t>Proven high-level specialist experience in effectively resolving complex technical building issues through the application of analytical, investigative, and problem-solving techniques, supported by proven experience as a building professional in the building industry.</w:t>
      </w:r>
    </w:p>
    <w:p w14:paraId="5AD2FB50" w14:textId="77777777" w:rsidR="00E4229E" w:rsidRPr="00E4229E" w:rsidRDefault="00E4229E" w:rsidP="00E4229E">
      <w:pPr>
        <w:pStyle w:val="ListNumber"/>
        <w:rPr>
          <w:rFonts w:ascii="Arial" w:hAnsi="Arial" w:cs="Arial"/>
        </w:rPr>
      </w:pPr>
      <w:r w:rsidRPr="00E4229E">
        <w:rPr>
          <w:rFonts w:ascii="Arial" w:hAnsi="Arial" w:cs="Arial"/>
        </w:rPr>
        <w:t>High-level oral communication and interpersonal skills with the proven ability to provide concise advice on building issues, and the proven ability to make public presentations and present lecture material at forums as required.</w:t>
      </w:r>
    </w:p>
    <w:p w14:paraId="6B001D94" w14:textId="77777777" w:rsidR="00E4229E" w:rsidRPr="00E4229E" w:rsidRDefault="00E4229E" w:rsidP="00E4229E">
      <w:pPr>
        <w:pStyle w:val="ListNumber"/>
        <w:rPr>
          <w:rFonts w:ascii="Arial" w:hAnsi="Arial" w:cs="Arial"/>
        </w:rPr>
      </w:pPr>
      <w:r w:rsidRPr="00E4229E">
        <w:rPr>
          <w:rFonts w:ascii="Arial" w:hAnsi="Arial" w:cs="Arial"/>
        </w:rPr>
        <w:t>High level written communication skills with the proven ability to prepare and produce reports, correspondence and publications that are clear, accurate and concise.</w:t>
      </w:r>
    </w:p>
    <w:p w14:paraId="7E7B97B8" w14:textId="77777777" w:rsidR="00E4229E" w:rsidRPr="00E4229E" w:rsidRDefault="00E4229E" w:rsidP="00E4229E">
      <w:pPr>
        <w:pStyle w:val="ListNumber"/>
        <w:rPr>
          <w:rFonts w:ascii="Arial" w:hAnsi="Arial" w:cs="Arial"/>
        </w:rPr>
      </w:pPr>
      <w:r w:rsidRPr="00E4229E">
        <w:rPr>
          <w:rFonts w:ascii="Arial" w:hAnsi="Arial" w:cs="Arial"/>
        </w:rPr>
        <w:t>Well-developed organisational skills including the proven ability to set priorities, meet deadlines and manage variable workloads.</w:t>
      </w:r>
    </w:p>
    <w:p w14:paraId="66786FD8" w14:textId="77777777" w:rsidR="00E4229E" w:rsidRPr="00E4229E" w:rsidRDefault="00E4229E" w:rsidP="00E4229E">
      <w:pPr>
        <w:pStyle w:val="ListNumber"/>
        <w:rPr>
          <w:rFonts w:ascii="Arial" w:hAnsi="Arial" w:cs="Arial"/>
        </w:rPr>
      </w:pPr>
      <w:r w:rsidRPr="00E4229E">
        <w:rPr>
          <w:rFonts w:ascii="Arial" w:hAnsi="Arial" w:cs="Arial"/>
        </w:rPr>
        <w:t>Demonstrated leadership and management skills, including demonstrated capacity to manage specialist technical staff, and to manage individual staff performance and to promote a participative and cooperative work environment.</w:t>
      </w:r>
    </w:p>
    <w:p w14:paraId="50FBFCDA" w14:textId="35679101" w:rsidR="000221A3" w:rsidRPr="00E4229E" w:rsidRDefault="00E4229E" w:rsidP="00E4229E">
      <w:pPr>
        <w:pStyle w:val="ListNumber"/>
        <w:rPr>
          <w:rFonts w:ascii="Arial" w:hAnsi="Arial" w:cs="Arial"/>
        </w:rPr>
      </w:pPr>
      <w:r w:rsidRPr="00E4229E">
        <w:rPr>
          <w:rFonts w:ascii="Arial" w:hAnsi="Arial" w:cs="Arial"/>
        </w:rPr>
        <w:t>Be able to understand and apply the requirements of the relevant WHS legislation in your areas of responsibility.</w:t>
      </w:r>
    </w:p>
    <w:p w14:paraId="36760D3B" w14:textId="77777777" w:rsidR="000221A3" w:rsidRPr="00E4229E" w:rsidRDefault="000221A3" w:rsidP="000221A3">
      <w:pPr>
        <w:pStyle w:val="Heading1"/>
        <w:rPr>
          <w:rFonts w:ascii="Arial" w:hAnsi="Arial" w:cs="Arial"/>
        </w:rPr>
      </w:pPr>
      <w:r w:rsidRPr="00E4229E">
        <w:rPr>
          <w:rFonts w:ascii="Arial" w:hAnsi="Arial" w:cs="Arial"/>
        </w:rPr>
        <w:t>Essential requirements</w:t>
      </w:r>
    </w:p>
    <w:p w14:paraId="69E66699" w14:textId="0D194CED" w:rsidR="000221A3" w:rsidRPr="00E4229E" w:rsidRDefault="008B5CAF" w:rsidP="00E4229E">
      <w:pPr>
        <w:pStyle w:val="BulletL1"/>
        <w:rPr>
          <w:rFonts w:ascii="Arial" w:hAnsi="Arial" w:cs="Arial"/>
        </w:rPr>
      </w:pPr>
      <w:r>
        <w:rPr>
          <w:rFonts w:ascii="Arial" w:hAnsi="Arial" w:cs="Arial"/>
        </w:rPr>
        <w:t>Nil</w:t>
      </w:r>
    </w:p>
    <w:p w14:paraId="46FAF770" w14:textId="77777777" w:rsidR="000221A3" w:rsidRPr="00E4229E" w:rsidRDefault="000221A3" w:rsidP="000221A3">
      <w:pPr>
        <w:pStyle w:val="Heading1"/>
        <w:rPr>
          <w:rFonts w:ascii="Arial" w:hAnsi="Arial" w:cs="Arial"/>
        </w:rPr>
      </w:pPr>
      <w:r w:rsidRPr="00E4229E">
        <w:rPr>
          <w:rFonts w:ascii="Arial" w:hAnsi="Arial" w:cs="Arial"/>
        </w:rPr>
        <w:t>Desirable requirements</w:t>
      </w:r>
    </w:p>
    <w:p w14:paraId="6033EA31" w14:textId="77777777" w:rsidR="008B5CAF" w:rsidRPr="00E4229E" w:rsidRDefault="008B5CAF" w:rsidP="008B5CAF">
      <w:pPr>
        <w:pStyle w:val="BulletL1"/>
        <w:rPr>
          <w:rFonts w:ascii="Arial" w:hAnsi="Arial" w:cs="Arial"/>
        </w:rPr>
      </w:pPr>
      <w:r w:rsidRPr="00E4229E">
        <w:rPr>
          <w:rFonts w:ascii="Arial" w:hAnsi="Arial" w:cs="Arial"/>
        </w:rPr>
        <w:t xml:space="preserve">Qualifications and experience in building surveying, architecture, or engineering.   </w:t>
      </w:r>
    </w:p>
    <w:p w14:paraId="42AC3091" w14:textId="77777777" w:rsidR="008B5CAF" w:rsidRPr="00E4229E" w:rsidRDefault="008B5CAF" w:rsidP="008B5CAF">
      <w:pPr>
        <w:pStyle w:val="BulletL1"/>
        <w:rPr>
          <w:rFonts w:ascii="Arial" w:hAnsi="Arial" w:cs="Arial"/>
        </w:rPr>
      </w:pPr>
      <w:r w:rsidRPr="00E4229E">
        <w:rPr>
          <w:rFonts w:ascii="Arial" w:hAnsi="Arial" w:cs="Arial"/>
        </w:rPr>
        <w:t>Registration to work with vulnerable people card. (or the ability to obtain such).</w:t>
      </w:r>
    </w:p>
    <w:p w14:paraId="24F36732" w14:textId="62D0118D" w:rsidR="000221A3" w:rsidRPr="00E4229E" w:rsidRDefault="008B5CAF" w:rsidP="008B5CAF">
      <w:pPr>
        <w:pStyle w:val="BulletL1"/>
        <w:rPr>
          <w:rFonts w:ascii="Arial" w:hAnsi="Arial" w:cs="Arial"/>
        </w:rPr>
      </w:pPr>
      <w:proofErr w:type="gramStart"/>
      <w:r w:rsidRPr="00E4229E">
        <w:rPr>
          <w:rFonts w:ascii="Arial" w:hAnsi="Arial" w:cs="Arial"/>
        </w:rPr>
        <w:t>Drivers</w:t>
      </w:r>
      <w:proofErr w:type="gramEnd"/>
      <w:r w:rsidRPr="00E4229E">
        <w:rPr>
          <w:rFonts w:ascii="Arial" w:hAnsi="Arial" w:cs="Arial"/>
        </w:rPr>
        <w:t xml:space="preserve"> licence.</w:t>
      </w:r>
    </w:p>
    <w:p w14:paraId="28CAA509" w14:textId="4066A892" w:rsidR="000221A3" w:rsidRPr="00E4229E" w:rsidRDefault="000221A3" w:rsidP="000221A3">
      <w:pPr>
        <w:pStyle w:val="Heading1"/>
        <w:rPr>
          <w:rFonts w:ascii="Arial" w:hAnsi="Arial" w:cs="Arial"/>
        </w:rPr>
      </w:pPr>
      <w:r w:rsidRPr="00E4229E">
        <w:rPr>
          <w:rFonts w:ascii="Arial" w:hAnsi="Arial" w:cs="Arial"/>
        </w:rPr>
        <w:lastRenderedPageBreak/>
        <w:t>Pre-employment Checks</w:t>
      </w:r>
    </w:p>
    <w:p w14:paraId="012A02C5" w14:textId="77777777" w:rsidR="00DF363A" w:rsidRPr="00E4229E" w:rsidRDefault="00DF363A" w:rsidP="00DF363A">
      <w:pPr>
        <w:rPr>
          <w:rFonts w:ascii="Arial" w:hAnsi="Arial" w:cs="Arial"/>
        </w:rPr>
      </w:pPr>
      <w:r w:rsidRPr="00E4229E">
        <w:rPr>
          <w:rFonts w:ascii="Arial" w:hAnsi="Arial" w:cs="Arial"/>
        </w:rPr>
        <w:t xml:space="preserve">The Head of State Service has determined that the person nominated for this vacancy is to satisfy a pre-employment check before taking up the appointment, </w:t>
      </w:r>
      <w:proofErr w:type="gramStart"/>
      <w:r w:rsidRPr="00E4229E">
        <w:rPr>
          <w:rFonts w:ascii="Arial" w:hAnsi="Arial" w:cs="Arial"/>
        </w:rPr>
        <w:t>promotion</w:t>
      </w:r>
      <w:proofErr w:type="gramEnd"/>
      <w:r w:rsidRPr="00E4229E">
        <w:rPr>
          <w:rFonts w:ascii="Arial" w:hAnsi="Arial" w:cs="Arial"/>
        </w:rPr>
        <w:t xml:space="preserve"> or transfer. </w:t>
      </w:r>
    </w:p>
    <w:p w14:paraId="43B8F165" w14:textId="77777777" w:rsidR="00DF363A" w:rsidRPr="00E4229E" w:rsidRDefault="00DF363A" w:rsidP="00DF363A">
      <w:pPr>
        <w:rPr>
          <w:rFonts w:ascii="Arial" w:hAnsi="Arial" w:cs="Arial"/>
        </w:rPr>
      </w:pPr>
      <w:r w:rsidRPr="00E4229E">
        <w:rPr>
          <w:rFonts w:ascii="Arial" w:hAnsi="Arial" w:cs="Arial"/>
        </w:rPr>
        <w:t>The following checks are to be conducted:</w:t>
      </w:r>
    </w:p>
    <w:p w14:paraId="29118184" w14:textId="77777777" w:rsidR="00DF363A" w:rsidRPr="00E4229E" w:rsidRDefault="00DF363A" w:rsidP="00DF363A">
      <w:pPr>
        <w:pStyle w:val="ListNumber"/>
        <w:numPr>
          <w:ilvl w:val="0"/>
          <w:numId w:val="18"/>
        </w:numPr>
        <w:ind w:left="426" w:hanging="426"/>
        <w:rPr>
          <w:rFonts w:ascii="Arial" w:hAnsi="Arial" w:cs="Arial"/>
        </w:rPr>
      </w:pPr>
      <w:r w:rsidRPr="00E4229E">
        <w:rPr>
          <w:rFonts w:ascii="Arial" w:hAnsi="Arial" w:cs="Arial"/>
        </w:rPr>
        <w:t>Pre-employment checks</w:t>
      </w:r>
    </w:p>
    <w:p w14:paraId="1FA27162"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Arson and fire setting</w:t>
      </w:r>
    </w:p>
    <w:p w14:paraId="35E47A91"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Violent crimes and crimes against the person</w:t>
      </w:r>
    </w:p>
    <w:p w14:paraId="193EEED6"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Sex-related offences</w:t>
      </w:r>
    </w:p>
    <w:p w14:paraId="1E5D3946"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Drug and alcohol related offences</w:t>
      </w:r>
    </w:p>
    <w:p w14:paraId="796AE860"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 xml:space="preserve">Crimes involving </w:t>
      </w:r>
      <w:proofErr w:type="gramStart"/>
      <w:r w:rsidRPr="00E4229E">
        <w:rPr>
          <w:rFonts w:ascii="Arial" w:hAnsi="Arial" w:cs="Arial"/>
        </w:rPr>
        <w:t>dishonesty</w:t>
      </w:r>
      <w:proofErr w:type="gramEnd"/>
    </w:p>
    <w:p w14:paraId="1561A2B0"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 xml:space="preserve">Crimes involving </w:t>
      </w:r>
      <w:proofErr w:type="gramStart"/>
      <w:r w:rsidRPr="00E4229E">
        <w:rPr>
          <w:rFonts w:ascii="Arial" w:hAnsi="Arial" w:cs="Arial"/>
        </w:rPr>
        <w:t>deception</w:t>
      </w:r>
      <w:proofErr w:type="gramEnd"/>
    </w:p>
    <w:p w14:paraId="5DAAFE7F"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Making false declarations</w:t>
      </w:r>
    </w:p>
    <w:p w14:paraId="03F22FB3"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Malicious damage and destruction to property</w:t>
      </w:r>
    </w:p>
    <w:p w14:paraId="7D1C862B"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Serious traffic offences</w:t>
      </w:r>
    </w:p>
    <w:p w14:paraId="4A541CE7"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Crimes against public order or relating to the Administration of Law and Justice</w:t>
      </w:r>
    </w:p>
    <w:p w14:paraId="17E5985F" w14:textId="77777777" w:rsidR="00DF363A" w:rsidRPr="00E4229E" w:rsidRDefault="00DF363A" w:rsidP="0087234C">
      <w:pPr>
        <w:pStyle w:val="BulletL1"/>
        <w:spacing w:after="0" w:line="288" w:lineRule="auto"/>
        <w:ind w:left="709"/>
        <w:contextualSpacing w:val="0"/>
        <w:rPr>
          <w:rFonts w:ascii="Arial" w:hAnsi="Arial" w:cs="Arial"/>
        </w:rPr>
      </w:pPr>
      <w:r w:rsidRPr="00E4229E">
        <w:rPr>
          <w:rFonts w:ascii="Arial" w:hAnsi="Arial" w:cs="Arial"/>
        </w:rPr>
        <w:t>Crimes against Executive or the Legislative Power</w:t>
      </w:r>
    </w:p>
    <w:p w14:paraId="5E132ECE" w14:textId="77777777" w:rsidR="00DF363A" w:rsidRPr="00E4229E" w:rsidRDefault="00DF363A" w:rsidP="00DF363A">
      <w:pPr>
        <w:pStyle w:val="BulletL1"/>
        <w:ind w:left="709"/>
        <w:rPr>
          <w:rFonts w:ascii="Arial" w:hAnsi="Arial" w:cs="Arial"/>
        </w:rPr>
      </w:pPr>
      <w:r w:rsidRPr="00E4229E">
        <w:rPr>
          <w:rFonts w:ascii="Arial" w:hAnsi="Arial" w:cs="Arial"/>
        </w:rPr>
        <w:t xml:space="preserve">Crimes involving </w:t>
      </w:r>
      <w:proofErr w:type="gramStart"/>
      <w:r w:rsidRPr="00E4229E">
        <w:rPr>
          <w:rFonts w:ascii="Arial" w:hAnsi="Arial" w:cs="Arial"/>
        </w:rPr>
        <w:t>Conspiracy</w:t>
      </w:r>
      <w:proofErr w:type="gramEnd"/>
    </w:p>
    <w:p w14:paraId="20F77AD1" w14:textId="77777777" w:rsidR="00DF363A" w:rsidRPr="00E4229E" w:rsidRDefault="00DF363A" w:rsidP="00DF363A">
      <w:pPr>
        <w:pStyle w:val="ListNumber"/>
        <w:rPr>
          <w:rFonts w:ascii="Arial" w:hAnsi="Arial" w:cs="Arial"/>
        </w:rPr>
      </w:pPr>
      <w:r w:rsidRPr="00E4229E">
        <w:rPr>
          <w:rFonts w:ascii="Arial" w:hAnsi="Arial" w:cs="Arial"/>
        </w:rPr>
        <w:t>Disciplinary action in previous employment.</w:t>
      </w:r>
    </w:p>
    <w:p w14:paraId="512F5F91" w14:textId="77777777" w:rsidR="000221A3" w:rsidRPr="00E4229E" w:rsidRDefault="00DF363A" w:rsidP="00DF363A">
      <w:pPr>
        <w:pStyle w:val="ListNumber"/>
        <w:rPr>
          <w:rFonts w:ascii="Arial" w:hAnsi="Arial" w:cs="Arial"/>
        </w:rPr>
      </w:pPr>
      <w:r w:rsidRPr="00E4229E">
        <w:rPr>
          <w:rFonts w:ascii="Arial" w:hAnsi="Arial" w:cs="Arial"/>
        </w:rPr>
        <w:t>Identification check.</w:t>
      </w:r>
    </w:p>
    <w:p w14:paraId="21722DFF" w14:textId="77777777" w:rsidR="00F37264" w:rsidRPr="00E4229E" w:rsidRDefault="00F37264" w:rsidP="00F37264">
      <w:pPr>
        <w:pStyle w:val="Heading1"/>
        <w:rPr>
          <w:rFonts w:ascii="Arial" w:hAnsi="Arial" w:cs="Arial"/>
        </w:rPr>
      </w:pPr>
      <w:r w:rsidRPr="00E4229E">
        <w:rPr>
          <w:rFonts w:ascii="Arial" w:hAnsi="Arial" w:cs="Arial"/>
        </w:rP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E4229E" w14:paraId="0F00CE03" w14:textId="77777777" w:rsidTr="00D06F8C">
        <w:trPr>
          <w:trHeight w:val="340"/>
          <w:tblHeader/>
        </w:trPr>
        <w:tc>
          <w:tcPr>
            <w:tcW w:w="3240" w:type="dxa"/>
            <w:shd w:val="clear" w:color="auto" w:fill="F2F2F2" w:themeFill="background1" w:themeFillShade="F2"/>
            <w:vAlign w:val="center"/>
          </w:tcPr>
          <w:p w14:paraId="345B4DD4" w14:textId="77777777" w:rsidR="00F37264" w:rsidRPr="00E4229E" w:rsidRDefault="00F37264" w:rsidP="00F37264">
            <w:pPr>
              <w:pStyle w:val="Tableheadingblack"/>
              <w:rPr>
                <w:rFonts w:ascii="Arial" w:hAnsi="Arial" w:cs="Arial"/>
              </w:rPr>
            </w:pPr>
            <w:r w:rsidRPr="00E4229E">
              <w:rPr>
                <w:rFonts w:ascii="Arial" w:hAnsi="Arial" w:cs="Arial"/>
              </w:rPr>
              <w:t>Title</w:t>
            </w:r>
          </w:p>
        </w:tc>
        <w:tc>
          <w:tcPr>
            <w:tcW w:w="5830" w:type="dxa"/>
            <w:shd w:val="clear" w:color="auto" w:fill="F2F2F2" w:themeFill="background1" w:themeFillShade="F2"/>
            <w:vAlign w:val="center"/>
          </w:tcPr>
          <w:p w14:paraId="2DC58EB7" w14:textId="07D45538" w:rsidR="00F37264" w:rsidRPr="00E4229E" w:rsidRDefault="00E4229E" w:rsidP="00F37264">
            <w:pPr>
              <w:pStyle w:val="Tablecopy"/>
              <w:rPr>
                <w:rFonts w:ascii="Arial" w:hAnsi="Arial" w:cs="Arial"/>
              </w:rPr>
            </w:pPr>
            <w:bookmarkStart w:id="1" w:name="_Hlk106702779"/>
            <w:r w:rsidRPr="00E4229E">
              <w:rPr>
                <w:rFonts w:ascii="Arial" w:hAnsi="Arial" w:cs="Arial"/>
              </w:rPr>
              <w:t>Assistant Director, Building and Plumbing Standards and Regulation</w:t>
            </w:r>
            <w:bookmarkEnd w:id="1"/>
          </w:p>
        </w:tc>
      </w:tr>
      <w:tr w:rsidR="00F37264" w:rsidRPr="00E4229E" w14:paraId="46F7C279" w14:textId="77777777" w:rsidTr="00D06F8C">
        <w:trPr>
          <w:trHeight w:val="340"/>
          <w:tblHeader/>
        </w:trPr>
        <w:tc>
          <w:tcPr>
            <w:tcW w:w="3240" w:type="dxa"/>
            <w:shd w:val="clear" w:color="auto" w:fill="F2F2F2" w:themeFill="background1" w:themeFillShade="F2"/>
            <w:vAlign w:val="center"/>
          </w:tcPr>
          <w:p w14:paraId="2CEC002A" w14:textId="77777777" w:rsidR="00F37264" w:rsidRPr="00E4229E" w:rsidRDefault="00F37264" w:rsidP="00F37264">
            <w:pPr>
              <w:pStyle w:val="Tableheadingblack"/>
              <w:rPr>
                <w:rFonts w:ascii="Arial" w:hAnsi="Arial" w:cs="Arial"/>
              </w:rPr>
            </w:pPr>
            <w:r w:rsidRPr="00E4229E">
              <w:rPr>
                <w:rFonts w:ascii="Arial" w:hAnsi="Arial" w:cs="Arial"/>
              </w:rPr>
              <w:t>Number</w:t>
            </w:r>
          </w:p>
        </w:tc>
        <w:tc>
          <w:tcPr>
            <w:tcW w:w="5830" w:type="dxa"/>
            <w:shd w:val="clear" w:color="auto" w:fill="F2F2F2" w:themeFill="background1" w:themeFillShade="F2"/>
            <w:vAlign w:val="center"/>
          </w:tcPr>
          <w:p w14:paraId="74CF1223" w14:textId="2F6D403D" w:rsidR="00F37264" w:rsidRPr="00E4229E" w:rsidRDefault="00E4229E" w:rsidP="00F37264">
            <w:pPr>
              <w:pStyle w:val="Tablecopy"/>
              <w:rPr>
                <w:rFonts w:ascii="Arial" w:hAnsi="Arial" w:cs="Arial"/>
              </w:rPr>
            </w:pPr>
            <w:r w:rsidRPr="00E4229E">
              <w:rPr>
                <w:rFonts w:ascii="Arial" w:hAnsi="Arial" w:cs="Arial"/>
              </w:rPr>
              <w:t>355756a</w:t>
            </w:r>
          </w:p>
        </w:tc>
      </w:tr>
      <w:tr w:rsidR="00F37264" w:rsidRPr="00E4229E" w14:paraId="3E5038A5" w14:textId="77777777" w:rsidTr="00D06F8C">
        <w:trPr>
          <w:trHeight w:val="340"/>
          <w:tblHeader/>
        </w:trPr>
        <w:tc>
          <w:tcPr>
            <w:tcW w:w="3240" w:type="dxa"/>
            <w:shd w:val="clear" w:color="auto" w:fill="F2F2F2" w:themeFill="background1" w:themeFillShade="F2"/>
            <w:vAlign w:val="center"/>
          </w:tcPr>
          <w:p w14:paraId="29EC7C3E" w14:textId="77777777" w:rsidR="00F37264" w:rsidRPr="00E4229E" w:rsidRDefault="00F37264" w:rsidP="00F37264">
            <w:pPr>
              <w:pStyle w:val="Tableheadingblack"/>
              <w:rPr>
                <w:rFonts w:ascii="Arial" w:hAnsi="Arial" w:cs="Arial"/>
              </w:rPr>
            </w:pPr>
            <w:r w:rsidRPr="00E4229E">
              <w:rPr>
                <w:rFonts w:ascii="Arial" w:hAnsi="Arial" w:cs="Arial"/>
              </w:rPr>
              <w:t>Award</w:t>
            </w:r>
          </w:p>
        </w:tc>
        <w:tc>
          <w:tcPr>
            <w:tcW w:w="5830" w:type="dxa"/>
            <w:shd w:val="clear" w:color="auto" w:fill="F2F2F2" w:themeFill="background1" w:themeFillShade="F2"/>
            <w:vAlign w:val="center"/>
          </w:tcPr>
          <w:p w14:paraId="706719A8" w14:textId="3CE9A031" w:rsidR="00F37264" w:rsidRPr="00E4229E" w:rsidRDefault="00E4229E" w:rsidP="00F37264">
            <w:pPr>
              <w:pStyle w:val="Tablecopy"/>
              <w:rPr>
                <w:rFonts w:ascii="Arial" w:hAnsi="Arial" w:cs="Arial"/>
              </w:rPr>
            </w:pPr>
            <w:r w:rsidRPr="00E4229E">
              <w:rPr>
                <w:rFonts w:ascii="Arial" w:hAnsi="Arial" w:cs="Arial"/>
              </w:rPr>
              <w:t>Tasmanian State Service Award</w:t>
            </w:r>
          </w:p>
        </w:tc>
      </w:tr>
      <w:tr w:rsidR="00F37264" w:rsidRPr="00E4229E" w14:paraId="710FB6B5" w14:textId="77777777" w:rsidTr="00D06F8C">
        <w:trPr>
          <w:trHeight w:val="340"/>
          <w:tblHeader/>
        </w:trPr>
        <w:tc>
          <w:tcPr>
            <w:tcW w:w="3240" w:type="dxa"/>
            <w:shd w:val="clear" w:color="auto" w:fill="F2F2F2" w:themeFill="background1" w:themeFillShade="F2"/>
            <w:vAlign w:val="center"/>
          </w:tcPr>
          <w:p w14:paraId="2699DA19" w14:textId="77777777" w:rsidR="00F37264" w:rsidRPr="00E4229E" w:rsidRDefault="00F37264" w:rsidP="00F37264">
            <w:pPr>
              <w:pStyle w:val="Tableheadingblack"/>
              <w:rPr>
                <w:rFonts w:ascii="Arial" w:hAnsi="Arial" w:cs="Arial"/>
              </w:rPr>
            </w:pPr>
            <w:r w:rsidRPr="00E4229E">
              <w:rPr>
                <w:rFonts w:ascii="Arial" w:hAnsi="Arial" w:cs="Arial"/>
              </w:rPr>
              <w:t>Classification</w:t>
            </w:r>
          </w:p>
        </w:tc>
        <w:tc>
          <w:tcPr>
            <w:tcW w:w="5830" w:type="dxa"/>
            <w:shd w:val="clear" w:color="auto" w:fill="F2F2F2" w:themeFill="background1" w:themeFillShade="F2"/>
            <w:vAlign w:val="center"/>
          </w:tcPr>
          <w:p w14:paraId="7750C7D9" w14:textId="22757783" w:rsidR="00F37264" w:rsidRPr="00E4229E" w:rsidRDefault="00E4229E" w:rsidP="00F37264">
            <w:pPr>
              <w:pStyle w:val="Tablecopy"/>
              <w:rPr>
                <w:rFonts w:ascii="Arial" w:hAnsi="Arial" w:cs="Arial"/>
              </w:rPr>
            </w:pPr>
            <w:r w:rsidRPr="00E4229E">
              <w:rPr>
                <w:rFonts w:ascii="Arial" w:hAnsi="Arial" w:cs="Arial"/>
              </w:rPr>
              <w:t>General Stream Band 7</w:t>
            </w:r>
          </w:p>
        </w:tc>
      </w:tr>
      <w:tr w:rsidR="00F37264" w:rsidRPr="00E4229E" w14:paraId="5CF5B901" w14:textId="77777777" w:rsidTr="00D06F8C">
        <w:trPr>
          <w:trHeight w:val="340"/>
          <w:tblHeader/>
        </w:trPr>
        <w:tc>
          <w:tcPr>
            <w:tcW w:w="3240" w:type="dxa"/>
            <w:shd w:val="clear" w:color="auto" w:fill="F2F2F2" w:themeFill="background1" w:themeFillShade="F2"/>
            <w:vAlign w:val="center"/>
          </w:tcPr>
          <w:p w14:paraId="02E126BC" w14:textId="77777777" w:rsidR="00F37264" w:rsidRPr="00E4229E" w:rsidRDefault="00F37264" w:rsidP="00F37264">
            <w:pPr>
              <w:pStyle w:val="Tableheadingblack"/>
              <w:rPr>
                <w:rFonts w:ascii="Arial" w:hAnsi="Arial" w:cs="Arial"/>
              </w:rPr>
            </w:pPr>
            <w:r w:rsidRPr="00E4229E">
              <w:rPr>
                <w:rFonts w:ascii="Arial" w:hAnsi="Arial" w:cs="Arial"/>
              </w:rPr>
              <w:t>Division</w:t>
            </w:r>
          </w:p>
        </w:tc>
        <w:tc>
          <w:tcPr>
            <w:tcW w:w="5830" w:type="dxa"/>
            <w:shd w:val="clear" w:color="auto" w:fill="F2F2F2" w:themeFill="background1" w:themeFillShade="F2"/>
            <w:vAlign w:val="center"/>
          </w:tcPr>
          <w:p w14:paraId="129799D8" w14:textId="2682DC97" w:rsidR="00F37264" w:rsidRPr="00E4229E" w:rsidRDefault="00E4229E" w:rsidP="00F37264">
            <w:pPr>
              <w:pStyle w:val="Tablecopy"/>
              <w:rPr>
                <w:rFonts w:ascii="Arial" w:hAnsi="Arial" w:cs="Arial"/>
              </w:rPr>
            </w:pPr>
            <w:r w:rsidRPr="00E4229E">
              <w:rPr>
                <w:rFonts w:ascii="Arial" w:hAnsi="Arial" w:cs="Arial"/>
              </w:rPr>
              <w:t>Technical Regulation Unit</w:t>
            </w:r>
          </w:p>
        </w:tc>
      </w:tr>
      <w:tr w:rsidR="00F37264" w:rsidRPr="00E4229E" w14:paraId="5C250BA0" w14:textId="77777777" w:rsidTr="00D06F8C">
        <w:trPr>
          <w:trHeight w:val="340"/>
          <w:tblHeader/>
        </w:trPr>
        <w:tc>
          <w:tcPr>
            <w:tcW w:w="3240" w:type="dxa"/>
            <w:shd w:val="clear" w:color="auto" w:fill="F2F2F2" w:themeFill="background1" w:themeFillShade="F2"/>
            <w:vAlign w:val="center"/>
          </w:tcPr>
          <w:p w14:paraId="59C73B6C" w14:textId="77777777" w:rsidR="00F37264" w:rsidRPr="00E4229E" w:rsidRDefault="00F37264" w:rsidP="00F37264">
            <w:pPr>
              <w:pStyle w:val="Tableheadingblack"/>
              <w:rPr>
                <w:rFonts w:ascii="Arial" w:hAnsi="Arial" w:cs="Arial"/>
              </w:rPr>
            </w:pPr>
            <w:r w:rsidRPr="00E4229E">
              <w:rPr>
                <w:rFonts w:ascii="Arial" w:hAnsi="Arial" w:cs="Arial"/>
              </w:rPr>
              <w:t>Full Time Equivalent</w:t>
            </w:r>
          </w:p>
        </w:tc>
        <w:tc>
          <w:tcPr>
            <w:tcW w:w="5830" w:type="dxa"/>
            <w:shd w:val="clear" w:color="auto" w:fill="F2F2F2" w:themeFill="background1" w:themeFillShade="F2"/>
            <w:vAlign w:val="center"/>
          </w:tcPr>
          <w:p w14:paraId="4B3F72D4" w14:textId="1629E9CD" w:rsidR="00F37264" w:rsidRPr="00E4229E" w:rsidRDefault="00E4229E" w:rsidP="00F37264">
            <w:pPr>
              <w:pStyle w:val="Tablecopy"/>
              <w:rPr>
                <w:rFonts w:ascii="Arial" w:hAnsi="Arial" w:cs="Arial"/>
              </w:rPr>
            </w:pPr>
            <w:r w:rsidRPr="00E4229E">
              <w:rPr>
                <w:rFonts w:ascii="Arial" w:hAnsi="Arial" w:cs="Arial"/>
              </w:rPr>
              <w:t>1.0</w:t>
            </w:r>
          </w:p>
        </w:tc>
      </w:tr>
      <w:tr w:rsidR="00F37264" w:rsidRPr="00E4229E" w14:paraId="1C5A1762" w14:textId="77777777" w:rsidTr="00D06F8C">
        <w:trPr>
          <w:trHeight w:val="340"/>
          <w:tblHeader/>
        </w:trPr>
        <w:tc>
          <w:tcPr>
            <w:tcW w:w="3240" w:type="dxa"/>
            <w:shd w:val="clear" w:color="auto" w:fill="F2F2F2" w:themeFill="background1" w:themeFillShade="F2"/>
            <w:vAlign w:val="center"/>
          </w:tcPr>
          <w:p w14:paraId="143BE673" w14:textId="77777777" w:rsidR="00F37264" w:rsidRPr="00E4229E" w:rsidRDefault="00F37264" w:rsidP="00F37264">
            <w:pPr>
              <w:pStyle w:val="Tableheadingblack"/>
              <w:rPr>
                <w:rFonts w:ascii="Arial" w:hAnsi="Arial" w:cs="Arial"/>
              </w:rPr>
            </w:pPr>
            <w:r w:rsidRPr="00E4229E">
              <w:rPr>
                <w:rFonts w:ascii="Arial" w:hAnsi="Arial" w:cs="Arial"/>
              </w:rPr>
              <w:t>Output Group</w:t>
            </w:r>
          </w:p>
        </w:tc>
        <w:tc>
          <w:tcPr>
            <w:tcW w:w="5830" w:type="dxa"/>
            <w:shd w:val="clear" w:color="auto" w:fill="F2F2F2" w:themeFill="background1" w:themeFillShade="F2"/>
            <w:vAlign w:val="center"/>
          </w:tcPr>
          <w:p w14:paraId="59047DC7" w14:textId="14A0F53B" w:rsidR="00F37264" w:rsidRPr="00E4229E" w:rsidRDefault="00E4229E" w:rsidP="00F37264">
            <w:pPr>
              <w:pStyle w:val="Tablecopy"/>
              <w:rPr>
                <w:rFonts w:ascii="Arial" w:hAnsi="Arial" w:cs="Arial"/>
              </w:rPr>
            </w:pPr>
            <w:r w:rsidRPr="00E4229E">
              <w:rPr>
                <w:rFonts w:ascii="Arial" w:hAnsi="Arial" w:cs="Arial"/>
              </w:rPr>
              <w:t>Consumer, Building and Occupational Services</w:t>
            </w:r>
          </w:p>
        </w:tc>
      </w:tr>
      <w:tr w:rsidR="00F37264" w:rsidRPr="00E4229E" w14:paraId="2A699B59" w14:textId="77777777" w:rsidTr="00D06F8C">
        <w:trPr>
          <w:trHeight w:val="340"/>
          <w:tblHeader/>
        </w:trPr>
        <w:tc>
          <w:tcPr>
            <w:tcW w:w="3240" w:type="dxa"/>
            <w:shd w:val="clear" w:color="auto" w:fill="F2F2F2" w:themeFill="background1" w:themeFillShade="F2"/>
            <w:vAlign w:val="center"/>
          </w:tcPr>
          <w:p w14:paraId="473FC725" w14:textId="77777777" w:rsidR="00F37264" w:rsidRPr="00E4229E" w:rsidRDefault="00F37264" w:rsidP="00F37264">
            <w:pPr>
              <w:pStyle w:val="Tableheadingblack"/>
              <w:rPr>
                <w:rFonts w:ascii="Arial" w:hAnsi="Arial" w:cs="Arial"/>
              </w:rPr>
            </w:pPr>
            <w:r w:rsidRPr="00E4229E">
              <w:rPr>
                <w:rFonts w:ascii="Arial" w:hAnsi="Arial" w:cs="Arial"/>
              </w:rPr>
              <w:t>Branch</w:t>
            </w:r>
          </w:p>
        </w:tc>
        <w:tc>
          <w:tcPr>
            <w:tcW w:w="5830" w:type="dxa"/>
            <w:shd w:val="clear" w:color="auto" w:fill="F2F2F2" w:themeFill="background1" w:themeFillShade="F2"/>
            <w:vAlign w:val="center"/>
          </w:tcPr>
          <w:p w14:paraId="74C7A749" w14:textId="757B6505" w:rsidR="00F37264" w:rsidRPr="00E4229E" w:rsidRDefault="00E4229E" w:rsidP="00F37264">
            <w:pPr>
              <w:pStyle w:val="Tablecopy"/>
              <w:rPr>
                <w:rFonts w:ascii="Arial" w:hAnsi="Arial" w:cs="Arial"/>
              </w:rPr>
            </w:pPr>
            <w:r w:rsidRPr="00E4229E">
              <w:rPr>
                <w:rFonts w:ascii="Arial" w:hAnsi="Arial" w:cs="Arial"/>
              </w:rPr>
              <w:t>Building Standards</w:t>
            </w:r>
          </w:p>
        </w:tc>
      </w:tr>
      <w:tr w:rsidR="00F37264" w:rsidRPr="00E4229E" w14:paraId="7D7010FA" w14:textId="77777777" w:rsidTr="00D06F8C">
        <w:trPr>
          <w:trHeight w:val="340"/>
          <w:tblHeader/>
        </w:trPr>
        <w:tc>
          <w:tcPr>
            <w:tcW w:w="3240" w:type="dxa"/>
            <w:shd w:val="clear" w:color="auto" w:fill="F2F2F2" w:themeFill="background1" w:themeFillShade="F2"/>
            <w:vAlign w:val="center"/>
          </w:tcPr>
          <w:p w14:paraId="30797AAD" w14:textId="77777777" w:rsidR="00F37264" w:rsidRPr="00E4229E" w:rsidRDefault="00F37264" w:rsidP="00F37264">
            <w:pPr>
              <w:pStyle w:val="Tableheadingblack"/>
              <w:rPr>
                <w:rFonts w:ascii="Arial" w:hAnsi="Arial" w:cs="Arial"/>
              </w:rPr>
            </w:pPr>
            <w:r w:rsidRPr="00E4229E">
              <w:rPr>
                <w:rFonts w:ascii="Arial" w:hAnsi="Arial" w:cs="Arial"/>
              </w:rPr>
              <w:t>Supervisor</w:t>
            </w:r>
          </w:p>
        </w:tc>
        <w:tc>
          <w:tcPr>
            <w:tcW w:w="5830" w:type="dxa"/>
            <w:shd w:val="clear" w:color="auto" w:fill="F2F2F2" w:themeFill="background1" w:themeFillShade="F2"/>
            <w:vAlign w:val="center"/>
          </w:tcPr>
          <w:p w14:paraId="3F64146B" w14:textId="2E2812B7" w:rsidR="00F37264" w:rsidRPr="00E4229E" w:rsidRDefault="00E4229E" w:rsidP="00F37264">
            <w:pPr>
              <w:pStyle w:val="Tablecopy"/>
              <w:rPr>
                <w:rFonts w:ascii="Arial" w:hAnsi="Arial" w:cs="Arial"/>
              </w:rPr>
            </w:pPr>
            <w:r w:rsidRPr="00E4229E">
              <w:rPr>
                <w:rFonts w:ascii="Arial" w:hAnsi="Arial" w:cs="Arial"/>
              </w:rPr>
              <w:t>Director Technical Regulation Unit</w:t>
            </w:r>
          </w:p>
        </w:tc>
      </w:tr>
      <w:tr w:rsidR="00F37264" w:rsidRPr="00E4229E" w14:paraId="1B2B525B" w14:textId="77777777" w:rsidTr="00D06F8C">
        <w:trPr>
          <w:trHeight w:val="340"/>
          <w:tblHeader/>
        </w:trPr>
        <w:tc>
          <w:tcPr>
            <w:tcW w:w="3240" w:type="dxa"/>
            <w:shd w:val="clear" w:color="auto" w:fill="F2F2F2" w:themeFill="background1" w:themeFillShade="F2"/>
            <w:vAlign w:val="center"/>
          </w:tcPr>
          <w:p w14:paraId="4F484B4B" w14:textId="77777777" w:rsidR="00F37264" w:rsidRPr="00E4229E" w:rsidRDefault="00F37264" w:rsidP="00F37264">
            <w:pPr>
              <w:pStyle w:val="Tableheadingblack"/>
              <w:rPr>
                <w:rFonts w:ascii="Arial" w:hAnsi="Arial" w:cs="Arial"/>
              </w:rPr>
            </w:pPr>
            <w:r w:rsidRPr="00E4229E">
              <w:rPr>
                <w:rFonts w:ascii="Arial" w:hAnsi="Arial" w:cs="Arial"/>
              </w:rPr>
              <w:t>Direct Reports</w:t>
            </w:r>
          </w:p>
        </w:tc>
        <w:tc>
          <w:tcPr>
            <w:tcW w:w="5830" w:type="dxa"/>
            <w:shd w:val="clear" w:color="auto" w:fill="F2F2F2" w:themeFill="background1" w:themeFillShade="F2"/>
            <w:vAlign w:val="center"/>
          </w:tcPr>
          <w:p w14:paraId="237D5B7B" w14:textId="39E92E2C" w:rsidR="00F37264" w:rsidRPr="00E4229E" w:rsidRDefault="00E4229E" w:rsidP="00F37264">
            <w:pPr>
              <w:pStyle w:val="Tablecopy"/>
              <w:rPr>
                <w:rFonts w:ascii="Arial" w:hAnsi="Arial" w:cs="Arial"/>
              </w:rPr>
            </w:pPr>
            <w:r w:rsidRPr="00E4229E">
              <w:rPr>
                <w:rFonts w:ascii="Arial" w:hAnsi="Arial" w:cs="Arial"/>
              </w:rPr>
              <w:t>4</w:t>
            </w:r>
          </w:p>
        </w:tc>
      </w:tr>
      <w:tr w:rsidR="00F37264" w:rsidRPr="00E4229E" w14:paraId="4247033A" w14:textId="77777777" w:rsidTr="00D06F8C">
        <w:trPr>
          <w:trHeight w:val="340"/>
          <w:tblHeader/>
        </w:trPr>
        <w:tc>
          <w:tcPr>
            <w:tcW w:w="3240" w:type="dxa"/>
            <w:shd w:val="clear" w:color="auto" w:fill="F2F2F2" w:themeFill="background1" w:themeFillShade="F2"/>
            <w:vAlign w:val="center"/>
          </w:tcPr>
          <w:p w14:paraId="68032A46" w14:textId="77777777" w:rsidR="00F37264" w:rsidRPr="00E4229E" w:rsidRDefault="00F37264" w:rsidP="00F37264">
            <w:pPr>
              <w:pStyle w:val="Tableheadingblack"/>
              <w:rPr>
                <w:rFonts w:ascii="Arial" w:hAnsi="Arial" w:cs="Arial"/>
              </w:rPr>
            </w:pPr>
            <w:r w:rsidRPr="00E4229E">
              <w:rPr>
                <w:rFonts w:ascii="Arial" w:hAnsi="Arial" w:cs="Arial"/>
              </w:rPr>
              <w:t>Location</w:t>
            </w:r>
          </w:p>
        </w:tc>
        <w:tc>
          <w:tcPr>
            <w:tcW w:w="5830" w:type="dxa"/>
            <w:shd w:val="clear" w:color="auto" w:fill="F2F2F2" w:themeFill="background1" w:themeFillShade="F2"/>
            <w:vAlign w:val="center"/>
          </w:tcPr>
          <w:p w14:paraId="5C79A8A1" w14:textId="09F3A605" w:rsidR="00F37264" w:rsidRPr="00E4229E" w:rsidRDefault="00E4229E" w:rsidP="00F37264">
            <w:pPr>
              <w:pStyle w:val="Tablecopy"/>
              <w:rPr>
                <w:rFonts w:ascii="Arial" w:hAnsi="Arial" w:cs="Arial"/>
              </w:rPr>
            </w:pPr>
            <w:r w:rsidRPr="00E4229E">
              <w:rPr>
                <w:rFonts w:ascii="Arial" w:hAnsi="Arial" w:cs="Arial"/>
              </w:rPr>
              <w:t>Rosny</w:t>
            </w:r>
          </w:p>
        </w:tc>
      </w:tr>
      <w:tr w:rsidR="00F37264" w:rsidRPr="00E4229E" w14:paraId="1E31A9AD" w14:textId="77777777" w:rsidTr="00D06F8C">
        <w:trPr>
          <w:trHeight w:val="340"/>
          <w:tblHeader/>
        </w:trPr>
        <w:tc>
          <w:tcPr>
            <w:tcW w:w="3240" w:type="dxa"/>
            <w:shd w:val="clear" w:color="auto" w:fill="F2F2F2" w:themeFill="background1" w:themeFillShade="F2"/>
            <w:vAlign w:val="center"/>
          </w:tcPr>
          <w:p w14:paraId="3953A0A3" w14:textId="77777777" w:rsidR="00F37264" w:rsidRPr="00E4229E" w:rsidRDefault="00F37264" w:rsidP="00F37264">
            <w:pPr>
              <w:pStyle w:val="Tableheadingblack"/>
              <w:rPr>
                <w:rFonts w:ascii="Arial" w:hAnsi="Arial" w:cs="Arial"/>
              </w:rPr>
            </w:pPr>
            <w:r w:rsidRPr="00E4229E">
              <w:rPr>
                <w:rFonts w:ascii="Arial" w:hAnsi="Arial" w:cs="Arial"/>
              </w:rPr>
              <w:t>Position category and funding</w:t>
            </w:r>
          </w:p>
        </w:tc>
        <w:tc>
          <w:tcPr>
            <w:tcW w:w="5830" w:type="dxa"/>
            <w:shd w:val="clear" w:color="auto" w:fill="F2F2F2" w:themeFill="background1" w:themeFillShade="F2"/>
            <w:vAlign w:val="center"/>
          </w:tcPr>
          <w:p w14:paraId="58465B84" w14:textId="2FB440A2" w:rsidR="00F37264" w:rsidRPr="00E4229E" w:rsidRDefault="00E4229E" w:rsidP="00F37264">
            <w:pPr>
              <w:pStyle w:val="Tablecopy"/>
              <w:rPr>
                <w:rFonts w:ascii="Arial" w:hAnsi="Arial" w:cs="Arial"/>
              </w:rPr>
            </w:pPr>
            <w:r w:rsidRPr="00E4229E">
              <w:rPr>
                <w:rFonts w:ascii="Arial" w:hAnsi="Arial" w:cs="Arial"/>
              </w:rPr>
              <w:t>Permanent, T392</w:t>
            </w:r>
          </w:p>
        </w:tc>
      </w:tr>
    </w:tbl>
    <w:p w14:paraId="2CB1EFA6" w14:textId="77777777" w:rsidR="00F37264" w:rsidRPr="00E4229E" w:rsidRDefault="00F37264" w:rsidP="008B5CAF">
      <w:pPr>
        <w:pStyle w:val="ListContinue"/>
        <w:ind w:left="0"/>
        <w:rPr>
          <w:rFonts w:ascii="Arial" w:hAnsi="Arial" w:cs="Arial"/>
        </w:rPr>
      </w:pPr>
    </w:p>
    <w:sectPr w:rsidR="00F37264" w:rsidRPr="00E4229E"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473C" w14:textId="77777777" w:rsidR="00E4229E" w:rsidRDefault="00E4229E" w:rsidP="004438C9">
      <w:r>
        <w:separator/>
      </w:r>
    </w:p>
    <w:p w14:paraId="47DFCDCB" w14:textId="77777777" w:rsidR="00E4229E" w:rsidRDefault="00E4229E"/>
  </w:endnote>
  <w:endnote w:type="continuationSeparator" w:id="0">
    <w:p w14:paraId="048BB6C0" w14:textId="77777777" w:rsidR="00E4229E" w:rsidRDefault="00E4229E" w:rsidP="004438C9">
      <w:r>
        <w:continuationSeparator/>
      </w:r>
    </w:p>
    <w:p w14:paraId="7EEE9F9D" w14:textId="77777777" w:rsidR="00E4229E" w:rsidRDefault="00E42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59E36F51" w14:textId="77777777" w:rsidR="00A02FA7" w:rsidRDefault="00A02FA7" w:rsidP="00A02FA7">
        <w:pPr>
          <w:pStyle w:val="Caption"/>
          <w:tabs>
            <w:tab w:val="right" w:pos="9070"/>
          </w:tabs>
        </w:pPr>
      </w:p>
      <w:p w14:paraId="05325630" w14:textId="634D619C" w:rsidR="00BD0AF7" w:rsidRPr="00F16B4E" w:rsidRDefault="00A02FA7" w:rsidP="00A02FA7">
        <w:pPr>
          <w:pStyle w:val="Caption"/>
          <w:tabs>
            <w:tab w:val="right" w:pos="9070"/>
          </w:tabs>
        </w:pPr>
        <w:r>
          <w:t xml:space="preserve">Last </w:t>
        </w:r>
        <w:r w:rsidRPr="00456BC0">
          <w:t xml:space="preserve">review date: </w:t>
        </w:r>
        <w:r w:rsidR="008B5CAF">
          <w:t>November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77212828"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991" w14:textId="62E147D8" w:rsidR="00A02FA7" w:rsidRPr="00F16B4E" w:rsidRDefault="00A02FA7" w:rsidP="00A02FA7">
    <w:pPr>
      <w:pStyle w:val="Caption"/>
      <w:tabs>
        <w:tab w:val="right" w:pos="9070"/>
      </w:tabs>
    </w:pPr>
    <w:r>
      <w:t xml:space="preserve">Last </w:t>
    </w:r>
    <w:r w:rsidRPr="00456BC0">
      <w:t xml:space="preserve">review date: </w:t>
    </w:r>
    <w:r w:rsidR="00B52908">
      <w:t>November 2024</w:t>
    </w:r>
    <w:r>
      <w:tab/>
    </w:r>
    <w:r>
      <w:fldChar w:fldCharType="begin"/>
    </w:r>
    <w:r>
      <w:instrText xml:space="preserve"> PAGE   \* MERGEFORMAT </w:instrText>
    </w:r>
    <w:r>
      <w:fldChar w:fldCharType="separate"/>
    </w:r>
    <w:r>
      <w:t>2</w:t>
    </w:r>
    <w:r>
      <w:rPr>
        <w:noProof/>
      </w:rPr>
      <w:fldChar w:fldCharType="end"/>
    </w:r>
  </w:p>
  <w:p w14:paraId="6DAF6B16"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8474" w14:textId="77777777" w:rsidR="00E4229E" w:rsidRDefault="00E4229E" w:rsidP="004438C9">
      <w:r>
        <w:separator/>
      </w:r>
    </w:p>
    <w:p w14:paraId="563D251D" w14:textId="77777777" w:rsidR="00E4229E" w:rsidRDefault="00E4229E"/>
  </w:footnote>
  <w:footnote w:type="continuationSeparator" w:id="0">
    <w:p w14:paraId="75AE8DCD" w14:textId="77777777" w:rsidR="00E4229E" w:rsidRDefault="00E4229E" w:rsidP="004438C9">
      <w:r>
        <w:continuationSeparator/>
      </w:r>
    </w:p>
    <w:p w14:paraId="4482D61B" w14:textId="77777777" w:rsidR="00E4229E" w:rsidRDefault="00E42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ACF3"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721ADF61" wp14:editId="0BF883FA">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C5E74"/>
    <w:multiLevelType w:val="hybridMultilevel"/>
    <w:tmpl w:val="9558B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F2809"/>
    <w:multiLevelType w:val="hybridMultilevel"/>
    <w:tmpl w:val="D938B1D0"/>
    <w:lvl w:ilvl="0" w:tplc="2B84B7D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873F0B"/>
    <w:multiLevelType w:val="hybridMultilevel"/>
    <w:tmpl w:val="72AED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7"/>
  </w:num>
  <w:num w:numId="3" w16cid:durableId="1738630552">
    <w:abstractNumId w:val="16"/>
  </w:num>
  <w:num w:numId="4" w16cid:durableId="1956597500">
    <w:abstractNumId w:val="6"/>
  </w:num>
  <w:num w:numId="5" w16cid:durableId="303001286">
    <w:abstractNumId w:val="13"/>
  </w:num>
  <w:num w:numId="6" w16cid:durableId="553349720">
    <w:abstractNumId w:val="8"/>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7"/>
  </w:num>
  <w:num w:numId="14" w16cid:durableId="1623803603">
    <w:abstractNumId w:val="9"/>
  </w:num>
  <w:num w:numId="15" w16cid:durableId="1591229665">
    <w:abstractNumId w:val="9"/>
  </w:num>
  <w:num w:numId="16" w16cid:durableId="1754278598">
    <w:abstractNumId w:val="3"/>
  </w:num>
  <w:num w:numId="17" w16cid:durableId="212665966">
    <w:abstractNumId w:val="11"/>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938612">
    <w:abstractNumId w:val="10"/>
  </w:num>
  <w:num w:numId="20" w16cid:durableId="1376193975">
    <w:abstractNumId w:val="12"/>
  </w:num>
  <w:num w:numId="21" w16cid:durableId="1837378654">
    <w:abstractNumId w:val="15"/>
  </w:num>
  <w:num w:numId="22" w16cid:durableId="202452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9E"/>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22D2"/>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B5CAF"/>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52908"/>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229E"/>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A40B2"/>
  <w15:chartTrackingRefBased/>
  <w15:docId w15:val="{B555E72E-BED6-495E-A509-195B0025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E4229E"/>
    <w:pPr>
      <w:numPr>
        <w:numId w:val="19"/>
      </w:numPr>
      <w:spacing w:before="120" w:after="60" w:line="240" w:lineRule="auto"/>
      <w:ind w:left="709" w:hanging="357"/>
    </w:pPr>
    <w:rPr>
      <w:rFonts w:ascii="Gill Sans MT" w:eastAsia="Times New Roman" w:hAnsi="Gill Sans MT" w:cs="Arial"/>
      <w:color w:val="auto"/>
      <w:kern w:val="0"/>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4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140</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McConnon, Lisa</dc:creator>
  <cp:keywords/>
  <dc:description/>
  <cp:lastModifiedBy>McConnon, Lisa</cp:lastModifiedBy>
  <cp:revision>3</cp:revision>
  <dcterms:created xsi:type="dcterms:W3CDTF">2024-11-04T02:14:00Z</dcterms:created>
  <dcterms:modified xsi:type="dcterms:W3CDTF">2024-11-14T23:36:00Z</dcterms:modified>
</cp:coreProperties>
</file>