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68B4BEE6" w:rsidR="00E42ADC" w:rsidRPr="00BD10E7" w:rsidRDefault="00F91D5C" w:rsidP="00332197">
            <w:pPr>
              <w:rPr>
                <w:rFonts w:asciiTheme="minorHAnsi" w:hAnsiTheme="minorHAnsi" w:cstheme="minorHAnsi"/>
                <w:b/>
                <w:color w:val="000000"/>
                <w:sz w:val="28"/>
                <w:szCs w:val="28"/>
                <w:lang w:val="en-AU"/>
              </w:rPr>
            </w:pPr>
            <w:r w:rsidRPr="006339D2">
              <w:rPr>
                <w:rFonts w:ascii="Calibri" w:hAnsi="Calibri" w:cs="Arial"/>
                <w:b/>
                <w:color w:val="000000"/>
                <w:sz w:val="28"/>
                <w:szCs w:val="28"/>
                <w:lang w:val="en-AU"/>
              </w:rPr>
              <w:t xml:space="preserve">Senior Lecturer in </w:t>
            </w:r>
            <w:r w:rsidR="003C3C00">
              <w:rPr>
                <w:rFonts w:ascii="Calibri" w:hAnsi="Calibri" w:cs="Arial"/>
                <w:b/>
                <w:color w:val="000000"/>
                <w:sz w:val="28"/>
                <w:szCs w:val="28"/>
                <w:lang w:val="en-AU"/>
              </w:rPr>
              <w:t xml:space="preserve">Mathematics and/or </w:t>
            </w:r>
            <w:r w:rsidRPr="006339D2">
              <w:rPr>
                <w:rFonts w:ascii="Calibri" w:hAnsi="Calibri" w:cs="Arial"/>
                <w:b/>
                <w:color w:val="000000"/>
                <w:sz w:val="28"/>
                <w:szCs w:val="28"/>
                <w:lang w:val="en-AU"/>
              </w:rPr>
              <w:t xml:space="preserve">Statistics </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5DD4099C" w:rsidR="00E42ADC" w:rsidRPr="00B31573" w:rsidRDefault="003C3C0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50001719"/>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50001719</w:t>
            </w:r>
            <w:r>
              <w:rPr>
                <w:rFonts w:asciiTheme="minorHAnsi" w:hAnsiTheme="minorHAnsi" w:cstheme="minorHAnsi"/>
                <w:color w:val="000000"/>
                <w:sz w:val="22"/>
                <w:szCs w:val="22"/>
                <w:lang w:val="en-AU"/>
              </w:rPr>
              <w:fldChar w:fldCharType="end"/>
            </w:r>
            <w:bookmarkEnd w:id="0"/>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1C021BC3" w:rsidR="00DD4795" w:rsidRPr="00B31573" w:rsidRDefault="00F91D5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Provost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1EB2B51C" w:rsidR="00DD4795" w:rsidRDefault="00F91D5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School of Computing, Engineering and Mathematical Sciences</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71F8E31" w14:textId="1160574F" w:rsidR="00DD4795" w:rsidRDefault="00F91D5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Mathemat</w:t>
            </w:r>
            <w:r w:rsidR="006A21BD">
              <w:rPr>
                <w:rFonts w:asciiTheme="minorHAnsi" w:hAnsiTheme="minorHAnsi" w:cstheme="minorHAnsi"/>
                <w:color w:val="000000"/>
                <w:sz w:val="22"/>
                <w:szCs w:val="22"/>
                <w:lang w:val="en-AU"/>
              </w:rPr>
              <w:t>ical and Physical Sciences</w:t>
            </w:r>
          </w:p>
          <w:p w14:paraId="18F89240" w14:textId="77777777" w:rsidR="006245CA" w:rsidRDefault="006245CA" w:rsidP="00055C3B">
            <w:pPr>
              <w:rPr>
                <w:rFonts w:asciiTheme="minorHAnsi" w:hAnsiTheme="minorHAnsi" w:cstheme="minorHAnsi"/>
                <w:color w:val="000000"/>
                <w:sz w:val="22"/>
                <w:szCs w:val="22"/>
                <w:lang w:val="en-AU"/>
              </w:rPr>
            </w:pPr>
          </w:p>
          <w:p w14:paraId="48C936C9" w14:textId="439365D5" w:rsidR="006245CA" w:rsidRPr="00B31573" w:rsidRDefault="006245CA" w:rsidP="00055C3B">
            <w:pPr>
              <w:rPr>
                <w:rFonts w:asciiTheme="minorHAnsi" w:hAnsiTheme="minorHAnsi" w:cstheme="minorHAnsi"/>
                <w:color w:val="000000"/>
                <w:sz w:val="22"/>
                <w:szCs w:val="22"/>
                <w:lang w:val="en-AU"/>
              </w:rPr>
            </w:pPr>
            <w:r w:rsidRPr="006245CA">
              <w:rPr>
                <w:rFonts w:asciiTheme="minorHAnsi" w:hAnsiTheme="minorHAnsi" w:cstheme="minorHAnsi"/>
                <w:color w:val="000000"/>
                <w:sz w:val="22"/>
                <w:szCs w:val="22"/>
                <w:lang w:val="en-AU"/>
              </w:rPr>
              <w:t>Level C Teaching &amp; Research</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01BB0305" w:rsidR="00676154" w:rsidRPr="003A1CFA" w:rsidRDefault="00F91D5C"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ull-Time, Continuing"/>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Full-Time, Continuing</w:t>
            </w:r>
            <w:r>
              <w:rPr>
                <w:rFonts w:asciiTheme="minorHAnsi" w:hAnsiTheme="minorHAnsi" w:cstheme="minorHAnsi"/>
                <w:color w:val="000000"/>
                <w:sz w:val="22"/>
                <w:szCs w:val="22"/>
                <w:lang w:val="en-AU"/>
              </w:rPr>
              <w:fldChar w:fldCharType="end"/>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3B15E33C" w:rsidR="00DD4795" w:rsidRDefault="003C3C0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E839EB"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2221F302" w:rsidR="00C73B62"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r w:rsidR="00F91D5C">
        <w:rPr>
          <w:b/>
          <w:bCs/>
          <w:color w:val="auto"/>
          <w:sz w:val="22"/>
          <w:szCs w:val="22"/>
        </w:rPr>
        <w:t xml:space="preserve"> </w:t>
      </w:r>
    </w:p>
    <w:p w14:paraId="3B047B6C" w14:textId="77777777" w:rsidR="00F91D5C" w:rsidRPr="00D67ADA" w:rsidRDefault="00F91D5C" w:rsidP="00C73B62">
      <w:pPr>
        <w:pStyle w:val="Default"/>
        <w:rPr>
          <w:b/>
          <w:bCs/>
          <w:color w:val="auto"/>
          <w:sz w:val="22"/>
          <w:szCs w:val="22"/>
        </w:rPr>
      </w:pPr>
    </w:p>
    <w:p w14:paraId="59511551" w14:textId="123A7ECC" w:rsidR="009F3C13" w:rsidRDefault="009F3C13" w:rsidP="009F3C13">
      <w:pPr>
        <w:jc w:val="both"/>
        <w:rPr>
          <w:rFonts w:asciiTheme="minorHAnsi" w:hAnsiTheme="minorHAnsi" w:cstheme="minorHAnsi"/>
          <w:sz w:val="22"/>
          <w:szCs w:val="22"/>
        </w:rPr>
      </w:pPr>
      <w:bookmarkStart w:id="1" w:name="_Hlk97898208"/>
      <w:r w:rsidRPr="009F3C13">
        <w:rPr>
          <w:rFonts w:asciiTheme="minorHAnsi" w:hAnsiTheme="minorHAnsi" w:cstheme="minorHAnsi"/>
          <w:sz w:val="22"/>
          <w:szCs w:val="22"/>
        </w:rPr>
        <w:t xml:space="preserve">This position </w:t>
      </w:r>
      <w:proofErr w:type="gramStart"/>
      <w:r w:rsidRPr="009F3C13">
        <w:rPr>
          <w:rFonts w:asciiTheme="minorHAnsi" w:hAnsiTheme="minorHAnsi" w:cstheme="minorHAnsi"/>
          <w:sz w:val="22"/>
          <w:szCs w:val="22"/>
        </w:rPr>
        <w:t>is located in</w:t>
      </w:r>
      <w:proofErr w:type="gramEnd"/>
      <w:r w:rsidRPr="009F3C13">
        <w:rPr>
          <w:rFonts w:asciiTheme="minorHAnsi" w:hAnsiTheme="minorHAnsi" w:cstheme="minorHAnsi"/>
          <w:sz w:val="22"/>
          <w:szCs w:val="22"/>
        </w:rPr>
        <w:t xml:space="preserve"> the Department of</w:t>
      </w:r>
      <w:r>
        <w:rPr>
          <w:rFonts w:asciiTheme="minorHAnsi" w:hAnsiTheme="minorHAnsi" w:cstheme="minorHAnsi"/>
          <w:sz w:val="22"/>
          <w:szCs w:val="22"/>
        </w:rPr>
        <w:t xml:space="preserve"> Mathematical and Physical Sciences</w:t>
      </w:r>
      <w:r w:rsidRPr="009F3C13">
        <w:rPr>
          <w:rFonts w:asciiTheme="minorHAnsi" w:hAnsiTheme="minorHAnsi" w:cstheme="minorHAnsi"/>
          <w:sz w:val="22"/>
          <w:szCs w:val="22"/>
        </w:rPr>
        <w:t xml:space="preserve">, part of the School of Computing, Engineering and Mathematical Sciences </w:t>
      </w:r>
      <w:r w:rsidR="00421F71">
        <w:rPr>
          <w:rFonts w:asciiTheme="minorHAnsi" w:hAnsiTheme="minorHAnsi" w:cstheme="minorHAnsi"/>
          <w:sz w:val="22"/>
          <w:szCs w:val="22"/>
        </w:rPr>
        <w:t xml:space="preserve">on the </w:t>
      </w:r>
      <w:r w:rsidRPr="009F3C13">
        <w:rPr>
          <w:rFonts w:asciiTheme="minorHAnsi" w:hAnsiTheme="minorHAnsi" w:cstheme="minorHAnsi"/>
          <w:sz w:val="22"/>
          <w:szCs w:val="22"/>
        </w:rPr>
        <w:t>B</w:t>
      </w:r>
      <w:r w:rsidR="002129DA">
        <w:rPr>
          <w:rFonts w:asciiTheme="minorHAnsi" w:hAnsiTheme="minorHAnsi" w:cstheme="minorHAnsi"/>
          <w:sz w:val="22"/>
          <w:szCs w:val="22"/>
        </w:rPr>
        <w:t>endigo</w:t>
      </w:r>
      <w:r w:rsidR="001D346F">
        <w:rPr>
          <w:rFonts w:asciiTheme="minorHAnsi" w:hAnsiTheme="minorHAnsi" w:cstheme="minorHAnsi"/>
          <w:sz w:val="22"/>
          <w:szCs w:val="22"/>
        </w:rPr>
        <w:t xml:space="preserve"> </w:t>
      </w:r>
      <w:r w:rsidRPr="009F3C13">
        <w:rPr>
          <w:rFonts w:asciiTheme="minorHAnsi" w:hAnsiTheme="minorHAnsi" w:cstheme="minorHAnsi"/>
          <w:sz w:val="22"/>
          <w:szCs w:val="22"/>
        </w:rPr>
        <w:t xml:space="preserve">campus. The school has three departments: Computer Science and Information Technology, Engineering, and Mathematical and Physical Sciences on both Melbourne (Bundoora) and Bendigo campuses. The school hosts three Research </w:t>
      </w:r>
      <w:proofErr w:type="spellStart"/>
      <w:r w:rsidRPr="009F3C13">
        <w:rPr>
          <w:rFonts w:asciiTheme="minorHAnsi" w:hAnsiTheme="minorHAnsi" w:cstheme="minorHAnsi"/>
          <w:sz w:val="22"/>
          <w:szCs w:val="22"/>
        </w:rPr>
        <w:t>Centres</w:t>
      </w:r>
      <w:proofErr w:type="spellEnd"/>
      <w:r w:rsidRPr="009F3C13">
        <w:rPr>
          <w:rFonts w:asciiTheme="minorHAnsi" w:hAnsiTheme="minorHAnsi" w:cstheme="minorHAnsi"/>
          <w:sz w:val="22"/>
          <w:szCs w:val="22"/>
        </w:rPr>
        <w:t xml:space="preserve">: </w:t>
      </w:r>
      <w:proofErr w:type="gramStart"/>
      <w:r w:rsidRPr="009F3C13">
        <w:rPr>
          <w:rFonts w:asciiTheme="minorHAnsi" w:hAnsiTheme="minorHAnsi" w:cstheme="minorHAnsi"/>
          <w:sz w:val="22"/>
          <w:szCs w:val="22"/>
        </w:rPr>
        <w:t>the</w:t>
      </w:r>
      <w:proofErr w:type="gramEnd"/>
      <w:r w:rsidRPr="009F3C13">
        <w:rPr>
          <w:rFonts w:asciiTheme="minorHAnsi" w:hAnsiTheme="minorHAnsi" w:cstheme="minorHAnsi"/>
          <w:sz w:val="22"/>
          <w:szCs w:val="22"/>
        </w:rPr>
        <w:t xml:space="preserve"> Centre for Technology Infusion (CTI), the CISCO Latrobe Centre for Artificial Intelligence and Internet of Things, and the Centre for Materials and Surface Science, and one Research Node: the Cybersecurity Innovation Node. The school has a reputation for innovative course design, the maintenance of a supportive student-centered learning environment and an outstanding research profile. The school offers a range of general and specialist undergraduate and postgraduate courses that are rigorous, attuned to emerging trends and taught by staff at the forefront of their fields. </w:t>
      </w:r>
    </w:p>
    <w:p w14:paraId="4F186A5C" w14:textId="35B08FDD" w:rsidR="004D0EDE" w:rsidRDefault="004D0EDE" w:rsidP="009F3C13">
      <w:pPr>
        <w:jc w:val="both"/>
        <w:rPr>
          <w:rFonts w:asciiTheme="minorHAnsi" w:hAnsiTheme="minorHAnsi" w:cstheme="minorHAnsi"/>
          <w:sz w:val="22"/>
          <w:szCs w:val="22"/>
        </w:rPr>
      </w:pPr>
    </w:p>
    <w:p w14:paraId="0E5203E5" w14:textId="77777777" w:rsidR="004D0EDE" w:rsidRPr="004D0EDE" w:rsidRDefault="004D0EDE" w:rsidP="004D0EDE">
      <w:pPr>
        <w:rPr>
          <w:rFonts w:asciiTheme="minorHAnsi" w:hAnsiTheme="minorHAnsi" w:cstheme="minorHAnsi"/>
          <w:bCs/>
          <w:color w:val="000000"/>
          <w:sz w:val="22"/>
          <w:szCs w:val="22"/>
          <w:lang w:eastAsia="en-AU"/>
        </w:rPr>
      </w:pPr>
      <w:r w:rsidRPr="004D0EDE">
        <w:rPr>
          <w:rFonts w:asciiTheme="minorHAnsi" w:hAnsiTheme="minorHAnsi" w:cstheme="minorHAnsi"/>
          <w:bCs/>
          <w:sz w:val="22"/>
          <w:szCs w:val="22"/>
        </w:rPr>
        <w:t xml:space="preserve">The Department of Mathematical and Physical Sciences is comprised of active teaching and research staff across the broad disciplines of applied mathematics, pure mathematics, statistics, and physics.   The department offers undergraduate majors in mathematics, statistics, data science, and physics, </w:t>
      </w:r>
      <w:proofErr w:type="gramStart"/>
      <w:r w:rsidRPr="004D0EDE">
        <w:rPr>
          <w:rFonts w:asciiTheme="minorHAnsi" w:hAnsiTheme="minorHAnsi" w:cstheme="minorHAnsi"/>
          <w:bCs/>
          <w:sz w:val="22"/>
          <w:szCs w:val="22"/>
        </w:rPr>
        <w:t>and also</w:t>
      </w:r>
      <w:proofErr w:type="gramEnd"/>
      <w:r w:rsidRPr="004D0EDE">
        <w:rPr>
          <w:rFonts w:asciiTheme="minorHAnsi" w:hAnsiTheme="minorHAnsi" w:cstheme="minorHAnsi"/>
          <w:bCs/>
          <w:sz w:val="22"/>
          <w:szCs w:val="22"/>
        </w:rPr>
        <w:t xml:space="preserve"> provides many important subjects that are undertaken by students from a diverse range of courses and disciplinary backgrounds (</w:t>
      </w:r>
      <w:proofErr w:type="spellStart"/>
      <w:r w:rsidRPr="004D0EDE">
        <w:rPr>
          <w:rFonts w:asciiTheme="minorHAnsi" w:hAnsiTheme="minorHAnsi" w:cstheme="minorHAnsi"/>
          <w:bCs/>
          <w:sz w:val="22"/>
          <w:szCs w:val="22"/>
        </w:rPr>
        <w:t>eg.</w:t>
      </w:r>
      <w:proofErr w:type="spellEnd"/>
      <w:r w:rsidRPr="004D0EDE">
        <w:rPr>
          <w:rFonts w:asciiTheme="minorHAnsi" w:hAnsiTheme="minorHAnsi" w:cstheme="minorHAnsi"/>
          <w:bCs/>
          <w:sz w:val="22"/>
          <w:szCs w:val="22"/>
        </w:rPr>
        <w:t xml:space="preserve"> engineering, life sciences, education). Several members hold national and other teaching awards.  </w:t>
      </w:r>
      <w:r w:rsidRPr="004D0EDE">
        <w:rPr>
          <w:rFonts w:asciiTheme="minorHAnsi" w:hAnsiTheme="minorHAnsi" w:cstheme="minorHAnsi"/>
          <w:bCs/>
          <w:color w:val="000000"/>
          <w:sz w:val="22"/>
          <w:szCs w:val="22"/>
          <w:lang w:eastAsia="en-AU"/>
        </w:rPr>
        <w:t>The Australian Research Council’s Excellence in Research for Australia (ERA2018) ranks the Department’s mathematical sciences as ‘above world standard’, and physical sciences research as ‘well above world standard.’</w:t>
      </w:r>
    </w:p>
    <w:bookmarkEnd w:id="1"/>
    <w:p w14:paraId="7082566B" w14:textId="77777777" w:rsidR="00F91D5C" w:rsidRDefault="00F91D5C" w:rsidP="00F91D5C">
      <w:pPr>
        <w:pStyle w:val="Default"/>
        <w:rPr>
          <w:b/>
          <w:bCs/>
          <w:sz w:val="22"/>
          <w:szCs w:val="22"/>
        </w:rPr>
      </w:pPr>
    </w:p>
    <w:p w14:paraId="2ED103E4" w14:textId="34C0A5A7" w:rsidR="00F91D5C" w:rsidRPr="004D0EDE" w:rsidRDefault="00F91D5C" w:rsidP="004D0EDE">
      <w:pPr>
        <w:widowControl/>
        <w:autoSpaceDE w:val="0"/>
        <w:autoSpaceDN w:val="0"/>
        <w:adjustRightInd w:val="0"/>
        <w:jc w:val="both"/>
        <w:rPr>
          <w:rFonts w:asciiTheme="minorHAnsi" w:hAnsiTheme="minorHAnsi" w:cs="Calibri"/>
          <w:bCs/>
          <w:snapToGrid/>
          <w:color w:val="000000"/>
          <w:sz w:val="22"/>
          <w:szCs w:val="22"/>
          <w:lang w:val="en-AU" w:eastAsia="en-AU"/>
        </w:rPr>
      </w:pPr>
      <w:r w:rsidRPr="006339D2">
        <w:rPr>
          <w:rFonts w:asciiTheme="minorHAnsi" w:hAnsiTheme="minorHAnsi" w:cs="Calibri"/>
          <w:bCs/>
          <w:snapToGrid/>
          <w:color w:val="000000"/>
          <w:sz w:val="22"/>
          <w:szCs w:val="22"/>
          <w:lang w:val="en-AU" w:eastAsia="en-AU"/>
        </w:rPr>
        <w:t xml:space="preserve">The </w:t>
      </w:r>
      <w:r w:rsidR="004D0EDE">
        <w:rPr>
          <w:rFonts w:asciiTheme="minorHAnsi" w:hAnsiTheme="minorHAnsi" w:cs="Calibri"/>
          <w:bCs/>
          <w:snapToGrid/>
          <w:color w:val="000000"/>
          <w:sz w:val="22"/>
          <w:szCs w:val="22"/>
          <w:lang w:val="en-AU" w:eastAsia="en-AU"/>
        </w:rPr>
        <w:t>d</w:t>
      </w:r>
      <w:r w:rsidRPr="006339D2">
        <w:rPr>
          <w:rFonts w:asciiTheme="minorHAnsi" w:hAnsiTheme="minorHAnsi" w:cs="Calibri"/>
          <w:bCs/>
          <w:snapToGrid/>
          <w:color w:val="000000"/>
          <w:sz w:val="22"/>
          <w:szCs w:val="22"/>
          <w:lang w:val="en-AU" w:eastAsia="en-AU"/>
        </w:rPr>
        <w:t>epartment has a variety of key areas of research strength reflected by several ARC Discovery Projects being based in the department.</w:t>
      </w:r>
      <w:r w:rsidR="004D0EDE">
        <w:rPr>
          <w:rFonts w:asciiTheme="minorHAnsi" w:hAnsiTheme="minorHAnsi" w:cs="Calibri"/>
          <w:bCs/>
          <w:snapToGrid/>
          <w:color w:val="000000"/>
          <w:sz w:val="22"/>
          <w:szCs w:val="22"/>
          <w:lang w:val="en-AU" w:eastAsia="en-AU"/>
        </w:rPr>
        <w:t xml:space="preserve"> </w:t>
      </w:r>
      <w:r w:rsidRPr="006339D2">
        <w:rPr>
          <w:rFonts w:asciiTheme="minorHAnsi" w:eastAsiaTheme="minorHAnsi" w:hAnsiTheme="minorHAnsi" w:cstheme="minorBidi"/>
          <w:snapToGrid/>
          <w:sz w:val="22"/>
          <w:szCs w:val="22"/>
          <w:lang w:val="en-AU"/>
        </w:rPr>
        <w:t xml:space="preserve">Both the school and department foster collaborative projects across disciplines. </w:t>
      </w:r>
      <w:r w:rsidRPr="002129DA">
        <w:rPr>
          <w:rFonts w:asciiTheme="minorHAnsi" w:eastAsiaTheme="minorHAnsi" w:hAnsiTheme="minorHAnsi" w:cstheme="minorBidi"/>
          <w:snapToGrid/>
          <w:sz w:val="22"/>
          <w:szCs w:val="22"/>
          <w:lang w:val="en-AU"/>
        </w:rPr>
        <w:t xml:space="preserve">We are therefore seeking a </w:t>
      </w:r>
      <w:r w:rsidR="00AC66AD" w:rsidRPr="002129DA">
        <w:rPr>
          <w:rFonts w:asciiTheme="minorHAnsi" w:eastAsiaTheme="minorHAnsi" w:hAnsiTheme="minorHAnsi" w:cstheme="minorBidi"/>
          <w:snapToGrid/>
          <w:sz w:val="22"/>
          <w:szCs w:val="22"/>
          <w:lang w:val="en-AU"/>
        </w:rPr>
        <w:t xml:space="preserve">mathematician, </w:t>
      </w:r>
      <w:r w:rsidRPr="002129DA">
        <w:rPr>
          <w:rFonts w:asciiTheme="minorHAnsi" w:eastAsiaTheme="minorHAnsi" w:hAnsiTheme="minorHAnsi" w:cstheme="minorBidi"/>
          <w:snapToGrid/>
          <w:sz w:val="22"/>
          <w:szCs w:val="22"/>
          <w:lang w:val="en-AU"/>
        </w:rPr>
        <w:t xml:space="preserve">statistician or data scientist who can bring together disparate groups and fields and contribute to teaching and research in </w:t>
      </w:r>
      <w:r w:rsidR="002129DA" w:rsidRPr="002129DA">
        <w:rPr>
          <w:rFonts w:asciiTheme="minorHAnsi" w:eastAsiaTheme="minorHAnsi" w:hAnsiTheme="minorHAnsi" w:cstheme="minorBidi"/>
          <w:snapToGrid/>
          <w:sz w:val="22"/>
          <w:szCs w:val="22"/>
          <w:lang w:val="en-AU"/>
        </w:rPr>
        <w:t>their</w:t>
      </w:r>
      <w:r w:rsidR="002129DA">
        <w:rPr>
          <w:rFonts w:asciiTheme="minorHAnsi" w:eastAsiaTheme="minorHAnsi" w:hAnsiTheme="minorHAnsi" w:cstheme="minorBidi"/>
          <w:snapToGrid/>
          <w:sz w:val="22"/>
          <w:szCs w:val="22"/>
          <w:lang w:val="en-AU"/>
        </w:rPr>
        <w:t xml:space="preserve"> relevant field.</w:t>
      </w:r>
      <w:r>
        <w:rPr>
          <w:rFonts w:asciiTheme="minorHAnsi" w:eastAsiaTheme="minorHAnsi" w:hAnsiTheme="minorHAnsi" w:cstheme="minorBidi"/>
          <w:snapToGrid/>
          <w:sz w:val="22"/>
          <w:szCs w:val="22"/>
          <w:lang w:val="en-AU"/>
        </w:rPr>
        <w:t xml:space="preserve"> </w:t>
      </w:r>
    </w:p>
    <w:p w14:paraId="1797ACC2" w14:textId="77777777" w:rsidR="003C3C00" w:rsidRDefault="00F91D5C" w:rsidP="003C3C00">
      <w:pPr>
        <w:jc w:val="both"/>
        <w:rPr>
          <w:rFonts w:asciiTheme="minorHAnsi" w:hAnsiTheme="minorHAnsi" w:cstheme="minorHAnsi"/>
          <w:sz w:val="22"/>
          <w:szCs w:val="22"/>
        </w:rPr>
      </w:pPr>
      <w:r w:rsidRPr="00D31805">
        <w:rPr>
          <w:rFonts w:asciiTheme="minorHAnsi" w:eastAsiaTheme="minorHAnsi" w:hAnsiTheme="minorHAnsi" w:cstheme="minorBidi"/>
          <w:snapToGrid/>
          <w:color w:val="000000"/>
          <w:sz w:val="22"/>
          <w:szCs w:val="22"/>
          <w:shd w:val="clear" w:color="auto" w:fill="FFFFFF"/>
          <w:lang w:val="en-AU"/>
        </w:rPr>
        <w:br/>
      </w:r>
      <w:r w:rsidR="003C3C00" w:rsidRPr="003C3C00">
        <w:rPr>
          <w:rFonts w:asciiTheme="minorHAnsi" w:hAnsiTheme="minorHAnsi" w:cstheme="minorHAnsi"/>
          <w:color w:val="000000"/>
          <w:sz w:val="22"/>
          <w:szCs w:val="22"/>
          <w:shd w:val="clear" w:color="auto" w:fill="FFFFFF"/>
        </w:rPr>
        <w:t xml:space="preserve">We welcome applications from a diversity of backgrounds and encourage individuals who have had work experience in industry or government labs to apply.  La Trobe is a participant in the Athena SWAN Charter to enhance gender equality in Science, Technology, Engineering, and Mathematics disciplines. As such, </w:t>
      </w:r>
      <w:r w:rsidR="003C3C00" w:rsidRPr="003C3C00">
        <w:rPr>
          <w:rFonts w:asciiTheme="minorHAnsi" w:hAnsiTheme="minorHAnsi" w:cstheme="minorHAnsi"/>
          <w:sz w:val="22"/>
          <w:szCs w:val="22"/>
        </w:rPr>
        <w:t>we especially encourage female applicants to apply.</w:t>
      </w:r>
    </w:p>
    <w:p w14:paraId="1F4B1D9F" w14:textId="77777777" w:rsidR="00336EF4" w:rsidRDefault="00336EF4" w:rsidP="003C3C00">
      <w:pPr>
        <w:jc w:val="both"/>
        <w:rPr>
          <w:rFonts w:asciiTheme="minorHAnsi" w:hAnsiTheme="minorHAnsi" w:cstheme="minorHAnsi"/>
          <w:sz w:val="22"/>
          <w:szCs w:val="22"/>
        </w:rPr>
      </w:pPr>
    </w:p>
    <w:p w14:paraId="5CFE6D05" w14:textId="77777777" w:rsidR="00336EF4" w:rsidRPr="00986F33" w:rsidRDefault="00336EF4" w:rsidP="00336EF4">
      <w:pPr>
        <w:rPr>
          <w:rFonts w:asciiTheme="minorHAnsi" w:hAnsiTheme="minorHAnsi" w:cs="Calibri"/>
          <w:b/>
          <w:snapToGrid/>
          <w:color w:val="000000"/>
          <w:sz w:val="22"/>
          <w:szCs w:val="22"/>
          <w:lang w:val="en-AU" w:eastAsia="en-AU"/>
        </w:rPr>
      </w:pPr>
      <w:r w:rsidRPr="00986F33">
        <w:rPr>
          <w:rFonts w:asciiTheme="minorHAnsi" w:hAnsiTheme="minorHAnsi" w:cs="Calibri"/>
          <w:b/>
          <w:snapToGrid/>
          <w:color w:val="000000"/>
          <w:sz w:val="22"/>
          <w:szCs w:val="22"/>
          <w:lang w:val="en-AU" w:eastAsia="en-AU"/>
        </w:rPr>
        <w:t>Bendigo Campus</w:t>
      </w:r>
    </w:p>
    <w:p w14:paraId="27A94504" w14:textId="77777777" w:rsidR="00336EF4" w:rsidRDefault="00336EF4" w:rsidP="00336EF4">
      <w:pPr>
        <w:rPr>
          <w:rFonts w:asciiTheme="minorHAnsi" w:hAnsiTheme="minorHAnsi" w:cstheme="minorHAnsi"/>
          <w:bCs/>
          <w:sz w:val="22"/>
          <w:szCs w:val="22"/>
        </w:rPr>
      </w:pPr>
      <w:r w:rsidRPr="00986F33">
        <w:rPr>
          <w:rFonts w:asciiTheme="minorHAnsi" w:hAnsiTheme="minorHAnsi" w:cstheme="minorHAnsi"/>
          <w:bCs/>
          <w:sz w:val="22"/>
          <w:szCs w:val="22"/>
        </w:rPr>
        <w:t xml:space="preserve">The campus </w:t>
      </w:r>
      <w:proofErr w:type="gramStart"/>
      <w:r w:rsidRPr="00986F33">
        <w:rPr>
          <w:rFonts w:asciiTheme="minorHAnsi" w:hAnsiTheme="minorHAnsi" w:cstheme="minorHAnsi"/>
          <w:bCs/>
          <w:sz w:val="22"/>
          <w:szCs w:val="22"/>
        </w:rPr>
        <w:t>is located in</w:t>
      </w:r>
      <w:proofErr w:type="gramEnd"/>
      <w:r w:rsidRPr="00986F33">
        <w:rPr>
          <w:rFonts w:asciiTheme="minorHAnsi" w:hAnsiTheme="minorHAnsi" w:cstheme="minorHAnsi"/>
          <w:bCs/>
          <w:sz w:val="22"/>
          <w:szCs w:val="22"/>
        </w:rPr>
        <w:t xml:space="preserve"> the vibrant, highly connected regional City of Greater Bendigo, which has a population of approximately 100,000 and is growing at a rate above the national average.</w:t>
      </w:r>
      <w:r>
        <w:rPr>
          <w:rFonts w:asciiTheme="minorHAnsi" w:hAnsiTheme="minorHAnsi" w:cstheme="minorHAnsi"/>
          <w:bCs/>
          <w:sz w:val="22"/>
          <w:szCs w:val="22"/>
        </w:rPr>
        <w:t xml:space="preserve"> Bendigo is two-hours from central Melbourne, by car or public transport.</w:t>
      </w:r>
    </w:p>
    <w:p w14:paraId="23C96905" w14:textId="77777777" w:rsidR="00336EF4" w:rsidRDefault="00336EF4" w:rsidP="00336EF4">
      <w:pPr>
        <w:rPr>
          <w:rFonts w:asciiTheme="minorHAnsi" w:hAnsiTheme="minorHAnsi" w:cstheme="minorHAnsi"/>
          <w:bCs/>
          <w:sz w:val="22"/>
          <w:szCs w:val="22"/>
        </w:rPr>
      </w:pPr>
    </w:p>
    <w:p w14:paraId="00CEB1FF" w14:textId="77777777" w:rsidR="00336EF4" w:rsidRDefault="00336EF4" w:rsidP="00336EF4">
      <w:pPr>
        <w:rPr>
          <w:rFonts w:asciiTheme="minorHAnsi" w:hAnsiTheme="minorHAnsi" w:cstheme="minorHAnsi"/>
          <w:bCs/>
          <w:sz w:val="22"/>
          <w:szCs w:val="22"/>
        </w:rPr>
      </w:pPr>
      <w:r w:rsidRPr="00986F33">
        <w:rPr>
          <w:rFonts w:asciiTheme="minorHAnsi" w:hAnsiTheme="minorHAnsi" w:cstheme="minorHAnsi"/>
          <w:bCs/>
          <w:sz w:val="22"/>
          <w:szCs w:val="22"/>
        </w:rPr>
        <w:t>Bendigo is La Trobe's second largest campus with over 5000 local and international students and nearly 400 full time employees. The campus occupies 33 hectares of land approximately 3km from Bendigo's CBD.</w:t>
      </w:r>
    </w:p>
    <w:p w14:paraId="0DADBB7D" w14:textId="77777777" w:rsidR="00336EF4" w:rsidRPr="003C3C00" w:rsidRDefault="00336EF4" w:rsidP="003C3C00">
      <w:pPr>
        <w:jc w:val="both"/>
        <w:rPr>
          <w:rFonts w:asciiTheme="minorHAnsi" w:hAnsiTheme="minorHAnsi" w:cstheme="minorHAnsi"/>
          <w:sz w:val="22"/>
          <w:szCs w:val="22"/>
        </w:rPr>
      </w:pP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4135AF40" w14:textId="5965CA4F" w:rsidR="006245CA" w:rsidRPr="004E0F0E" w:rsidRDefault="006245CA" w:rsidP="009F3C13">
      <w:pPr>
        <w:pStyle w:val="ListParagraph"/>
        <w:numPr>
          <w:ilvl w:val="0"/>
          <w:numId w:val="5"/>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Design, coordinate and teach subjects and courses which provide a </w:t>
      </w:r>
      <w:proofErr w:type="gramStart"/>
      <w:r w:rsidRPr="004E0F0E">
        <w:rPr>
          <w:rFonts w:ascii="Calibri" w:hAnsi="Calibri" w:cs="Calibri"/>
          <w:color w:val="000000"/>
          <w:sz w:val="22"/>
          <w:szCs w:val="22"/>
          <w:lang w:val="en-AU" w:eastAsia="en-AU"/>
        </w:rPr>
        <w:t>high</w:t>
      </w:r>
      <w:r w:rsidR="00A073F0">
        <w:rPr>
          <w:rFonts w:ascii="Calibri" w:hAnsi="Calibri" w:cs="Calibri"/>
          <w:color w:val="000000"/>
          <w:sz w:val="22"/>
          <w:szCs w:val="22"/>
          <w:lang w:val="en-AU" w:eastAsia="en-AU"/>
        </w:rPr>
        <w:t xml:space="preserve"> </w:t>
      </w:r>
      <w:r w:rsidRPr="004E0F0E">
        <w:rPr>
          <w:rFonts w:ascii="Calibri" w:hAnsi="Calibri" w:cs="Calibri"/>
          <w:color w:val="000000"/>
          <w:sz w:val="22"/>
          <w:szCs w:val="22"/>
          <w:lang w:val="en-AU" w:eastAsia="en-AU"/>
        </w:rPr>
        <w:t>quality</w:t>
      </w:r>
      <w:proofErr w:type="gramEnd"/>
      <w:r w:rsidRPr="004E0F0E">
        <w:rPr>
          <w:rFonts w:ascii="Calibri" w:hAnsi="Calibri" w:cs="Calibri"/>
          <w:color w:val="000000"/>
          <w:sz w:val="22"/>
          <w:szCs w:val="22"/>
          <w:lang w:val="en-AU" w:eastAsia="en-AU"/>
        </w:rPr>
        <w:t xml:space="preserve"> learning experience that engages undergraduate, honours and postgraduate students.</w:t>
      </w:r>
    </w:p>
    <w:p w14:paraId="7C613240" w14:textId="77777777" w:rsidR="006245CA" w:rsidRPr="004E0F0E" w:rsidRDefault="006245CA" w:rsidP="009F3C13">
      <w:pPr>
        <w:pStyle w:val="ListParagraph"/>
        <w:numPr>
          <w:ilvl w:val="0"/>
          <w:numId w:val="5"/>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Provide leadership and mentoring to others in subject or course level curriculum design and development and delivery of teaching.</w:t>
      </w:r>
    </w:p>
    <w:p w14:paraId="37D1AC8C" w14:textId="77777777" w:rsidR="006245CA" w:rsidRPr="004E0F0E" w:rsidRDefault="006245CA" w:rsidP="009F3C13">
      <w:pPr>
        <w:pStyle w:val="ListParagraph"/>
        <w:numPr>
          <w:ilvl w:val="0"/>
          <w:numId w:val="5"/>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Conduct and lead innovative and high impact research and produce conference and seminar papers and publications resulting from that research.</w:t>
      </w:r>
    </w:p>
    <w:p w14:paraId="01D554E6" w14:textId="77777777" w:rsidR="006245CA" w:rsidRPr="004E0F0E" w:rsidRDefault="006245CA" w:rsidP="009F3C13">
      <w:pPr>
        <w:pStyle w:val="ListParagraph"/>
        <w:numPr>
          <w:ilvl w:val="0"/>
          <w:numId w:val="5"/>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Contribute to building a robust and ambitious research culture within La Trobe.</w:t>
      </w:r>
    </w:p>
    <w:p w14:paraId="16D93A4D" w14:textId="77777777" w:rsidR="006245CA" w:rsidRPr="004E0F0E" w:rsidRDefault="006245CA" w:rsidP="009F3C13">
      <w:pPr>
        <w:pStyle w:val="ListParagraph"/>
        <w:numPr>
          <w:ilvl w:val="0"/>
          <w:numId w:val="5"/>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Supervise Higher Degree by Research (HDR), honours and postgraduate students.</w:t>
      </w:r>
    </w:p>
    <w:p w14:paraId="269E4975" w14:textId="77777777" w:rsidR="006245CA" w:rsidRPr="004E0F0E" w:rsidRDefault="006245CA" w:rsidP="009F3C13">
      <w:pPr>
        <w:pStyle w:val="ListParagraph"/>
        <w:numPr>
          <w:ilvl w:val="0"/>
          <w:numId w:val="5"/>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Obtain necessary research funding from contracts/grants/consultancies.</w:t>
      </w:r>
    </w:p>
    <w:p w14:paraId="1D4690A1" w14:textId="77777777" w:rsidR="006245CA" w:rsidRPr="004E0F0E" w:rsidRDefault="006245CA" w:rsidP="009F3C13">
      <w:pPr>
        <w:pStyle w:val="ListParagraph"/>
        <w:numPr>
          <w:ilvl w:val="0"/>
          <w:numId w:val="5"/>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lastRenderedPageBreak/>
        <w:t>Attend to effective and efficient performance of allocated leadership and administrative functions primarily connected with the position.</w:t>
      </w:r>
    </w:p>
    <w:p w14:paraId="37272311" w14:textId="6AA70443" w:rsidR="006245CA" w:rsidRPr="004E0F0E" w:rsidRDefault="006245CA" w:rsidP="009F3C13">
      <w:pPr>
        <w:pStyle w:val="ListParagraph"/>
        <w:numPr>
          <w:ilvl w:val="0"/>
          <w:numId w:val="5"/>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Undertake other duties commensurate with the classification and scope of the position as required by the Head of Department or </w:t>
      </w:r>
      <w:r w:rsidR="00E9743A">
        <w:rPr>
          <w:rFonts w:ascii="Calibri" w:hAnsi="Calibri" w:cs="Calibri"/>
          <w:color w:val="000000"/>
          <w:sz w:val="22"/>
          <w:szCs w:val="22"/>
          <w:lang w:val="en-AU" w:eastAsia="en-AU"/>
        </w:rPr>
        <w:t>Dean</w:t>
      </w:r>
      <w:r w:rsidRPr="004E0F0E">
        <w:rPr>
          <w:rFonts w:ascii="Calibri" w:hAnsi="Calibri" w:cs="Calibri"/>
          <w:color w:val="000000"/>
          <w:sz w:val="22"/>
          <w:szCs w:val="22"/>
          <w:lang w:val="en-AU" w:eastAsia="en-AU"/>
        </w:rPr>
        <w:t xml:space="preserve"> of School.</w:t>
      </w:r>
    </w:p>
    <w:p w14:paraId="2333D2C8" w14:textId="3EC5A9EA" w:rsidR="00376A94" w:rsidRPr="005D100A" w:rsidRDefault="00376A94" w:rsidP="009F3C13">
      <w:pPr>
        <w:pStyle w:val="ListParagraph"/>
        <w:numPr>
          <w:ilvl w:val="0"/>
          <w:numId w:val="6"/>
        </w:numPr>
        <w:spacing w:after="60" w:line="240" w:lineRule="atLeast"/>
        <w:jc w:val="both"/>
        <w:rPr>
          <w:rFonts w:asciiTheme="minorHAnsi" w:hAnsiTheme="minorHAnsi"/>
          <w:sz w:val="22"/>
          <w:szCs w:val="22"/>
          <w:lang w:val="en-AU"/>
        </w:rPr>
      </w:pPr>
      <w:r>
        <w:rPr>
          <w:rFonts w:asciiTheme="minorHAnsi" w:hAnsiTheme="minorHAnsi"/>
          <w:sz w:val="22"/>
          <w:szCs w:val="22"/>
          <w:lang w:val="en-AU"/>
        </w:rPr>
        <w:t xml:space="preserve">Produce research outputs that contribute to the department’s research strengths in </w:t>
      </w:r>
      <w:r w:rsidR="00AC66AD">
        <w:rPr>
          <w:rFonts w:asciiTheme="minorHAnsi" w:hAnsiTheme="minorHAnsi"/>
          <w:sz w:val="22"/>
          <w:szCs w:val="22"/>
          <w:lang w:val="en-AU"/>
        </w:rPr>
        <w:t>mathematics</w:t>
      </w:r>
      <w:r w:rsidR="00AC66AD" w:rsidRPr="002129DA">
        <w:rPr>
          <w:rFonts w:asciiTheme="minorHAnsi" w:hAnsiTheme="minorHAnsi"/>
          <w:sz w:val="22"/>
          <w:szCs w:val="22"/>
          <w:lang w:val="en-AU"/>
        </w:rPr>
        <w:t xml:space="preserve">, </w:t>
      </w:r>
      <w:proofErr w:type="gramStart"/>
      <w:r w:rsidRPr="002129DA">
        <w:rPr>
          <w:rFonts w:asciiTheme="minorHAnsi" w:hAnsiTheme="minorHAnsi"/>
          <w:sz w:val="22"/>
          <w:szCs w:val="22"/>
          <w:lang w:val="en-AU"/>
        </w:rPr>
        <w:t>statistics</w:t>
      </w:r>
      <w:proofErr w:type="gramEnd"/>
      <w:r w:rsidRPr="002129DA">
        <w:rPr>
          <w:rFonts w:asciiTheme="minorHAnsi" w:hAnsiTheme="minorHAnsi"/>
          <w:sz w:val="22"/>
          <w:szCs w:val="22"/>
          <w:lang w:val="en-AU"/>
        </w:rPr>
        <w:t xml:space="preserve"> and data science</w:t>
      </w:r>
      <w:r>
        <w:rPr>
          <w:rFonts w:asciiTheme="minorHAnsi" w:hAnsiTheme="minorHAnsi"/>
          <w:sz w:val="22"/>
          <w:szCs w:val="22"/>
          <w:lang w:val="en-AU"/>
        </w:rPr>
        <w:t>, and also to other areas as a collaborator within multi-disciplinary teams.</w:t>
      </w:r>
    </w:p>
    <w:p w14:paraId="162A1887" w14:textId="4A373B69" w:rsidR="00376A94" w:rsidRPr="005D100A" w:rsidRDefault="00376A94" w:rsidP="009F3C13">
      <w:pPr>
        <w:pStyle w:val="ListParagraph"/>
        <w:numPr>
          <w:ilvl w:val="0"/>
          <w:numId w:val="6"/>
        </w:numPr>
        <w:spacing w:after="60" w:line="240" w:lineRule="atLeast"/>
        <w:jc w:val="both"/>
        <w:rPr>
          <w:rFonts w:asciiTheme="minorHAnsi" w:hAnsiTheme="minorHAnsi"/>
          <w:sz w:val="22"/>
          <w:szCs w:val="22"/>
          <w:lang w:val="en-AU"/>
        </w:rPr>
      </w:pPr>
      <w:r>
        <w:rPr>
          <w:rFonts w:asciiTheme="minorHAnsi" w:hAnsiTheme="minorHAnsi"/>
          <w:sz w:val="22"/>
          <w:szCs w:val="22"/>
          <w:lang w:val="en-AU"/>
        </w:rPr>
        <w:t>Teach and coordinate</w:t>
      </w:r>
      <w:r w:rsidR="002129DA">
        <w:rPr>
          <w:rFonts w:asciiTheme="minorHAnsi" w:hAnsiTheme="minorHAnsi"/>
          <w:sz w:val="22"/>
          <w:szCs w:val="22"/>
          <w:lang w:val="en-AU"/>
        </w:rPr>
        <w:t xml:space="preserve"> mathematics, </w:t>
      </w:r>
      <w:r>
        <w:rPr>
          <w:rFonts w:asciiTheme="minorHAnsi" w:hAnsiTheme="minorHAnsi"/>
          <w:sz w:val="22"/>
          <w:szCs w:val="22"/>
          <w:lang w:val="en-AU"/>
        </w:rPr>
        <w:t>statistics and data science undergraduate and postgraduate subjects.</w:t>
      </w:r>
    </w:p>
    <w:p w14:paraId="6DBF638B" w14:textId="35338E39" w:rsidR="00376A94" w:rsidRDefault="00376A94" w:rsidP="009F3C13">
      <w:pPr>
        <w:pStyle w:val="ListParagraph"/>
        <w:numPr>
          <w:ilvl w:val="0"/>
          <w:numId w:val="6"/>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Supervise Higher Degree by Research (HDR), honours and postgraduate </w:t>
      </w:r>
      <w:r>
        <w:rPr>
          <w:rFonts w:ascii="Calibri" w:hAnsi="Calibri" w:cs="Calibri"/>
          <w:color w:val="000000"/>
          <w:sz w:val="22"/>
          <w:szCs w:val="22"/>
          <w:lang w:val="en-AU" w:eastAsia="en-AU"/>
        </w:rPr>
        <w:t xml:space="preserve">statistics and data science </w:t>
      </w:r>
      <w:r w:rsidRPr="004E0F0E">
        <w:rPr>
          <w:rFonts w:ascii="Calibri" w:hAnsi="Calibri" w:cs="Calibri"/>
          <w:color w:val="000000"/>
          <w:sz w:val="22"/>
          <w:szCs w:val="22"/>
          <w:lang w:val="en-AU" w:eastAsia="en-AU"/>
        </w:rPr>
        <w:t>students.</w:t>
      </w:r>
    </w:p>
    <w:p w14:paraId="0241D2F1" w14:textId="71AF8084" w:rsidR="00BD10E7" w:rsidRDefault="00376A94" w:rsidP="009F3C13">
      <w:pPr>
        <w:pStyle w:val="ListParagraph"/>
        <w:numPr>
          <w:ilvl w:val="0"/>
          <w:numId w:val="6"/>
        </w:numPr>
        <w:spacing w:after="60" w:line="240" w:lineRule="atLeast"/>
        <w:jc w:val="both"/>
        <w:rPr>
          <w:rFonts w:asciiTheme="minorHAnsi" w:hAnsiTheme="minorHAnsi"/>
          <w:sz w:val="22"/>
          <w:szCs w:val="22"/>
          <w:lang w:val="en-AU"/>
        </w:rPr>
      </w:pPr>
      <w:r>
        <w:rPr>
          <w:rFonts w:asciiTheme="minorHAnsi" w:hAnsiTheme="minorHAnsi"/>
          <w:sz w:val="22"/>
          <w:szCs w:val="22"/>
          <w:lang w:val="en-AU"/>
        </w:rPr>
        <w:t>Provide course-level leadership, such as course coordination and contributing to course accreditation and evaluation, to ensure policy compliance and an outstanding student experience in undergraduate and postgraduate programs.</w:t>
      </w:r>
    </w:p>
    <w:p w14:paraId="74E237E5" w14:textId="1C78006A" w:rsidR="00AE3DC2" w:rsidRPr="005D100A" w:rsidRDefault="00AE3DC2" w:rsidP="009F3C13">
      <w:pPr>
        <w:pStyle w:val="ListParagraph"/>
        <w:numPr>
          <w:ilvl w:val="0"/>
          <w:numId w:val="6"/>
        </w:numPr>
        <w:spacing w:after="60" w:line="240" w:lineRule="atLeast"/>
        <w:jc w:val="both"/>
        <w:rPr>
          <w:rFonts w:asciiTheme="minorHAnsi" w:hAnsiTheme="minorHAnsi"/>
          <w:sz w:val="22"/>
          <w:szCs w:val="22"/>
          <w:lang w:val="en-AU"/>
        </w:rPr>
      </w:pPr>
      <w:r>
        <w:rPr>
          <w:rFonts w:asciiTheme="minorHAnsi" w:hAnsiTheme="minorHAnsi"/>
          <w:sz w:val="22"/>
          <w:szCs w:val="22"/>
          <w:lang w:val="en-AU"/>
        </w:rPr>
        <w:t>Obtain research funding from competitive grants and/or contracts with industry partners.</w:t>
      </w:r>
    </w:p>
    <w:p w14:paraId="7603ADE6" w14:textId="2851CE5C"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232864FF" w14:textId="77777777" w:rsidR="006245CA" w:rsidRPr="006245CA" w:rsidRDefault="006245CA" w:rsidP="009F3C13">
      <w:pPr>
        <w:widowControl/>
        <w:numPr>
          <w:ilvl w:val="0"/>
          <w:numId w:val="1"/>
        </w:numPr>
        <w:autoSpaceDE w:val="0"/>
        <w:autoSpaceDN w:val="0"/>
        <w:adjustRightInd w:val="0"/>
        <w:spacing w:before="240" w:after="70"/>
        <w:rPr>
          <w:rFonts w:ascii="Calibri" w:hAnsi="Calibri" w:cs="Calibri"/>
          <w:snapToGrid/>
          <w:color w:val="000000"/>
          <w:sz w:val="22"/>
          <w:szCs w:val="22"/>
          <w:lang w:val="en-AU" w:eastAsia="en-AU"/>
        </w:rPr>
      </w:pPr>
      <w:r w:rsidRPr="006245CA">
        <w:rPr>
          <w:rFonts w:ascii="Calibri" w:hAnsi="Calibri" w:cs="Calibri"/>
          <w:snapToGrid/>
          <w:color w:val="000000"/>
          <w:sz w:val="22"/>
          <w:szCs w:val="22"/>
          <w:lang w:val="en-AU" w:eastAsia="en-AU"/>
        </w:rPr>
        <w:t xml:space="preserve">Completion of a PhD or equivalent accreditation and standing recognised by the University/profession as appropriate for the relevant discipline area. </w:t>
      </w:r>
    </w:p>
    <w:p w14:paraId="6A890BB4" w14:textId="77777777" w:rsidR="006245CA" w:rsidRPr="004E0F0E" w:rsidRDefault="006245CA" w:rsidP="009F3C13">
      <w:pPr>
        <w:pStyle w:val="ListParagraph"/>
        <w:numPr>
          <w:ilvl w:val="0"/>
          <w:numId w:val="3"/>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effectiveness in curriculum development and teaching with a commitment to excellence in teaching.</w:t>
      </w:r>
    </w:p>
    <w:p w14:paraId="2692DFF2" w14:textId="77777777" w:rsidR="006245CA" w:rsidRPr="004E0F0E" w:rsidRDefault="006245CA" w:rsidP="009F3C13">
      <w:pPr>
        <w:pStyle w:val="ListParagraph"/>
        <w:numPr>
          <w:ilvl w:val="0"/>
          <w:numId w:val="3"/>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capacity to provide leadership at course/program/research group or similar level.</w:t>
      </w:r>
    </w:p>
    <w:p w14:paraId="6BA5FB70" w14:textId="43EF09EE" w:rsidR="006245CA" w:rsidRPr="004E0F0E" w:rsidRDefault="006245CA" w:rsidP="009F3C13">
      <w:pPr>
        <w:pStyle w:val="ListParagraph"/>
        <w:numPr>
          <w:ilvl w:val="0"/>
          <w:numId w:val="3"/>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Proven ability to mentor and supervise undergraduate, honour</w:t>
      </w:r>
      <w:r w:rsidR="002129DA">
        <w:rPr>
          <w:rFonts w:asciiTheme="minorHAnsi" w:hAnsiTheme="minorHAnsi"/>
          <w:sz w:val="22"/>
          <w:szCs w:val="22"/>
          <w:lang w:val="en-AU"/>
        </w:rPr>
        <w:t>s</w:t>
      </w:r>
      <w:r w:rsidRPr="004E0F0E">
        <w:rPr>
          <w:rFonts w:asciiTheme="minorHAnsi" w:hAnsiTheme="minorHAnsi"/>
          <w:sz w:val="22"/>
          <w:szCs w:val="22"/>
          <w:lang w:val="en-AU"/>
        </w:rPr>
        <w:t xml:space="preserve"> and postgraduate students.</w:t>
      </w:r>
    </w:p>
    <w:p w14:paraId="5AA1A264" w14:textId="77777777" w:rsidR="006245CA" w:rsidRPr="004E0F0E" w:rsidRDefault="006245CA" w:rsidP="009F3C13">
      <w:pPr>
        <w:pStyle w:val="ListParagraph"/>
        <w:numPr>
          <w:ilvl w:val="0"/>
          <w:numId w:val="3"/>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Strong record of research publication, with appropriate evidence of quality and impact.</w:t>
      </w:r>
    </w:p>
    <w:p w14:paraId="05DFBD82" w14:textId="77777777" w:rsidR="006245CA" w:rsidRPr="004E0F0E" w:rsidRDefault="006245CA" w:rsidP="009F3C13">
      <w:pPr>
        <w:pStyle w:val="ListParagraph"/>
        <w:numPr>
          <w:ilvl w:val="0"/>
          <w:numId w:val="3"/>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 xml:space="preserve">Demonstrated record of achievement as a leading practitioner with a reputation for skills, </w:t>
      </w:r>
      <w:proofErr w:type="gramStart"/>
      <w:r w:rsidRPr="004E0F0E">
        <w:rPr>
          <w:rFonts w:asciiTheme="minorHAnsi" w:hAnsiTheme="minorHAnsi"/>
          <w:sz w:val="22"/>
          <w:szCs w:val="22"/>
          <w:lang w:val="en-AU"/>
        </w:rPr>
        <w:t>knowledge</w:t>
      </w:r>
      <w:proofErr w:type="gramEnd"/>
      <w:r w:rsidRPr="004E0F0E">
        <w:rPr>
          <w:rFonts w:asciiTheme="minorHAnsi" w:hAnsiTheme="minorHAnsi"/>
          <w:sz w:val="22"/>
          <w:szCs w:val="22"/>
          <w:lang w:val="en-AU"/>
        </w:rPr>
        <w:t xml:space="preserve"> and expertise at a state/national level.</w:t>
      </w:r>
    </w:p>
    <w:p w14:paraId="7375DC45" w14:textId="77777777" w:rsidR="006245CA" w:rsidRPr="004E0F0E" w:rsidRDefault="006245CA" w:rsidP="009F3C13">
      <w:pPr>
        <w:pStyle w:val="ListParagraph"/>
        <w:numPr>
          <w:ilvl w:val="0"/>
          <w:numId w:val="3"/>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Success in obtaining research funding from grants/contracts/consultancies.</w:t>
      </w:r>
    </w:p>
    <w:p w14:paraId="37AE089C" w14:textId="77777777" w:rsidR="006245CA" w:rsidRPr="004E0F0E" w:rsidRDefault="006245CA" w:rsidP="009F3C13">
      <w:pPr>
        <w:pStyle w:val="ListParagraph"/>
        <w:numPr>
          <w:ilvl w:val="0"/>
          <w:numId w:val="3"/>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ability to work as a member of a team in a co-operative and collegial manner.</w:t>
      </w:r>
    </w:p>
    <w:p w14:paraId="235AC1B8" w14:textId="41A4AECA" w:rsidR="00BD10E7" w:rsidRPr="0064540D" w:rsidRDefault="00BD10E7" w:rsidP="0064540D">
      <w:pPr>
        <w:spacing w:after="60" w:line="240" w:lineRule="atLeast"/>
        <w:jc w:val="both"/>
        <w:rPr>
          <w:rFonts w:asciiTheme="minorHAnsi" w:hAnsiTheme="minorHAnsi"/>
          <w:sz w:val="22"/>
          <w:szCs w:val="22"/>
          <w:lang w:val="en-AU"/>
        </w:rPr>
      </w:pPr>
    </w:p>
    <w:p w14:paraId="25A0B1F0" w14:textId="52F603AA"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3FFF5963" w14:textId="77777777" w:rsidR="006245CA" w:rsidRPr="004E0F0E" w:rsidRDefault="006245CA" w:rsidP="009F3C13">
      <w:pPr>
        <w:pStyle w:val="ListParagraph"/>
        <w:numPr>
          <w:ilvl w:val="0"/>
          <w:numId w:val="6"/>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 xml:space="preserve">Knowledge of own strengths, </w:t>
      </w:r>
      <w:proofErr w:type="gramStart"/>
      <w:r w:rsidRPr="004E0F0E">
        <w:rPr>
          <w:rFonts w:asciiTheme="minorHAnsi" w:hAnsiTheme="minorHAnsi"/>
          <w:sz w:val="22"/>
          <w:szCs w:val="22"/>
          <w:lang w:val="en-AU"/>
        </w:rPr>
        <w:t>weaknesses</w:t>
      </w:r>
      <w:proofErr w:type="gramEnd"/>
      <w:r w:rsidRPr="004E0F0E">
        <w:rPr>
          <w:rFonts w:asciiTheme="minorHAnsi" w:hAnsiTheme="minorHAnsi"/>
          <w:sz w:val="22"/>
          <w:szCs w:val="22"/>
          <w:lang w:val="en-AU"/>
        </w:rPr>
        <w:t xml:space="preserve"> and biases – modifying behaviour, based on self-reflection and feedback, to respond to others with empathy and act on feedback to improve knowledge, skills and behaviour.</w:t>
      </w:r>
    </w:p>
    <w:p w14:paraId="4214FB96" w14:textId="77777777" w:rsidR="006245CA" w:rsidRPr="004E0F0E" w:rsidRDefault="006245CA" w:rsidP="009F3C13">
      <w:pPr>
        <w:pStyle w:val="ListParagraph"/>
        <w:numPr>
          <w:ilvl w:val="0"/>
          <w:numId w:val="6"/>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 xml:space="preserve">Ability to work collaboratively, demonstrate inclusivity and tailor communication in a way that is meaningful to the audience – consistently modelling accountability, connectedness, </w:t>
      </w:r>
      <w:proofErr w:type="gramStart"/>
      <w:r w:rsidRPr="004E0F0E">
        <w:rPr>
          <w:rFonts w:asciiTheme="minorHAnsi" w:hAnsiTheme="minorHAnsi"/>
          <w:sz w:val="22"/>
          <w:szCs w:val="22"/>
          <w:lang w:val="en-AU"/>
        </w:rPr>
        <w:t>innovation</w:t>
      </w:r>
      <w:proofErr w:type="gramEnd"/>
      <w:r w:rsidRPr="004E0F0E">
        <w:rPr>
          <w:rFonts w:asciiTheme="minorHAnsi" w:hAnsiTheme="minorHAnsi"/>
          <w:sz w:val="22"/>
          <w:szCs w:val="22"/>
          <w:lang w:val="en-AU"/>
        </w:rPr>
        <w:t xml:space="preserve"> and care.</w:t>
      </w:r>
    </w:p>
    <w:p w14:paraId="3A04946A" w14:textId="77777777" w:rsidR="006245CA" w:rsidRPr="004E0F0E" w:rsidRDefault="006245CA" w:rsidP="009F3C13">
      <w:pPr>
        <w:pStyle w:val="ListParagraph"/>
        <w:numPr>
          <w:ilvl w:val="0"/>
          <w:numId w:val="6"/>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creative and critical thinking, ability to generate ideas to solve local problems and recommend improvements to current work practices.</w:t>
      </w:r>
    </w:p>
    <w:p w14:paraId="29E4A27E" w14:textId="77777777" w:rsidR="006245CA" w:rsidRPr="004E0F0E" w:rsidRDefault="006245CA" w:rsidP="009F3C13">
      <w:pPr>
        <w:pStyle w:val="ListParagraph"/>
        <w:numPr>
          <w:ilvl w:val="0"/>
          <w:numId w:val="6"/>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 xml:space="preserve">Ability to align individual and University goals and create a safe, inclusive, high-performing culture – modelling and enabling accountability, connectedness, </w:t>
      </w:r>
      <w:proofErr w:type="gramStart"/>
      <w:r w:rsidRPr="004E0F0E">
        <w:rPr>
          <w:rFonts w:asciiTheme="minorHAnsi" w:hAnsiTheme="minorHAnsi"/>
          <w:sz w:val="22"/>
          <w:szCs w:val="22"/>
          <w:lang w:val="en-AU"/>
        </w:rPr>
        <w:t>innovation</w:t>
      </w:r>
      <w:proofErr w:type="gramEnd"/>
      <w:r w:rsidRPr="004E0F0E">
        <w:rPr>
          <w:rFonts w:asciiTheme="minorHAnsi" w:hAnsiTheme="minorHAnsi"/>
          <w:sz w:val="22"/>
          <w:szCs w:val="22"/>
          <w:lang w:val="en-AU"/>
        </w:rPr>
        <w:t xml:space="preserve"> and care.</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9F3C13">
      <w:pPr>
        <w:pStyle w:val="Default"/>
        <w:numPr>
          <w:ilvl w:val="0"/>
          <w:numId w:val="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9F3C13">
      <w:pPr>
        <w:pStyle w:val="Default"/>
        <w:numPr>
          <w:ilvl w:val="0"/>
          <w:numId w:val="4"/>
        </w:numPr>
        <w:jc w:val="both"/>
        <w:rPr>
          <w:rFonts w:asciiTheme="minorHAnsi" w:hAnsiTheme="minorHAnsi" w:cstheme="minorHAnsi"/>
          <w:bCs/>
          <w:sz w:val="22"/>
          <w:szCs w:val="22"/>
        </w:rPr>
      </w:pPr>
      <w:r w:rsidRPr="007567A3">
        <w:rPr>
          <w:rFonts w:asciiTheme="minorHAnsi" w:hAnsiTheme="minorHAnsi" w:cstheme="minorHAnsi"/>
          <w:bCs/>
          <w:sz w:val="22"/>
          <w:szCs w:val="22"/>
        </w:rPr>
        <w:lastRenderedPageBreak/>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48A3E5B" w14:textId="26871F39" w:rsidR="00440CB4"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7A86CFB1" w14:textId="77777777" w:rsidR="003B1636" w:rsidRDefault="003B1636" w:rsidP="00A86FEB">
      <w:pPr>
        <w:pStyle w:val="Default"/>
        <w:jc w:val="both"/>
        <w:rPr>
          <w:rFonts w:asciiTheme="minorHAnsi" w:hAnsiTheme="minorHAnsi" w:cstheme="minorHAnsi"/>
          <w:b/>
          <w:bCs/>
          <w:sz w:val="22"/>
          <w:szCs w:val="22"/>
        </w:rPr>
      </w:pPr>
    </w:p>
    <w:p w14:paraId="033C0DE8" w14:textId="77777777" w:rsidR="003B1636" w:rsidRDefault="003B1636" w:rsidP="00A86FEB">
      <w:pPr>
        <w:pStyle w:val="Default"/>
        <w:jc w:val="both"/>
        <w:rPr>
          <w:rFonts w:asciiTheme="minorHAnsi" w:hAnsiTheme="minorHAnsi" w:cstheme="minorHAnsi"/>
          <w:b/>
          <w:bCs/>
          <w:sz w:val="22"/>
          <w:szCs w:val="22"/>
        </w:rPr>
      </w:pPr>
    </w:p>
    <w:p w14:paraId="18924282" w14:textId="77777777" w:rsidR="003B1636" w:rsidRDefault="003B1636" w:rsidP="00A86FEB">
      <w:pPr>
        <w:pStyle w:val="Default"/>
        <w:jc w:val="both"/>
        <w:rPr>
          <w:rFonts w:asciiTheme="minorHAnsi" w:hAnsiTheme="minorHAnsi" w:cstheme="minorHAnsi"/>
          <w:b/>
          <w:bCs/>
          <w:sz w:val="22"/>
          <w:szCs w:val="22"/>
        </w:rPr>
      </w:pPr>
    </w:p>
    <w:p w14:paraId="432D712E" w14:textId="77777777" w:rsidR="003B1636" w:rsidRDefault="003B1636" w:rsidP="00A86FEB">
      <w:pPr>
        <w:pStyle w:val="Default"/>
        <w:jc w:val="both"/>
        <w:rPr>
          <w:rFonts w:asciiTheme="minorHAnsi" w:hAnsiTheme="minorHAnsi" w:cstheme="minorHAnsi"/>
          <w:b/>
          <w:bCs/>
          <w:sz w:val="22"/>
          <w:szCs w:val="22"/>
        </w:rPr>
      </w:pPr>
    </w:p>
    <w:p w14:paraId="20BD9A75" w14:textId="3E0E3C55"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3D7C7953" w14:textId="77777777" w:rsidR="00A86FEB" w:rsidRDefault="00A86FEB">
      <w:pPr>
        <w:widowControl/>
        <w:rPr>
          <w:rFonts w:ascii="Calibri" w:hAnsi="Calibri" w:cs="Calibri"/>
          <w:b/>
          <w:snapToGrid/>
          <w:color w:val="000000"/>
          <w:sz w:val="22"/>
          <w:szCs w:val="22"/>
          <w:lang w:val="en-AU" w:eastAsia="en-AU"/>
        </w:rPr>
      </w:pPr>
    </w:p>
    <w:p w14:paraId="49E66514" w14:textId="77777777" w:rsidR="003B1636" w:rsidRDefault="003B1636" w:rsidP="003B1636">
      <w:pPr>
        <w:pStyle w:val="xmsonormal"/>
        <w:rPr>
          <w:b/>
          <w:bCs/>
        </w:rPr>
      </w:pPr>
      <w:bookmarkStart w:id="2" w:name="_Hlk97887926"/>
      <w:r>
        <w:rPr>
          <w:b/>
          <w:bCs/>
        </w:rPr>
        <w:t>Why La Trobe: </w:t>
      </w:r>
    </w:p>
    <w:p w14:paraId="26C08742" w14:textId="77777777" w:rsidR="003B1636" w:rsidRDefault="003B1636" w:rsidP="003B1636">
      <w:pPr>
        <w:pStyle w:val="xmsonormal"/>
        <w:rPr>
          <w:b/>
          <w:bCs/>
        </w:rPr>
      </w:pPr>
    </w:p>
    <w:p w14:paraId="4311C465" w14:textId="77777777" w:rsidR="003B1636" w:rsidRDefault="003B1636" w:rsidP="003B1636">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1BA8333B" w14:textId="77777777" w:rsidR="003B1636" w:rsidRDefault="003B1636" w:rsidP="003B1636">
      <w:pPr>
        <w:pStyle w:val="xmsonormal"/>
        <w:numPr>
          <w:ilvl w:val="0"/>
          <w:numId w:val="7"/>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1EC21E6D" w14:textId="77777777" w:rsidR="003B1636" w:rsidRDefault="003B1636" w:rsidP="003B1636">
      <w:pPr>
        <w:pStyle w:val="xmsonormal"/>
        <w:numPr>
          <w:ilvl w:val="0"/>
          <w:numId w:val="7"/>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1815F3B9" w14:textId="77777777" w:rsidR="003B1636" w:rsidRDefault="003B1636" w:rsidP="003B1636">
      <w:pPr>
        <w:pStyle w:val="xmsonormal"/>
      </w:pPr>
      <w:r>
        <w:rPr>
          <w:rFonts w:ascii="Avenir" w:hAnsi="Avenir"/>
        </w:rPr>
        <w:t> </w:t>
      </w:r>
    </w:p>
    <w:p w14:paraId="1D33B58F" w14:textId="77777777" w:rsidR="003B1636" w:rsidRDefault="003B1636" w:rsidP="003B1636">
      <w:pPr>
        <w:pStyle w:val="xmsonormal"/>
      </w:pPr>
      <w:r>
        <w:rPr>
          <w:rFonts w:ascii="Avenir" w:hAnsi="Avenir"/>
        </w:rPr>
        <w:t>This is more than just a job. Working at La Trobe offers opportunities to demonstrate excellence and transform lives. </w:t>
      </w:r>
    </w:p>
    <w:p w14:paraId="63C8EF03" w14:textId="77777777" w:rsidR="003B1636" w:rsidRDefault="003B1636" w:rsidP="003B1636">
      <w:pPr>
        <w:pStyle w:val="xmsonormal"/>
      </w:pPr>
      <w:r>
        <w:rPr>
          <w:rFonts w:ascii="Avenir" w:hAnsi="Avenir"/>
        </w:rPr>
        <w:t> </w:t>
      </w:r>
    </w:p>
    <w:p w14:paraId="2E862B8B" w14:textId="77777777" w:rsidR="003B1636" w:rsidRDefault="003B1636" w:rsidP="003B1636">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6C414B16" w14:textId="77777777" w:rsidR="003B1636" w:rsidRDefault="003B1636" w:rsidP="003B1636">
      <w:pPr>
        <w:pStyle w:val="xmsonormal"/>
      </w:pPr>
      <w:r>
        <w:rPr>
          <w:rFonts w:ascii="Avenir" w:hAnsi="Avenir"/>
        </w:rPr>
        <w:t> </w:t>
      </w:r>
    </w:p>
    <w:p w14:paraId="1FEA71CC" w14:textId="77777777" w:rsidR="003B1636" w:rsidRDefault="003B1636" w:rsidP="003B1636">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001C5AAE" w14:textId="77777777" w:rsidR="003B1636" w:rsidRDefault="003B1636" w:rsidP="003B1636">
      <w:pPr>
        <w:pStyle w:val="xmsonormal"/>
      </w:pPr>
      <w:r>
        <w:t> </w:t>
      </w:r>
    </w:p>
    <w:p w14:paraId="5ACF8832" w14:textId="77777777" w:rsidR="003B1636" w:rsidRDefault="003B1636" w:rsidP="003B1636">
      <w:pPr>
        <w:pStyle w:val="xmsonormal"/>
        <w:rPr>
          <w:b/>
          <w:bCs/>
        </w:rPr>
      </w:pPr>
      <w:r>
        <w:rPr>
          <w:b/>
          <w:bCs/>
        </w:rPr>
        <w:t>La Trobe’s Cultural Qualities:</w:t>
      </w:r>
    </w:p>
    <w:p w14:paraId="66A8CED7" w14:textId="77777777" w:rsidR="003B1636" w:rsidRDefault="003B1636" w:rsidP="003B1636">
      <w:r>
        <w:rPr>
          <w:noProof/>
        </w:rPr>
        <w:drawing>
          <wp:inline distT="0" distB="0" distL="0" distR="0" wp14:anchorId="1870D82F" wp14:editId="3C2236DA">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2"/>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D225" w14:textId="77777777" w:rsidR="00A50204" w:rsidRDefault="00A50204">
      <w:r>
        <w:separator/>
      </w:r>
    </w:p>
  </w:endnote>
  <w:endnote w:type="continuationSeparator" w:id="0">
    <w:p w14:paraId="361910C5" w14:textId="77777777" w:rsidR="00A50204" w:rsidRDefault="00A5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6630" w14:textId="77777777" w:rsidR="00A50204" w:rsidRDefault="00A50204">
      <w:r>
        <w:separator/>
      </w:r>
    </w:p>
  </w:footnote>
  <w:footnote w:type="continuationSeparator" w:id="0">
    <w:p w14:paraId="4A3CB646" w14:textId="77777777" w:rsidR="00A50204" w:rsidRDefault="00A5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913843">
    <w:abstractNumId w:val="2"/>
  </w:num>
  <w:num w:numId="2" w16cid:durableId="568930434">
    <w:abstractNumId w:val="0"/>
  </w:num>
  <w:num w:numId="3" w16cid:durableId="482164624">
    <w:abstractNumId w:val="3"/>
  </w:num>
  <w:num w:numId="4" w16cid:durableId="1601178953">
    <w:abstractNumId w:val="5"/>
  </w:num>
  <w:num w:numId="5" w16cid:durableId="964895579">
    <w:abstractNumId w:val="4"/>
  </w:num>
  <w:num w:numId="6" w16cid:durableId="1148404292">
    <w:abstractNumId w:val="6"/>
  </w:num>
  <w:num w:numId="7" w16cid:durableId="94739154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3252"/>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346F"/>
    <w:rsid w:val="001D7783"/>
    <w:rsid w:val="001E20FB"/>
    <w:rsid w:val="001E2CF4"/>
    <w:rsid w:val="001E73C0"/>
    <w:rsid w:val="001F3D1D"/>
    <w:rsid w:val="001F6C45"/>
    <w:rsid w:val="001F7CC1"/>
    <w:rsid w:val="0020415A"/>
    <w:rsid w:val="002129DA"/>
    <w:rsid w:val="00220596"/>
    <w:rsid w:val="0022183C"/>
    <w:rsid w:val="00223164"/>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6EF4"/>
    <w:rsid w:val="00337E0A"/>
    <w:rsid w:val="00340895"/>
    <w:rsid w:val="00341F6D"/>
    <w:rsid w:val="00344B43"/>
    <w:rsid w:val="00345A34"/>
    <w:rsid w:val="0034773D"/>
    <w:rsid w:val="00347D7E"/>
    <w:rsid w:val="00361F4F"/>
    <w:rsid w:val="003641BA"/>
    <w:rsid w:val="00376A94"/>
    <w:rsid w:val="003A0932"/>
    <w:rsid w:val="003A1CFA"/>
    <w:rsid w:val="003A4BD5"/>
    <w:rsid w:val="003B1636"/>
    <w:rsid w:val="003B2F32"/>
    <w:rsid w:val="003B55DC"/>
    <w:rsid w:val="003C1EB5"/>
    <w:rsid w:val="003C3C00"/>
    <w:rsid w:val="003C5EA7"/>
    <w:rsid w:val="003D41DF"/>
    <w:rsid w:val="003E545A"/>
    <w:rsid w:val="003F1778"/>
    <w:rsid w:val="003F7038"/>
    <w:rsid w:val="003F7F26"/>
    <w:rsid w:val="0040183D"/>
    <w:rsid w:val="0040435D"/>
    <w:rsid w:val="00404F41"/>
    <w:rsid w:val="00411506"/>
    <w:rsid w:val="0041194F"/>
    <w:rsid w:val="00412293"/>
    <w:rsid w:val="00421F71"/>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D0EDE"/>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D571C"/>
    <w:rsid w:val="005F03E3"/>
    <w:rsid w:val="005F1EC3"/>
    <w:rsid w:val="005F3321"/>
    <w:rsid w:val="006044D1"/>
    <w:rsid w:val="00611589"/>
    <w:rsid w:val="0061290F"/>
    <w:rsid w:val="00614B49"/>
    <w:rsid w:val="00621140"/>
    <w:rsid w:val="006245CA"/>
    <w:rsid w:val="006257B9"/>
    <w:rsid w:val="006374AB"/>
    <w:rsid w:val="00644663"/>
    <w:rsid w:val="0064540D"/>
    <w:rsid w:val="00657659"/>
    <w:rsid w:val="00660C71"/>
    <w:rsid w:val="00661F55"/>
    <w:rsid w:val="006629E6"/>
    <w:rsid w:val="006754F3"/>
    <w:rsid w:val="00676154"/>
    <w:rsid w:val="00677A7D"/>
    <w:rsid w:val="006811C9"/>
    <w:rsid w:val="00684D0B"/>
    <w:rsid w:val="006864C7"/>
    <w:rsid w:val="006A20AC"/>
    <w:rsid w:val="006A21BD"/>
    <w:rsid w:val="006A636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272D1"/>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6BB5"/>
    <w:rsid w:val="009B728E"/>
    <w:rsid w:val="009C11A7"/>
    <w:rsid w:val="009D5B18"/>
    <w:rsid w:val="009E0A63"/>
    <w:rsid w:val="009F212E"/>
    <w:rsid w:val="009F3C13"/>
    <w:rsid w:val="009F641D"/>
    <w:rsid w:val="009F7B57"/>
    <w:rsid w:val="00A02E8F"/>
    <w:rsid w:val="00A04189"/>
    <w:rsid w:val="00A073F0"/>
    <w:rsid w:val="00A1133C"/>
    <w:rsid w:val="00A13BB7"/>
    <w:rsid w:val="00A207BA"/>
    <w:rsid w:val="00A2623F"/>
    <w:rsid w:val="00A345AF"/>
    <w:rsid w:val="00A442D5"/>
    <w:rsid w:val="00A50204"/>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C66AD"/>
    <w:rsid w:val="00AE25D2"/>
    <w:rsid w:val="00AE3DC2"/>
    <w:rsid w:val="00AF5EE0"/>
    <w:rsid w:val="00B01CB4"/>
    <w:rsid w:val="00B037AE"/>
    <w:rsid w:val="00B105FB"/>
    <w:rsid w:val="00B20918"/>
    <w:rsid w:val="00B20CFC"/>
    <w:rsid w:val="00B220E8"/>
    <w:rsid w:val="00B31573"/>
    <w:rsid w:val="00B34A87"/>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84F"/>
    <w:rsid w:val="00C42DA8"/>
    <w:rsid w:val="00C56ECF"/>
    <w:rsid w:val="00C60E89"/>
    <w:rsid w:val="00C61BBE"/>
    <w:rsid w:val="00C66D26"/>
    <w:rsid w:val="00C71105"/>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D02A68"/>
    <w:rsid w:val="00D05FF5"/>
    <w:rsid w:val="00D1324E"/>
    <w:rsid w:val="00D13BBE"/>
    <w:rsid w:val="00D145BE"/>
    <w:rsid w:val="00D15678"/>
    <w:rsid w:val="00D224B1"/>
    <w:rsid w:val="00D23711"/>
    <w:rsid w:val="00D4393B"/>
    <w:rsid w:val="00D5460A"/>
    <w:rsid w:val="00D57E86"/>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817F1"/>
    <w:rsid w:val="00E8202C"/>
    <w:rsid w:val="00E83708"/>
    <w:rsid w:val="00E839EB"/>
    <w:rsid w:val="00E87AC5"/>
    <w:rsid w:val="00E947B0"/>
    <w:rsid w:val="00E96D00"/>
    <w:rsid w:val="00E9743A"/>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1D5C"/>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character" w:styleId="CommentReference">
    <w:name w:val="annotation reference"/>
    <w:basedOn w:val="DefaultParagraphFont"/>
    <w:semiHidden/>
    <w:unhideWhenUsed/>
    <w:rsid w:val="00E9743A"/>
    <w:rPr>
      <w:sz w:val="16"/>
      <w:szCs w:val="16"/>
    </w:rPr>
  </w:style>
  <w:style w:type="paragraph" w:styleId="CommentText">
    <w:name w:val="annotation text"/>
    <w:basedOn w:val="Normal"/>
    <w:link w:val="CommentTextChar"/>
    <w:semiHidden/>
    <w:unhideWhenUsed/>
    <w:rsid w:val="00E9743A"/>
    <w:rPr>
      <w:sz w:val="20"/>
    </w:rPr>
  </w:style>
  <w:style w:type="character" w:customStyle="1" w:styleId="CommentTextChar">
    <w:name w:val="Comment Text Char"/>
    <w:basedOn w:val="DefaultParagraphFont"/>
    <w:link w:val="CommentText"/>
    <w:semiHidden/>
    <w:rsid w:val="00E9743A"/>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E9743A"/>
    <w:rPr>
      <w:b/>
      <w:bCs/>
    </w:rPr>
  </w:style>
  <w:style w:type="character" w:customStyle="1" w:styleId="CommentSubjectChar">
    <w:name w:val="Comment Subject Char"/>
    <w:basedOn w:val="CommentTextChar"/>
    <w:link w:val="CommentSubject"/>
    <w:semiHidden/>
    <w:rsid w:val="00E9743A"/>
    <w:rPr>
      <w:rFonts w:ascii="Univers" w:hAnsi="Univers"/>
      <w:b/>
      <w:bCs/>
      <w:snapToGrid w:val="0"/>
      <w:lang w:val="en-US" w:eastAsia="en-US"/>
    </w:rPr>
  </w:style>
  <w:style w:type="paragraph" w:customStyle="1" w:styleId="xmsonormal">
    <w:name w:val="x_msonormal"/>
    <w:basedOn w:val="Normal"/>
    <w:rsid w:val="003B1636"/>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19694786">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05648886">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4</Pages>
  <Words>1185</Words>
  <Characters>7680</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8848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Vicki Stavrou</cp:lastModifiedBy>
  <cp:revision>2</cp:revision>
  <cp:lastPrinted>2010-05-17T01:36:00Z</cp:lastPrinted>
  <dcterms:created xsi:type="dcterms:W3CDTF">2023-03-13T04:31:00Z</dcterms:created>
  <dcterms:modified xsi:type="dcterms:W3CDTF">2023-03-13T04:31:00Z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GrammarlyDocumentId">
    <vt:lpwstr>ba79afe6921657518f620a5e87c7026369aa39647f5411a18abd1cd6a40bb3fd</vt:lpwstr>
  </property>
</Properties>
</file>