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1C1B9959" w:rsidR="00571DAE" w:rsidRDefault="004759C8" w:rsidP="00D73CED">
      <w:pPr>
        <w:pStyle w:val="Header"/>
        <w:rPr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>
        <w:rPr>
          <w:noProof/>
        </w:rPr>
        <w:t xml:space="preserve"> </w:t>
      </w:r>
    </w:p>
    <w:p w14:paraId="04C8258C" w14:textId="14EE8781" w:rsidR="00D741B4" w:rsidRPr="00D741B4" w:rsidRDefault="00050FD8" w:rsidP="00D741B4">
      <w:pPr>
        <w:tabs>
          <w:tab w:val="center" w:pos="4153"/>
          <w:tab w:val="right" w:pos="8306"/>
        </w:tabs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 w:rsidRPr="00DC7090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SSEA Assurance </w:t>
      </w:r>
      <w:r w:rsidR="005A4738" w:rsidRPr="00DC7090">
        <w:rPr>
          <w:rFonts w:ascii="Arial" w:hAnsi="Arial" w:cs="Arial"/>
          <w:b/>
          <w:noProof/>
          <w:color w:val="1F497D" w:themeColor="text2"/>
          <w:sz w:val="36"/>
          <w:szCs w:val="36"/>
        </w:rPr>
        <w:t>Senior</w:t>
      </w:r>
      <w:r w:rsidR="0051591E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Specialist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5AA3D129" w:rsidR="00DE67C2" w:rsidRPr="00386C5E" w:rsidRDefault="00050FD8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Head of Learning &amp; Assurance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243E42CA" w:rsidR="00DE67C2" w:rsidRPr="00D741B4" w:rsidRDefault="00050FD8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SSEA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0951DF62" w:rsidR="00DE67C2" w:rsidRPr="00D741B4" w:rsidRDefault="00CE5225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ASA7A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0286844A" w:rsidR="00DE67C2" w:rsidRPr="00DE67C2" w:rsidRDefault="00D741B4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Melbourne</w:t>
            </w:r>
            <w:r w:rsidR="00CE5225">
              <w:rPr>
                <w:rFonts w:ascii="Arial" w:hAnsi="Arial" w:cs="Arial"/>
                <w:lang w:val="en-GB" w:eastAsia="en-US"/>
              </w:rPr>
              <w:t>,</w:t>
            </w:r>
            <w:r w:rsidRPr="00D741B4">
              <w:rPr>
                <w:rFonts w:ascii="Arial" w:hAnsi="Arial" w:cs="Arial"/>
                <w:lang w:val="en-GB" w:eastAsia="en-US"/>
              </w:rPr>
              <w:t xml:space="preserve"> </w:t>
            </w:r>
            <w:r w:rsidR="00217413" w:rsidRPr="00D741B4">
              <w:rPr>
                <w:rFonts w:ascii="Arial" w:hAnsi="Arial" w:cs="Arial"/>
                <w:lang w:val="en-GB" w:eastAsia="en-US"/>
              </w:rPr>
              <w:t>Brisbane,</w:t>
            </w:r>
            <w:r w:rsidR="00CE5225">
              <w:rPr>
                <w:rFonts w:ascii="Arial" w:hAnsi="Arial" w:cs="Arial"/>
                <w:lang w:val="en-GB" w:eastAsia="en-US"/>
              </w:rPr>
              <w:t xml:space="preserve"> or Sydney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5C9CDE5B" w:rsidR="00DE67C2" w:rsidRPr="00D741B4" w:rsidRDefault="00D741B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685F099F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 xml:space="preserve">Airservices is a government owned organisation providing safe, secure, </w:t>
      </w:r>
      <w:r w:rsidR="00217413" w:rsidRPr="62F95E60">
        <w:rPr>
          <w:rFonts w:ascii="Arial" w:hAnsi="Arial" w:cs="Arial"/>
          <w:lang w:val="en-AU"/>
        </w:rPr>
        <w:t>efficient,</w:t>
      </w:r>
      <w:r w:rsidRPr="62F95E60">
        <w:rPr>
          <w:rFonts w:ascii="Arial" w:hAnsi="Arial" w:cs="Arial"/>
          <w:lang w:val="en-AU"/>
        </w:rPr>
        <w:t xml:space="preserve"> and environmentally responsible services to the aviation industry. </w:t>
      </w:r>
    </w:p>
    <w:p w14:paraId="369353A8" w14:textId="19745FAE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 xml:space="preserve">Each year we manage over four million aircraft movements carrying more than </w:t>
      </w:r>
      <w:r w:rsidR="00113B90" w:rsidRPr="62F95E60">
        <w:rPr>
          <w:rFonts w:ascii="Arial" w:hAnsi="Arial" w:cs="Arial"/>
          <w:lang w:val="en-AU"/>
        </w:rPr>
        <w:t>1</w:t>
      </w:r>
      <w:r w:rsidR="00DA50BF" w:rsidRPr="62F95E60">
        <w:rPr>
          <w:rFonts w:ascii="Arial" w:hAnsi="Arial" w:cs="Arial"/>
          <w:lang w:val="en-AU"/>
        </w:rPr>
        <w:t>5</w:t>
      </w:r>
      <w:r w:rsidR="00BA56AA" w:rsidRPr="62F95E60">
        <w:rPr>
          <w:rFonts w:ascii="Arial" w:hAnsi="Arial" w:cs="Arial"/>
          <w:lang w:val="en-AU"/>
        </w:rPr>
        <w:t>6</w:t>
      </w:r>
      <w:r w:rsidRPr="62F95E60">
        <w:rPr>
          <w:rFonts w:ascii="Arial" w:hAnsi="Arial" w:cs="Arial"/>
          <w:lang w:val="en-AU"/>
        </w:rPr>
        <w:t xml:space="preserve"> million </w:t>
      </w:r>
      <w:r w:rsidR="006F7DC8" w:rsidRPr="62F95E60">
        <w:rPr>
          <w:rFonts w:ascii="Arial" w:hAnsi="Arial" w:cs="Arial"/>
          <w:lang w:val="en-AU"/>
        </w:rPr>
        <w:t>passengers and</w:t>
      </w:r>
      <w:r w:rsidRPr="62F95E60">
        <w:rPr>
          <w:rFonts w:ascii="Arial" w:hAnsi="Arial" w:cs="Arial"/>
          <w:lang w:val="en-AU"/>
        </w:rPr>
        <w:t xml:space="preserve"> provide air navigation services across 11 per cent of the world’s airspace. </w:t>
      </w:r>
    </w:p>
    <w:p w14:paraId="369353A9" w14:textId="0458D1A0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 xml:space="preserve">Airservices has two major operating centres in Melbourne and Brisbane and a corporate office in Canberra. We operate 29 air traffic towers at international and regional </w:t>
      </w:r>
      <w:r w:rsidR="006F7DC8" w:rsidRPr="62F95E60">
        <w:rPr>
          <w:rFonts w:ascii="Arial" w:hAnsi="Arial" w:cs="Arial"/>
          <w:lang w:val="en-AU"/>
        </w:rPr>
        <w:t>airports and</w:t>
      </w:r>
      <w:r w:rsidRPr="62F95E60">
        <w:rPr>
          <w:rFonts w:ascii="Arial" w:hAnsi="Arial" w:cs="Arial"/>
          <w:lang w:val="en-AU"/>
        </w:rPr>
        <w:t xml:space="preserve"> provide aviation rescue fire fighting services at 26 Australian airports.</w:t>
      </w:r>
    </w:p>
    <w:p w14:paraId="369353AA" w14:textId="26D1A7E1"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 xml:space="preserve">We are committed to continuing to improve our business by providing our customers with services they </w:t>
      </w:r>
      <w:r w:rsidR="00011E01" w:rsidRPr="62F95E60">
        <w:rPr>
          <w:rFonts w:ascii="Arial" w:hAnsi="Arial" w:cs="Arial"/>
          <w:lang w:val="en-AU"/>
        </w:rPr>
        <w:t>value and</w:t>
      </w:r>
      <w:r w:rsidR="004C36BE" w:rsidRPr="62F95E60">
        <w:rPr>
          <w:rFonts w:ascii="Arial" w:hAnsi="Arial" w:cs="Arial"/>
          <w:lang w:val="en-AU"/>
        </w:rPr>
        <w:t xml:space="preserve"> embedding new ways of working and technology investments to further innovate</w:t>
      </w:r>
      <w:r w:rsidR="004534B8" w:rsidRPr="62F95E60">
        <w:rPr>
          <w:rFonts w:ascii="Arial" w:hAnsi="Arial" w:cs="Arial"/>
          <w:lang w:val="en-AU"/>
        </w:rPr>
        <w:t xml:space="preserve"> and optimise</w:t>
      </w:r>
      <w:r w:rsidR="004C36BE" w:rsidRPr="62F95E60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62F95E60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52F35FE3" w:rsidP="62F95E6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 xml:space="preserve">Primary </w:t>
            </w:r>
            <w:r w:rsidR="00FE0F54"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P</w:t>
            </w: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 xml:space="preserve">urpose of </w:t>
            </w:r>
            <w:r w:rsidR="00FE0F54"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P</w:t>
            </w: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osition</w:t>
            </w:r>
          </w:p>
        </w:tc>
      </w:tr>
    </w:tbl>
    <w:p w14:paraId="369353AD" w14:textId="47600A4C" w:rsidR="00C90C87" w:rsidRPr="000E5420" w:rsidRDefault="00AA36BE" w:rsidP="00BE1D05">
      <w:pPr>
        <w:spacing w:before="120" w:after="120"/>
        <w:jc w:val="both"/>
        <w:rPr>
          <w:rFonts w:ascii="Arial" w:hAnsi="Arial" w:cs="Arial"/>
          <w:color w:val="FF0000"/>
          <w:lang w:val="en-AU"/>
        </w:rPr>
      </w:pPr>
      <w:r w:rsidRPr="00CE608A">
        <w:rPr>
          <w:rFonts w:ascii="Arial" w:hAnsi="Arial" w:cs="Arial"/>
          <w:lang w:val="en-AU"/>
        </w:rPr>
        <w:t xml:space="preserve">As </w:t>
      </w:r>
      <w:r w:rsidR="0024771C" w:rsidRPr="00CE608A">
        <w:rPr>
          <w:rFonts w:ascii="Arial" w:hAnsi="Arial" w:cs="Arial"/>
          <w:b/>
          <w:bCs/>
          <w:lang w:val="en-AU"/>
        </w:rPr>
        <w:t xml:space="preserve">SSEA Assurance </w:t>
      </w:r>
      <w:r w:rsidR="00DC7090">
        <w:rPr>
          <w:rFonts w:ascii="Arial" w:hAnsi="Arial" w:cs="Arial"/>
          <w:b/>
          <w:bCs/>
          <w:lang w:val="en-AU"/>
        </w:rPr>
        <w:t xml:space="preserve">Senior </w:t>
      </w:r>
      <w:r w:rsidR="0051591E">
        <w:rPr>
          <w:rFonts w:ascii="Arial" w:hAnsi="Arial" w:cs="Arial"/>
          <w:b/>
          <w:bCs/>
          <w:lang w:val="en-AU"/>
        </w:rPr>
        <w:t>Specialist</w:t>
      </w:r>
      <w:r w:rsidRPr="00CE608A">
        <w:rPr>
          <w:rFonts w:ascii="Arial" w:hAnsi="Arial" w:cs="Arial"/>
          <w:lang w:val="en-AU"/>
        </w:rPr>
        <w:t>, you will</w:t>
      </w:r>
      <w:r w:rsidR="003539B7" w:rsidRPr="00CE608A">
        <w:rPr>
          <w:rFonts w:ascii="Arial" w:hAnsi="Arial" w:cs="Arial"/>
          <w:lang w:val="en-AU"/>
        </w:rPr>
        <w:t xml:space="preserve"> </w:t>
      </w:r>
      <w:r w:rsidR="0024771C" w:rsidRPr="00CE608A">
        <w:rPr>
          <w:rFonts w:ascii="Arial" w:hAnsi="Arial" w:cs="Arial"/>
          <w:noProof/>
        </w:rPr>
        <w:t>own the program management of the Line 2 Safety, Environment and Security &amp; Resilience Assurance Program</w:t>
      </w:r>
      <w:r w:rsidR="00AF6953" w:rsidRPr="00CE608A">
        <w:rPr>
          <w:rFonts w:ascii="Arial" w:hAnsi="Arial" w:cs="Arial"/>
          <w:noProof/>
        </w:rPr>
        <w:t>. Activities will include</w:t>
      </w:r>
      <w:r w:rsidR="00D741B4" w:rsidRPr="00CE608A">
        <w:rPr>
          <w:rFonts w:ascii="Arial" w:hAnsi="Arial" w:cs="Arial"/>
          <w:noProof/>
        </w:rPr>
        <w:t xml:space="preserve"> </w:t>
      </w:r>
      <w:r w:rsidR="00A36BB2" w:rsidRPr="00CE608A">
        <w:rPr>
          <w:rFonts w:ascii="Arial" w:hAnsi="Arial" w:cs="Arial"/>
          <w:noProof/>
        </w:rPr>
        <w:t>aligning each Framework’s Assurance Plan to one standard plan, monitor and track its progress</w:t>
      </w:r>
      <w:r w:rsidR="00F82D12" w:rsidRPr="00CE608A">
        <w:rPr>
          <w:rFonts w:ascii="Arial" w:hAnsi="Arial" w:cs="Arial"/>
          <w:noProof/>
        </w:rPr>
        <w:t xml:space="preserve"> and </w:t>
      </w:r>
      <w:r w:rsidR="00C3020D" w:rsidRPr="00CE608A">
        <w:rPr>
          <w:rFonts w:ascii="Arial" w:hAnsi="Arial" w:cs="Arial"/>
          <w:noProof/>
        </w:rPr>
        <w:t xml:space="preserve">provide routine </w:t>
      </w:r>
      <w:r w:rsidR="00A36BB2" w:rsidRPr="00CE608A">
        <w:rPr>
          <w:rFonts w:ascii="Arial" w:hAnsi="Arial" w:cs="Arial"/>
          <w:noProof/>
        </w:rPr>
        <w:t>report</w:t>
      </w:r>
      <w:r w:rsidR="00C3020D" w:rsidRPr="00CE608A">
        <w:rPr>
          <w:rFonts w:ascii="Arial" w:hAnsi="Arial" w:cs="Arial"/>
          <w:noProof/>
        </w:rPr>
        <w:t>s</w:t>
      </w:r>
      <w:r w:rsidR="00A36BB2" w:rsidRPr="00CE608A">
        <w:rPr>
          <w:rFonts w:ascii="Arial" w:hAnsi="Arial" w:cs="Arial"/>
          <w:noProof/>
        </w:rPr>
        <w:t xml:space="preserve"> </w:t>
      </w:r>
      <w:r w:rsidR="00F82D12" w:rsidRPr="00CE608A">
        <w:rPr>
          <w:rFonts w:ascii="Arial" w:hAnsi="Arial" w:cs="Arial"/>
          <w:noProof/>
        </w:rPr>
        <w:t>to</w:t>
      </w:r>
      <w:r w:rsidR="00C3020D" w:rsidRPr="00CE608A">
        <w:rPr>
          <w:rFonts w:ascii="Arial" w:hAnsi="Arial" w:cs="Arial"/>
          <w:noProof/>
        </w:rPr>
        <w:t xml:space="preserve"> key leaders to </w:t>
      </w:r>
      <w:r w:rsidR="00F82D12" w:rsidRPr="00CE608A">
        <w:rPr>
          <w:rFonts w:ascii="Arial" w:hAnsi="Arial" w:cs="Arial"/>
          <w:noProof/>
        </w:rPr>
        <w:t xml:space="preserve">achieve </w:t>
      </w:r>
      <w:r w:rsidR="00CE608A" w:rsidRPr="00CE608A">
        <w:rPr>
          <w:rFonts w:ascii="Arial" w:hAnsi="Arial" w:cs="Arial"/>
          <w:noProof/>
        </w:rPr>
        <w:t>visibility</w:t>
      </w:r>
      <w:r w:rsidR="00C12FDE" w:rsidRPr="00CE608A">
        <w:rPr>
          <w:rFonts w:ascii="Arial" w:hAnsi="Arial" w:cs="Arial"/>
          <w:noProof/>
        </w:rPr>
        <w:t xml:space="preserve">. You will also </w:t>
      </w:r>
      <w:r w:rsidR="00F82D12">
        <w:rPr>
          <w:rFonts w:ascii="Arial" w:hAnsi="Arial" w:cs="Arial"/>
          <w:noProof/>
        </w:rPr>
        <w:t xml:space="preserve">play a leading role in facilitating the SSEA Assurance Working Group </w:t>
      </w:r>
      <w:r w:rsidR="00A36BDC">
        <w:rPr>
          <w:rFonts w:ascii="Arial" w:hAnsi="Arial" w:cs="Arial"/>
          <w:noProof/>
        </w:rPr>
        <w:t>to</w:t>
      </w:r>
      <w:r w:rsidR="00F82D12">
        <w:rPr>
          <w:rFonts w:ascii="Arial" w:hAnsi="Arial" w:cs="Arial"/>
          <w:noProof/>
        </w:rPr>
        <w:t xml:space="preserve"> champion continuous improvement </w:t>
      </w:r>
      <w:r w:rsidR="00BE1D05">
        <w:rPr>
          <w:rFonts w:ascii="Arial" w:hAnsi="Arial" w:cs="Arial"/>
          <w:noProof/>
        </w:rPr>
        <w:t>and capability development.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62F95E60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386C5E" w:rsidRDefault="2A122704" w:rsidP="62F95E6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 xml:space="preserve">Accountabilities and </w:t>
            </w:r>
            <w:r w:rsidR="4F6250D2"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R</w:t>
            </w: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esponsibilities</w:t>
            </w:r>
          </w:p>
        </w:tc>
      </w:tr>
    </w:tbl>
    <w:p w14:paraId="369353B0" w14:textId="77777777" w:rsidR="00981557" w:rsidRPr="008101D9" w:rsidRDefault="00CB2FC5" w:rsidP="62F95E60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8101D9"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</w:rPr>
        <w:t>Position Specific</w:t>
      </w:r>
    </w:p>
    <w:p w14:paraId="6413B9FB" w14:textId="7F202816" w:rsidR="00132C36" w:rsidRDefault="00132C36" w:rsidP="62F95E60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 common SSEA Assurance </w:t>
      </w:r>
      <w:r w:rsidR="00BE1D05">
        <w:rPr>
          <w:rFonts w:ascii="Arial" w:hAnsi="Arial" w:cs="Arial"/>
          <w:sz w:val="20"/>
          <w:szCs w:val="20"/>
        </w:rPr>
        <w:t>ways of working</w:t>
      </w:r>
      <w:r w:rsidR="00A36BDC">
        <w:rPr>
          <w:rFonts w:ascii="Arial" w:hAnsi="Arial" w:cs="Arial"/>
          <w:sz w:val="20"/>
          <w:szCs w:val="20"/>
        </w:rPr>
        <w:t>, stakeholder engagement</w:t>
      </w:r>
      <w:r w:rsidR="00BE1D05">
        <w:rPr>
          <w:rFonts w:ascii="Arial" w:hAnsi="Arial" w:cs="Arial"/>
          <w:sz w:val="20"/>
          <w:szCs w:val="20"/>
        </w:rPr>
        <w:t xml:space="preserve"> and </w:t>
      </w:r>
      <w:r w:rsidR="00011E01">
        <w:rPr>
          <w:rFonts w:ascii="Arial" w:hAnsi="Arial" w:cs="Arial"/>
          <w:sz w:val="20"/>
          <w:szCs w:val="20"/>
        </w:rPr>
        <w:t>documentation.</w:t>
      </w:r>
      <w:r w:rsidR="00BE1D05">
        <w:rPr>
          <w:rFonts w:ascii="Arial" w:hAnsi="Arial" w:cs="Arial"/>
          <w:sz w:val="20"/>
          <w:szCs w:val="20"/>
        </w:rPr>
        <w:t xml:space="preserve"> </w:t>
      </w:r>
    </w:p>
    <w:p w14:paraId="38833EBE" w14:textId="7E9C8005" w:rsidR="00D741B4" w:rsidRDefault="002650E5" w:rsidP="62F95E60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with </w:t>
      </w:r>
      <w:r w:rsidR="00965E13">
        <w:rPr>
          <w:rFonts w:ascii="Arial" w:hAnsi="Arial" w:cs="Arial"/>
          <w:sz w:val="20"/>
          <w:szCs w:val="20"/>
        </w:rPr>
        <w:t>each Framework</w:t>
      </w:r>
      <w:r>
        <w:rPr>
          <w:rFonts w:ascii="Arial" w:hAnsi="Arial" w:cs="Arial"/>
          <w:sz w:val="20"/>
          <w:szCs w:val="20"/>
        </w:rPr>
        <w:t>, confirm and collate</w:t>
      </w:r>
      <w:r w:rsidR="00965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SSEA </w:t>
      </w:r>
      <w:r w:rsidR="00965E13">
        <w:rPr>
          <w:rFonts w:ascii="Arial" w:hAnsi="Arial" w:cs="Arial"/>
          <w:sz w:val="20"/>
          <w:szCs w:val="20"/>
        </w:rPr>
        <w:t xml:space="preserve">line 2 assurance </w:t>
      </w:r>
      <w:r w:rsidR="00011E01">
        <w:rPr>
          <w:rFonts w:ascii="Arial" w:hAnsi="Arial" w:cs="Arial"/>
          <w:sz w:val="20"/>
          <w:szCs w:val="20"/>
        </w:rPr>
        <w:t>program.</w:t>
      </w:r>
    </w:p>
    <w:p w14:paraId="5594D350" w14:textId="6998A2CC" w:rsidR="00647D12" w:rsidRPr="00D54A42" w:rsidRDefault="002650E5" w:rsidP="62F95E60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Facilitation </w:t>
      </w:r>
      <w:r w:rsidR="00965E13">
        <w:rPr>
          <w:rFonts w:ascii="Arial" w:hAnsi="Arial" w:cs="Arial"/>
          <w:sz w:val="20"/>
          <w:szCs w:val="20"/>
        </w:rPr>
        <w:t>of the Assurance Working Group</w:t>
      </w:r>
      <w:r>
        <w:rPr>
          <w:rFonts w:ascii="Arial" w:hAnsi="Arial" w:cs="Arial"/>
          <w:sz w:val="20"/>
          <w:szCs w:val="20"/>
        </w:rPr>
        <w:t xml:space="preserve"> to enable cross-</w:t>
      </w:r>
      <w:r w:rsidR="0032718F">
        <w:rPr>
          <w:rFonts w:ascii="Arial" w:hAnsi="Arial" w:cs="Arial"/>
          <w:sz w:val="20"/>
          <w:szCs w:val="20"/>
        </w:rPr>
        <w:t>SSEA</w:t>
      </w:r>
      <w:r w:rsidR="00874C45">
        <w:rPr>
          <w:rFonts w:ascii="Arial" w:hAnsi="Arial" w:cs="Arial"/>
          <w:sz w:val="20"/>
          <w:szCs w:val="20"/>
        </w:rPr>
        <w:t xml:space="preserve"> and organisational</w:t>
      </w:r>
      <w:r w:rsidR="00327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collaboration</w:t>
      </w:r>
      <w:r w:rsidR="0032718F">
        <w:rPr>
          <w:rFonts w:ascii="Arial" w:hAnsi="Arial" w:cs="Arial"/>
          <w:sz w:val="20"/>
          <w:szCs w:val="20"/>
        </w:rPr>
        <w:t xml:space="preserve"> </w:t>
      </w:r>
      <w:r w:rsidR="00874C45">
        <w:rPr>
          <w:rFonts w:ascii="Arial" w:hAnsi="Arial" w:cs="Arial"/>
          <w:sz w:val="20"/>
          <w:szCs w:val="20"/>
        </w:rPr>
        <w:t xml:space="preserve">on how we identify and manage our assurance </w:t>
      </w:r>
      <w:r w:rsidR="00011E01">
        <w:rPr>
          <w:rFonts w:ascii="Arial" w:hAnsi="Arial" w:cs="Arial"/>
          <w:sz w:val="20"/>
          <w:szCs w:val="20"/>
        </w:rPr>
        <w:t>activities.</w:t>
      </w:r>
    </w:p>
    <w:p w14:paraId="0D423FDB" w14:textId="294A1C10" w:rsidR="00AF6953" w:rsidRPr="00D54A42" w:rsidRDefault="00965E13" w:rsidP="62F95E60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Continuous improvement </w:t>
      </w:r>
      <w:r w:rsidR="00F91589">
        <w:rPr>
          <w:rFonts w:ascii="Arial" w:hAnsi="Arial" w:cs="Arial"/>
          <w:sz w:val="20"/>
          <w:szCs w:val="20"/>
        </w:rPr>
        <w:t>/ thought leadership on</w:t>
      </w:r>
      <w:r>
        <w:rPr>
          <w:rFonts w:ascii="Arial" w:hAnsi="Arial" w:cs="Arial"/>
          <w:sz w:val="20"/>
          <w:szCs w:val="20"/>
        </w:rPr>
        <w:t xml:space="preserve"> assurance activities</w:t>
      </w:r>
      <w:r w:rsidR="00132C36">
        <w:rPr>
          <w:rFonts w:ascii="Arial" w:hAnsi="Arial" w:cs="Arial"/>
          <w:sz w:val="20"/>
          <w:szCs w:val="20"/>
        </w:rPr>
        <w:t xml:space="preserve"> and capability</w:t>
      </w:r>
      <w:r>
        <w:rPr>
          <w:rFonts w:ascii="Arial" w:hAnsi="Arial" w:cs="Arial"/>
          <w:sz w:val="20"/>
          <w:szCs w:val="20"/>
        </w:rPr>
        <w:t xml:space="preserve"> across the </w:t>
      </w:r>
      <w:r w:rsidR="00011E01">
        <w:rPr>
          <w:rFonts w:ascii="Arial" w:hAnsi="Arial" w:cs="Arial"/>
          <w:sz w:val="20"/>
          <w:szCs w:val="20"/>
        </w:rPr>
        <w:t>frameworks.</w:t>
      </w:r>
    </w:p>
    <w:p w14:paraId="369353B2" w14:textId="77777777" w:rsidR="00C21291" w:rsidRPr="008101D9" w:rsidRDefault="00C21291" w:rsidP="00812037">
      <w:pPr>
        <w:spacing w:before="120" w:after="120"/>
        <w:rPr>
          <w:rFonts w:ascii="Arial" w:hAnsi="Arial" w:cs="Arial"/>
          <w:b/>
          <w:bCs/>
          <w:lang w:val="en-AU"/>
        </w:rPr>
      </w:pPr>
      <w:r w:rsidRPr="008101D9">
        <w:rPr>
          <w:rFonts w:ascii="Arial" w:hAnsi="Arial" w:cs="Arial"/>
          <w:b/>
          <w:bCs/>
          <w:lang w:val="en-AU"/>
        </w:rPr>
        <w:t>People</w:t>
      </w:r>
    </w:p>
    <w:p w14:paraId="1DBC542B" w14:textId="741286CF" w:rsidR="00F91589" w:rsidRPr="00F91589" w:rsidRDefault="00FB33FF" w:rsidP="00F91589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47609">
        <w:rPr>
          <w:rFonts w:ascii="Arial" w:hAnsi="Arial" w:cs="Arial"/>
          <w:lang w:val="en-AU"/>
        </w:rPr>
        <w:t xml:space="preserve">Maintain an effective working relationship </w:t>
      </w:r>
      <w:r w:rsidR="008101D9">
        <w:rPr>
          <w:rFonts w:ascii="Arial" w:hAnsi="Arial" w:cs="Arial"/>
          <w:lang w:val="en-AU"/>
        </w:rPr>
        <w:t xml:space="preserve">across the SSEA </w:t>
      </w:r>
      <w:r w:rsidR="00A36BDC">
        <w:rPr>
          <w:rFonts w:ascii="Arial" w:hAnsi="Arial" w:cs="Arial"/>
          <w:lang w:val="en-AU"/>
        </w:rPr>
        <w:t xml:space="preserve">Frameworks and those carrying out assurance </w:t>
      </w:r>
      <w:r w:rsidR="00011E01">
        <w:rPr>
          <w:rFonts w:ascii="Arial" w:hAnsi="Arial" w:cs="Arial"/>
          <w:lang w:val="en-AU"/>
        </w:rPr>
        <w:t>activities.</w:t>
      </w:r>
    </w:p>
    <w:p w14:paraId="0F358688" w14:textId="328F210D" w:rsidR="00A911FF" w:rsidRPr="00F91589" w:rsidRDefault="00F91589" w:rsidP="00A911F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 xml:space="preserve">As needed, manage external agencies for independent system oversight of our Frameworks </w:t>
      </w:r>
    </w:p>
    <w:p w14:paraId="08E714BE" w14:textId="77777777" w:rsidR="00A911FF" w:rsidRDefault="00A911FF" w:rsidP="00A911FF">
      <w:pPr>
        <w:spacing w:before="120" w:after="120"/>
        <w:rPr>
          <w:rFonts w:ascii="Arial" w:hAnsi="Arial" w:cs="Arial"/>
          <w:b/>
          <w:bCs/>
          <w:lang w:val="en-AU"/>
        </w:rPr>
      </w:pPr>
      <w:r w:rsidRPr="00A911FF">
        <w:rPr>
          <w:rFonts w:ascii="Arial" w:hAnsi="Arial" w:cs="Arial"/>
          <w:b/>
          <w:bCs/>
          <w:lang w:val="en-AU"/>
        </w:rPr>
        <w:t>Compliance, Systems and Reporting</w:t>
      </w:r>
    </w:p>
    <w:p w14:paraId="2DEA676F" w14:textId="77777777" w:rsidR="00A911FF" w:rsidRPr="007066A0" w:rsidRDefault="00A911FF" w:rsidP="00A911FF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  <w:lang w:val="en-AU"/>
        </w:rPr>
      </w:pPr>
      <w:r w:rsidRPr="00A911FF">
        <w:rPr>
          <w:rFonts w:ascii="Arial" w:hAnsi="Arial" w:cs="Arial"/>
        </w:rPr>
        <w:t>Reporting monthly and quarterly to key stakeholders across the business, regarding both the planned and outcomes of line 2 assurance activities</w:t>
      </w:r>
    </w:p>
    <w:p w14:paraId="1FB4F084" w14:textId="680BAF0A" w:rsidR="007066A0" w:rsidRPr="00A911FF" w:rsidRDefault="007066A0" w:rsidP="00A911FF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</w:rPr>
        <w:t>Champion and support line</w:t>
      </w:r>
      <w:r w:rsidR="00880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assurance processes via corporate repositories (C</w:t>
      </w:r>
      <w:r w:rsidR="00C00854">
        <w:rPr>
          <w:rFonts w:ascii="Arial" w:hAnsi="Arial" w:cs="Arial"/>
        </w:rPr>
        <w:t>IRRIS and Integrated Risk Management)</w:t>
      </w:r>
    </w:p>
    <w:p w14:paraId="3096DCE1" w14:textId="6514863B" w:rsidR="00A911FF" w:rsidRPr="00A911FF" w:rsidRDefault="00A911FF" w:rsidP="00A911FF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  <w:lang w:val="en-AU"/>
        </w:rPr>
      </w:pPr>
      <w:r w:rsidRPr="00A911FF">
        <w:rPr>
          <w:rFonts w:ascii="Arial" w:hAnsi="Arial" w:cs="Arial"/>
          <w:lang w:val="en-AU"/>
        </w:rPr>
        <w:t>Maintain compliance with enterprise governance systems and policies, including Safety, Environment, WHS and Enterprise Risk</w:t>
      </w:r>
    </w:p>
    <w:p w14:paraId="369353B7" w14:textId="77777777" w:rsidR="00C21291" w:rsidRPr="00101766" w:rsidRDefault="00C21291" w:rsidP="00812037">
      <w:pPr>
        <w:spacing w:before="120" w:after="120"/>
        <w:rPr>
          <w:rFonts w:ascii="Arial" w:hAnsi="Arial" w:cs="Arial"/>
          <w:b/>
          <w:bCs/>
          <w:lang w:val="en-AU"/>
        </w:rPr>
      </w:pPr>
      <w:r w:rsidRPr="00101766">
        <w:rPr>
          <w:rFonts w:ascii="Arial" w:hAnsi="Arial" w:cs="Arial"/>
          <w:b/>
          <w:bCs/>
          <w:lang w:val="en-AU"/>
        </w:rPr>
        <w:t>Safety</w:t>
      </w:r>
    </w:p>
    <w:p w14:paraId="369353B8" w14:textId="2CEB5AB2" w:rsidR="00B67C78" w:rsidRPr="00A911FF" w:rsidRDefault="00FB33FF" w:rsidP="00A911FF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lang w:val="en-AU"/>
        </w:rPr>
      </w:pPr>
      <w:r w:rsidRPr="00A911FF">
        <w:rPr>
          <w:rFonts w:ascii="Arial" w:hAnsi="Arial" w:cs="Arial"/>
          <w:lang w:val="en-AU"/>
        </w:rPr>
        <w:t xml:space="preserve">Demonstrate safety behaviours consistent with </w:t>
      </w:r>
      <w:r w:rsidR="002D4009" w:rsidRPr="00A911FF">
        <w:rPr>
          <w:rFonts w:ascii="Arial" w:hAnsi="Arial" w:cs="Arial"/>
          <w:lang w:val="en-AU"/>
        </w:rPr>
        <w:t xml:space="preserve">our SSEA Strategy and organisational </w:t>
      </w:r>
      <w:r w:rsidR="00011E01" w:rsidRPr="00A911FF">
        <w:rPr>
          <w:rFonts w:ascii="Arial" w:hAnsi="Arial" w:cs="Arial"/>
          <w:lang w:val="en-AU"/>
        </w:rPr>
        <w:t>values.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62F95E60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62F95E6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Pr="00101766" w:rsidRDefault="00C21291" w:rsidP="00C21291">
      <w:pPr>
        <w:spacing w:before="120" w:after="120"/>
        <w:rPr>
          <w:rFonts w:ascii="Arial" w:hAnsi="Arial" w:cs="Arial"/>
          <w:b/>
          <w:bCs/>
          <w:lang w:val="en-AU"/>
        </w:rPr>
      </w:pPr>
      <w:r w:rsidRPr="00101766">
        <w:rPr>
          <w:rFonts w:ascii="Arial" w:hAnsi="Arial" w:cs="Arial"/>
          <w:b/>
          <w:bCs/>
          <w:lang w:val="en-AU"/>
        </w:rPr>
        <w:t>Efficient, Effective and Accountable</w:t>
      </w:r>
    </w:p>
    <w:p w14:paraId="580186DB" w14:textId="46038D97" w:rsidR="00807C81" w:rsidRPr="00666404" w:rsidRDefault="00807C81" w:rsidP="00666404">
      <w:pPr>
        <w:pStyle w:val="Header"/>
        <w:numPr>
          <w:ilvl w:val="0"/>
          <w:numId w:val="6"/>
        </w:numPr>
        <w:rPr>
          <w:sz w:val="20"/>
          <w:lang w:val="en-AU"/>
        </w:rPr>
      </w:pPr>
      <w:r>
        <w:rPr>
          <w:sz w:val="20"/>
          <w:lang w:val="en-AU"/>
        </w:rPr>
        <w:t xml:space="preserve">Proactively lead the SSEA Frameworks community to align and standardise how line 2 assurance is </w:t>
      </w:r>
      <w:r w:rsidR="00011E01">
        <w:rPr>
          <w:sz w:val="20"/>
          <w:lang w:val="en-AU"/>
        </w:rPr>
        <w:t>facilitated.</w:t>
      </w:r>
    </w:p>
    <w:p w14:paraId="369353BC" w14:textId="6D331074" w:rsidR="00CB2FC5" w:rsidRDefault="00E82C75" w:rsidP="62F95E60">
      <w:pPr>
        <w:pStyle w:val="Header"/>
        <w:numPr>
          <w:ilvl w:val="0"/>
          <w:numId w:val="6"/>
        </w:numPr>
        <w:rPr>
          <w:sz w:val="20"/>
          <w:lang w:val="en-AU"/>
        </w:rPr>
      </w:pPr>
      <w:r w:rsidRPr="62F95E60">
        <w:rPr>
          <w:sz w:val="20"/>
          <w:lang w:val="en-AU"/>
        </w:rPr>
        <w:t>Quality and timeliness of reporting</w:t>
      </w:r>
      <w:r w:rsidR="00807C81">
        <w:rPr>
          <w:sz w:val="20"/>
          <w:lang w:val="en-AU"/>
        </w:rPr>
        <w:t xml:space="preserve"> on the Program’s status and plan</w:t>
      </w:r>
    </w:p>
    <w:p w14:paraId="4A3FB5D4" w14:textId="084BC7E0" w:rsidR="00821B11" w:rsidRPr="00AF6953" w:rsidRDefault="00821B11" w:rsidP="62F95E60">
      <w:pPr>
        <w:pStyle w:val="Header"/>
        <w:numPr>
          <w:ilvl w:val="0"/>
          <w:numId w:val="6"/>
        </w:numPr>
        <w:rPr>
          <w:sz w:val="20"/>
          <w:lang w:val="en-AU"/>
        </w:rPr>
      </w:pPr>
      <w:r>
        <w:rPr>
          <w:sz w:val="20"/>
          <w:lang w:val="en-AU"/>
        </w:rPr>
        <w:t xml:space="preserve">Lead </w:t>
      </w:r>
      <w:r w:rsidR="004157C4">
        <w:rPr>
          <w:sz w:val="20"/>
          <w:lang w:val="en-AU"/>
        </w:rPr>
        <w:t xml:space="preserve">a purposeful and committed </w:t>
      </w:r>
      <w:r>
        <w:rPr>
          <w:sz w:val="20"/>
          <w:lang w:val="en-AU"/>
        </w:rPr>
        <w:t>Assurance Working Group</w:t>
      </w:r>
    </w:p>
    <w:p w14:paraId="369353BD" w14:textId="77777777" w:rsidR="00154776" w:rsidRPr="00101766" w:rsidRDefault="00154776" w:rsidP="00154776">
      <w:pPr>
        <w:spacing w:before="120" w:after="120"/>
        <w:rPr>
          <w:rFonts w:ascii="Arial" w:hAnsi="Arial" w:cs="Arial"/>
          <w:b/>
          <w:bCs/>
          <w:lang w:val="en-AU"/>
        </w:rPr>
      </w:pPr>
      <w:r w:rsidRPr="00101766">
        <w:rPr>
          <w:rFonts w:ascii="Arial" w:hAnsi="Arial" w:cs="Arial"/>
          <w:b/>
          <w:bCs/>
          <w:lang w:val="en-AU"/>
        </w:rPr>
        <w:t>Commercial</w:t>
      </w:r>
    </w:p>
    <w:p w14:paraId="369353BE" w14:textId="3F814CFE" w:rsidR="00CB2FC5" w:rsidRDefault="00666404" w:rsidP="62F95E60">
      <w:pPr>
        <w:pStyle w:val="Header"/>
        <w:numPr>
          <w:ilvl w:val="0"/>
          <w:numId w:val="19"/>
        </w:numPr>
        <w:rPr>
          <w:sz w:val="20"/>
          <w:lang w:val="en-AU"/>
        </w:rPr>
      </w:pPr>
      <w:r>
        <w:rPr>
          <w:sz w:val="20"/>
          <w:lang w:val="en-AU"/>
        </w:rPr>
        <w:t>D</w:t>
      </w:r>
      <w:r w:rsidR="00E82C75" w:rsidRPr="62F95E60">
        <w:rPr>
          <w:sz w:val="20"/>
          <w:lang w:val="en-AU"/>
        </w:rPr>
        <w:t>eliver efficiencies</w:t>
      </w:r>
      <w:r>
        <w:rPr>
          <w:sz w:val="20"/>
          <w:lang w:val="en-AU"/>
        </w:rPr>
        <w:t xml:space="preserve"> through a fit for purpose program of our line 2 </w:t>
      </w:r>
      <w:r w:rsidR="00011E01">
        <w:rPr>
          <w:sz w:val="20"/>
          <w:lang w:val="en-AU"/>
        </w:rPr>
        <w:t>activities.</w:t>
      </w:r>
    </w:p>
    <w:p w14:paraId="7AF1B3B8" w14:textId="2DD15FB3" w:rsidR="006D3920" w:rsidRPr="00AF6953" w:rsidRDefault="00002918" w:rsidP="62F95E60">
      <w:pPr>
        <w:pStyle w:val="Header"/>
        <w:numPr>
          <w:ilvl w:val="0"/>
          <w:numId w:val="19"/>
        </w:numPr>
        <w:rPr>
          <w:sz w:val="20"/>
          <w:lang w:val="en-AU"/>
        </w:rPr>
      </w:pPr>
      <w:r>
        <w:rPr>
          <w:sz w:val="20"/>
          <w:lang w:val="en-AU"/>
        </w:rPr>
        <w:t xml:space="preserve">Lead and manage external agencies, where required, for independent framework </w:t>
      </w:r>
      <w:r w:rsidR="00011E01">
        <w:rPr>
          <w:sz w:val="20"/>
          <w:lang w:val="en-AU"/>
        </w:rPr>
        <w:t>oversight.</w:t>
      </w:r>
    </w:p>
    <w:p w14:paraId="369353BF" w14:textId="77777777" w:rsidR="00C21291" w:rsidRPr="00101766" w:rsidRDefault="00C21291" w:rsidP="00C21291">
      <w:pPr>
        <w:spacing w:before="120" w:after="120"/>
        <w:rPr>
          <w:rFonts w:ascii="Arial" w:hAnsi="Arial" w:cs="Arial"/>
          <w:b/>
          <w:bCs/>
          <w:lang w:val="en-AU"/>
        </w:rPr>
      </w:pPr>
      <w:r w:rsidRPr="00101766">
        <w:rPr>
          <w:rFonts w:ascii="Arial" w:hAnsi="Arial" w:cs="Arial"/>
          <w:b/>
          <w:bCs/>
          <w:lang w:val="en-AU"/>
        </w:rPr>
        <w:t>Safety</w:t>
      </w:r>
    </w:p>
    <w:p w14:paraId="369353C0" w14:textId="77777777" w:rsidR="00C21291" w:rsidRPr="00C304B9" w:rsidRDefault="00FD2CA8" w:rsidP="00B67C78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62F95E60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52F35FE3" w:rsidP="62F95E6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Key Relationships</w:t>
            </w:r>
          </w:p>
        </w:tc>
      </w:tr>
    </w:tbl>
    <w:p w14:paraId="611F91CB" w14:textId="7F6CEC59" w:rsidR="00D54A42" w:rsidRDefault="00D3216A" w:rsidP="62F95E60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 xml:space="preserve">Framework owners, facilitating </w:t>
      </w:r>
      <w:r w:rsidR="00BC55EB">
        <w:rPr>
          <w:sz w:val="20"/>
          <w:lang w:val="en-AU"/>
        </w:rPr>
        <w:t xml:space="preserve">both system level and risk-based line 2 </w:t>
      </w:r>
      <w:r w:rsidR="00011E01">
        <w:rPr>
          <w:sz w:val="20"/>
          <w:lang w:val="en-AU"/>
        </w:rPr>
        <w:t>assurance.</w:t>
      </w:r>
    </w:p>
    <w:p w14:paraId="369353C3" w14:textId="61C15731" w:rsidR="00DE67C2" w:rsidRDefault="00BC55EB" w:rsidP="62F95E60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Heads of SSEA</w:t>
      </w:r>
    </w:p>
    <w:p w14:paraId="694D0532" w14:textId="312EB754" w:rsidR="00666404" w:rsidRDefault="00647D12" w:rsidP="00666404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 w:rsidRPr="62F95E60">
        <w:rPr>
          <w:sz w:val="20"/>
          <w:lang w:val="en-AU"/>
        </w:rPr>
        <w:t>Service Delivery</w:t>
      </w:r>
      <w:r w:rsidR="00D54A42">
        <w:rPr>
          <w:sz w:val="20"/>
          <w:lang w:val="en-AU"/>
        </w:rPr>
        <w:t xml:space="preserve"> </w:t>
      </w:r>
      <w:r w:rsidR="00011E01">
        <w:rPr>
          <w:sz w:val="20"/>
          <w:lang w:val="en-AU"/>
        </w:rPr>
        <w:t>stakeholders.</w:t>
      </w:r>
    </w:p>
    <w:p w14:paraId="6C9FF523" w14:textId="03B6EF26" w:rsidR="00F3472A" w:rsidRPr="00AC47CB" w:rsidRDefault="00C00854" w:rsidP="006D2F5F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Governance,</w:t>
      </w:r>
      <w:r w:rsidR="00477304">
        <w:rPr>
          <w:sz w:val="20"/>
          <w:lang w:val="en-AU"/>
        </w:rPr>
        <w:t xml:space="preserve"> </w:t>
      </w:r>
      <w:r w:rsidR="00AC47CB">
        <w:rPr>
          <w:sz w:val="20"/>
          <w:lang w:val="en-AU"/>
        </w:rPr>
        <w:t>Risk &amp; Compliance</w:t>
      </w:r>
      <w:r w:rsidR="00477304">
        <w:rPr>
          <w:sz w:val="20"/>
          <w:lang w:val="en-AU"/>
        </w:rPr>
        <w:t xml:space="preserve"> (GRC)</w:t>
      </w:r>
      <w:r w:rsidR="00AC47CB">
        <w:rPr>
          <w:sz w:val="20"/>
          <w:lang w:val="en-AU"/>
        </w:rPr>
        <w:t xml:space="preserve">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62F95E60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31E66176" w:rsidP="62F95E6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 xml:space="preserve">Skills, </w:t>
            </w:r>
            <w:r w:rsidR="52F35FE3"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Competencies</w:t>
            </w:r>
            <w:r w:rsidRPr="62F95E60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464AD096" w14:textId="0BB699F3" w:rsidR="002A0A3F" w:rsidRPr="00937835" w:rsidRDefault="002A0A3F" w:rsidP="62F95E60">
      <w:pPr>
        <w:pStyle w:val="Header"/>
        <w:spacing w:before="120"/>
        <w:rPr>
          <w:b/>
          <w:bCs/>
          <w:color w:val="000000" w:themeColor="text1"/>
          <w:sz w:val="20"/>
          <w:lang w:val="en-AU"/>
        </w:rPr>
      </w:pPr>
      <w:r w:rsidRPr="00937835">
        <w:rPr>
          <w:b/>
          <w:bCs/>
          <w:color w:val="000000" w:themeColor="text1"/>
          <w:sz w:val="20"/>
          <w:lang w:val="en-AU"/>
        </w:rPr>
        <w:t>Skills</w:t>
      </w:r>
    </w:p>
    <w:p w14:paraId="5288EE42" w14:textId="091088B9" w:rsidR="005E4086" w:rsidRDefault="005E4086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Demonstrable experience leading or managing assurance </w:t>
      </w:r>
      <w:r w:rsidR="00011E01">
        <w:rPr>
          <w:rFonts w:ascii="Arial" w:hAnsi="Arial" w:cs="Arial"/>
          <w:lang w:val="en-AU"/>
        </w:rPr>
        <w:t>programs.</w:t>
      </w:r>
      <w:r>
        <w:rPr>
          <w:rFonts w:ascii="Arial" w:hAnsi="Arial" w:cs="Arial"/>
          <w:lang w:val="en-AU"/>
        </w:rPr>
        <w:t xml:space="preserve"> </w:t>
      </w:r>
    </w:p>
    <w:p w14:paraId="2AD0E545" w14:textId="6CC69AC0" w:rsidR="00DE4904" w:rsidRDefault="00DE4904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</w:t>
      </w:r>
      <w:r w:rsidRPr="00DE4904">
        <w:rPr>
          <w:rFonts w:ascii="Arial" w:hAnsi="Arial" w:cs="Arial"/>
          <w:lang w:val="en-AU"/>
        </w:rPr>
        <w:t xml:space="preserve">xperience in understanding risk and </w:t>
      </w:r>
      <w:r w:rsidR="006F7DC8" w:rsidRPr="00DE4904">
        <w:rPr>
          <w:rFonts w:ascii="Arial" w:hAnsi="Arial" w:cs="Arial"/>
          <w:lang w:val="en-AU"/>
        </w:rPr>
        <w:t>trends.</w:t>
      </w:r>
    </w:p>
    <w:p w14:paraId="3412791E" w14:textId="7B80D0DE" w:rsidR="002A0A3F" w:rsidRDefault="00E82C75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847609">
        <w:rPr>
          <w:rFonts w:ascii="Arial" w:hAnsi="Arial" w:cs="Arial"/>
          <w:lang w:val="en-AU"/>
        </w:rPr>
        <w:t>Demonstrated ability to liaise with diverse stakeholders</w:t>
      </w:r>
      <w:r w:rsidR="00BD7162" w:rsidRPr="00847609">
        <w:rPr>
          <w:rFonts w:ascii="Arial" w:hAnsi="Arial" w:cs="Arial"/>
          <w:lang w:val="en-AU"/>
        </w:rPr>
        <w:t xml:space="preserve"> to meet customer </w:t>
      </w:r>
      <w:r w:rsidR="006F7DC8" w:rsidRPr="00847609">
        <w:rPr>
          <w:rFonts w:ascii="Arial" w:hAnsi="Arial" w:cs="Arial"/>
          <w:lang w:val="en-AU"/>
        </w:rPr>
        <w:t>needs.</w:t>
      </w:r>
      <w:r w:rsidR="00BD7162" w:rsidRPr="00847609">
        <w:rPr>
          <w:rFonts w:ascii="Arial" w:hAnsi="Arial" w:cs="Arial"/>
          <w:lang w:val="en-AU"/>
        </w:rPr>
        <w:t xml:space="preserve"> </w:t>
      </w:r>
    </w:p>
    <w:p w14:paraId="0741D4A4" w14:textId="3D909CF0" w:rsidR="006D3920" w:rsidRDefault="006D3920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Facilitation skills</w:t>
      </w:r>
    </w:p>
    <w:p w14:paraId="43762018" w14:textId="3D9CD8B0" w:rsidR="000A7F75" w:rsidRPr="00847609" w:rsidRDefault="00644D9A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Proficien</w:t>
      </w:r>
      <w:r w:rsidR="002C7281">
        <w:rPr>
          <w:rFonts w:ascii="Arial" w:hAnsi="Arial" w:cs="Arial"/>
          <w:lang w:val="en-AU"/>
        </w:rPr>
        <w:t>cy</w:t>
      </w:r>
      <w:r>
        <w:rPr>
          <w:rFonts w:ascii="Arial" w:hAnsi="Arial" w:cs="Arial"/>
          <w:lang w:val="en-AU"/>
        </w:rPr>
        <w:t xml:space="preserve"> in</w:t>
      </w:r>
      <w:r w:rsidR="002C7281">
        <w:rPr>
          <w:rFonts w:ascii="Arial" w:hAnsi="Arial" w:cs="Arial"/>
          <w:lang w:val="en-AU"/>
        </w:rPr>
        <w:t xml:space="preserve"> reporting, to achieve</w:t>
      </w:r>
      <w:r>
        <w:rPr>
          <w:rFonts w:ascii="Arial" w:hAnsi="Arial" w:cs="Arial"/>
          <w:lang w:val="en-AU"/>
        </w:rPr>
        <w:t xml:space="preserve"> </w:t>
      </w:r>
      <w:r w:rsidR="002C7281">
        <w:rPr>
          <w:rFonts w:ascii="Arial" w:hAnsi="Arial" w:cs="Arial"/>
          <w:lang w:val="en-AU"/>
        </w:rPr>
        <w:t xml:space="preserve">simple and compelling </w:t>
      </w:r>
      <w:r w:rsidR="006F7DC8">
        <w:rPr>
          <w:rFonts w:ascii="Arial" w:hAnsi="Arial" w:cs="Arial"/>
          <w:lang w:val="en-AU"/>
        </w:rPr>
        <w:t>insights.</w:t>
      </w:r>
    </w:p>
    <w:p w14:paraId="4F74B71E" w14:textId="6E5EBDFE" w:rsidR="00937835" w:rsidRPr="006D3920" w:rsidRDefault="00E82C75" w:rsidP="006D3920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847609">
        <w:rPr>
          <w:rFonts w:ascii="Arial" w:hAnsi="Arial" w:cs="Arial"/>
          <w:lang w:val="en-AU"/>
        </w:rPr>
        <w:t>Highly developed skills of coordination</w:t>
      </w:r>
      <w:r w:rsidR="002C7281">
        <w:rPr>
          <w:rFonts w:ascii="Arial" w:hAnsi="Arial" w:cs="Arial"/>
          <w:lang w:val="en-AU"/>
        </w:rPr>
        <w:t>, organisation and</w:t>
      </w:r>
      <w:r w:rsidRPr="00847609">
        <w:rPr>
          <w:rFonts w:ascii="Arial" w:hAnsi="Arial" w:cs="Arial"/>
          <w:lang w:val="en-AU"/>
        </w:rPr>
        <w:t xml:space="preserve"> record</w:t>
      </w:r>
      <w:r w:rsidR="00937835">
        <w:rPr>
          <w:rFonts w:ascii="Arial" w:hAnsi="Arial" w:cs="Arial"/>
          <w:lang w:val="en-AU"/>
        </w:rPr>
        <w:t>s</w:t>
      </w:r>
      <w:r w:rsidRPr="00847609">
        <w:rPr>
          <w:rFonts w:ascii="Arial" w:hAnsi="Arial" w:cs="Arial"/>
          <w:lang w:val="en-AU"/>
        </w:rPr>
        <w:t xml:space="preserve"> management </w:t>
      </w:r>
      <w:r w:rsidR="00BD7162" w:rsidRPr="00847609">
        <w:rPr>
          <w:rFonts w:ascii="Arial" w:hAnsi="Arial" w:cs="Arial"/>
          <w:lang w:val="en-AU"/>
        </w:rPr>
        <w:t xml:space="preserve">to plan </w:t>
      </w:r>
      <w:r w:rsidR="00937835">
        <w:rPr>
          <w:rFonts w:ascii="Arial" w:hAnsi="Arial" w:cs="Arial"/>
          <w:lang w:val="en-AU"/>
        </w:rPr>
        <w:t xml:space="preserve">and manage </w:t>
      </w:r>
      <w:r w:rsidR="006F7DC8" w:rsidRPr="00847609">
        <w:rPr>
          <w:rFonts w:ascii="Arial" w:hAnsi="Arial" w:cs="Arial"/>
          <w:lang w:val="en-AU"/>
        </w:rPr>
        <w:t>activities.</w:t>
      </w:r>
    </w:p>
    <w:p w14:paraId="38D43E7E" w14:textId="6AF37BC8" w:rsidR="002A0A3F" w:rsidRPr="00937835" w:rsidRDefault="002A0A3F" w:rsidP="62F95E60">
      <w:pPr>
        <w:pStyle w:val="Header"/>
        <w:spacing w:before="120"/>
        <w:rPr>
          <w:b/>
          <w:bCs/>
          <w:color w:val="000000" w:themeColor="text1"/>
          <w:sz w:val="20"/>
          <w:lang w:val="en-AU"/>
        </w:rPr>
      </w:pPr>
      <w:r w:rsidRPr="00937835">
        <w:rPr>
          <w:b/>
          <w:bCs/>
          <w:color w:val="000000" w:themeColor="text1"/>
          <w:sz w:val="20"/>
          <w:lang w:val="en-AU"/>
        </w:rPr>
        <w:t>Competencies</w:t>
      </w:r>
    </w:p>
    <w:p w14:paraId="3D0F5975" w14:textId="77777777" w:rsidR="00DB253F" w:rsidRDefault="00DB253F" w:rsidP="00DB25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>Working with People</w:t>
      </w:r>
    </w:p>
    <w:p w14:paraId="10E7A9C9" w14:textId="77777777" w:rsidR="00DB253F" w:rsidRDefault="00DB253F" w:rsidP="00DB25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>Adhering to Principles &amp; Values</w:t>
      </w:r>
    </w:p>
    <w:p w14:paraId="2269340D" w14:textId="77777777" w:rsidR="00DB253F" w:rsidRDefault="00DB253F" w:rsidP="00DB25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62F95E60">
        <w:rPr>
          <w:rFonts w:ascii="Arial" w:hAnsi="Arial" w:cs="Arial"/>
          <w:lang w:val="en-AU"/>
        </w:rPr>
        <w:t>Delivering Results &amp; Meeting Customer Expectations</w:t>
      </w:r>
    </w:p>
    <w:p w14:paraId="161B199B" w14:textId="3053FE35" w:rsidR="002A0A3F" w:rsidRPr="002A0A3F" w:rsidRDefault="002A0A3F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62F95E60">
        <w:rPr>
          <w:rFonts w:ascii="Arial" w:hAnsi="Arial" w:cs="Arial"/>
          <w:lang w:val="en-AU"/>
        </w:rPr>
        <w:t>Deciding &amp; Initiating Action</w:t>
      </w:r>
    </w:p>
    <w:p w14:paraId="4356D9E8" w14:textId="34F8D45C" w:rsidR="002A0A3F" w:rsidRPr="002A0A3F" w:rsidRDefault="002A0A3F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62F95E60">
        <w:rPr>
          <w:rFonts w:ascii="Arial" w:hAnsi="Arial" w:cs="Arial"/>
          <w:lang w:val="en-AU"/>
        </w:rPr>
        <w:t>Relating &amp; Networking</w:t>
      </w:r>
    </w:p>
    <w:p w14:paraId="48F7A05E" w14:textId="47F439E8" w:rsidR="002A0A3F" w:rsidRPr="002A0A3F" w:rsidRDefault="002A0A3F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62F95E60">
        <w:rPr>
          <w:rFonts w:ascii="Arial" w:hAnsi="Arial" w:cs="Arial"/>
          <w:lang w:val="en-AU"/>
        </w:rPr>
        <w:t>Planning &amp; Organising</w:t>
      </w:r>
    </w:p>
    <w:p w14:paraId="6E86A2DF" w14:textId="038A010C" w:rsidR="00E82C75" w:rsidRPr="00E82C75" w:rsidRDefault="00E82C75" w:rsidP="00E82C75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62F95E60">
        <w:rPr>
          <w:rFonts w:ascii="Arial" w:hAnsi="Arial" w:cs="Arial"/>
          <w:lang w:val="en-AU"/>
        </w:rPr>
        <w:lastRenderedPageBreak/>
        <w:t>Adapting &amp; Responding to Change</w:t>
      </w:r>
    </w:p>
    <w:p w14:paraId="74092D0C" w14:textId="79FAA294" w:rsidR="00666404" w:rsidRPr="00937835" w:rsidRDefault="002A0A3F" w:rsidP="00666404">
      <w:pPr>
        <w:pStyle w:val="Header"/>
        <w:spacing w:before="120"/>
        <w:rPr>
          <w:b/>
          <w:bCs/>
          <w:color w:val="000000" w:themeColor="text1"/>
          <w:sz w:val="20"/>
          <w:lang w:val="en-AU"/>
        </w:rPr>
      </w:pPr>
      <w:r w:rsidRPr="00937835">
        <w:rPr>
          <w:b/>
          <w:bCs/>
          <w:color w:val="000000" w:themeColor="text1"/>
          <w:sz w:val="20"/>
          <w:lang w:val="en-AU"/>
        </w:rPr>
        <w:t>Qualifications</w:t>
      </w:r>
      <w:r w:rsidR="00666404" w:rsidRPr="00937835">
        <w:rPr>
          <w:b/>
          <w:bCs/>
          <w:color w:val="000000" w:themeColor="text1"/>
          <w:sz w:val="20"/>
          <w:lang w:val="en-AU"/>
        </w:rPr>
        <w:t xml:space="preserve"> / accreditation</w:t>
      </w:r>
    </w:p>
    <w:p w14:paraId="369353C6" w14:textId="03FB96FD" w:rsidR="00E65DD2" w:rsidRDefault="00EF62E9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847609">
        <w:rPr>
          <w:rFonts w:ascii="Arial" w:hAnsi="Arial" w:cs="Arial"/>
          <w:lang w:val="en-AU"/>
        </w:rPr>
        <w:t xml:space="preserve">A degree in aviation, safety or a related field is highly </w:t>
      </w:r>
      <w:r w:rsidR="006F7DC8" w:rsidRPr="00847609">
        <w:rPr>
          <w:rFonts w:ascii="Arial" w:hAnsi="Arial" w:cs="Arial"/>
          <w:lang w:val="en-AU"/>
        </w:rPr>
        <w:t>desirable.</w:t>
      </w:r>
    </w:p>
    <w:p w14:paraId="2B0F790E" w14:textId="04934C33" w:rsidR="005E4086" w:rsidRPr="00847609" w:rsidRDefault="00937835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Further education in </w:t>
      </w:r>
      <w:r w:rsidR="00B20509">
        <w:rPr>
          <w:rFonts w:ascii="Arial" w:hAnsi="Arial" w:cs="Arial"/>
          <w:lang w:val="en-AU"/>
        </w:rPr>
        <w:t>Risk Management</w:t>
      </w:r>
      <w:r w:rsidR="000A7F75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is </w:t>
      </w:r>
      <w:r w:rsidR="006F7DC8">
        <w:rPr>
          <w:rFonts w:ascii="Arial" w:hAnsi="Arial" w:cs="Arial"/>
          <w:lang w:val="en-AU"/>
        </w:rPr>
        <w:t>advantageous.</w:t>
      </w:r>
      <w:r w:rsidR="000A7F75">
        <w:rPr>
          <w:rFonts w:ascii="Arial" w:hAnsi="Arial" w:cs="Arial"/>
          <w:lang w:val="en-AU"/>
        </w:rPr>
        <w:t xml:space="preserve">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565239DB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</w:t>
      </w:r>
      <w:r w:rsidR="00217413">
        <w:rPr>
          <w:rFonts w:ascii="Arial" w:hAnsi="Arial" w:cs="Arial"/>
          <w:lang w:val="en-AU"/>
        </w:rPr>
        <w:t xml:space="preserve">. </w:t>
      </w:r>
      <w:r>
        <w:rPr>
          <w:rFonts w:ascii="Arial" w:hAnsi="Arial" w:cs="Arial"/>
          <w:lang w:val="en-AU"/>
        </w:rPr>
        <w:t>This includes:</w:t>
      </w:r>
    </w:p>
    <w:p w14:paraId="369353CA" w14:textId="4BC598E6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 xml:space="preserve">h dignity, </w:t>
      </w:r>
      <w:r w:rsidR="00217413">
        <w:rPr>
          <w:rFonts w:ascii="Arial" w:hAnsi="Arial" w:cs="Arial"/>
          <w:lang w:val="en-AU"/>
        </w:rPr>
        <w:t>respect,</w:t>
      </w:r>
      <w:r>
        <w:rPr>
          <w:rFonts w:ascii="Arial" w:hAnsi="Arial" w:cs="Arial"/>
          <w:lang w:val="en-AU"/>
        </w:rPr>
        <w:t xml:space="preserve"> and courtesy</w:t>
      </w:r>
    </w:p>
    <w:p w14:paraId="369353CB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53EE26E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</w:t>
      </w:r>
      <w:r w:rsidR="00217413" w:rsidRPr="00D74184">
        <w:rPr>
          <w:rFonts w:ascii="Arial" w:hAnsi="Arial" w:cs="Arial"/>
          <w:lang w:val="en-AU"/>
        </w:rPr>
        <w:t>potential,</w:t>
      </w:r>
      <w:r w:rsidRPr="00D74184">
        <w:rPr>
          <w:rFonts w:ascii="Arial" w:hAnsi="Arial" w:cs="Arial"/>
          <w:lang w:val="en-AU"/>
        </w:rPr>
        <w:t xml:space="preserve"> or</w:t>
      </w:r>
      <w:r>
        <w:rPr>
          <w:rFonts w:ascii="Arial" w:hAnsi="Arial" w:cs="Arial"/>
          <w:lang w:val="en-AU"/>
        </w:rPr>
        <w:t xml:space="preserve"> perceived conflict of </w:t>
      </w:r>
      <w:r w:rsidR="006F7DC8">
        <w:rPr>
          <w:rFonts w:ascii="Arial" w:hAnsi="Arial" w:cs="Arial"/>
          <w:lang w:val="en-AU"/>
        </w:rPr>
        <w:t>interest.</w:t>
      </w:r>
    </w:p>
    <w:p w14:paraId="369353CF" w14:textId="66872975" w:rsidR="00463525" w:rsidRDefault="0072447A" w:rsidP="00294265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 w:rsidR="00217413">
        <w:rPr>
          <w:rFonts w:ascii="Arial" w:hAnsi="Arial" w:cs="Arial"/>
          <w:lang w:val="en-AU"/>
        </w:rPr>
        <w:t>m</w:t>
      </w:r>
      <w:r w:rsidR="00217413" w:rsidRPr="00AE5158">
        <w:rPr>
          <w:rFonts w:ascii="Arial" w:hAnsi="Arial" w:cs="Arial"/>
          <w:lang w:val="en-AU"/>
        </w:rPr>
        <w:t>ission,</w:t>
      </w:r>
      <w:r w:rsidRPr="00AE5158">
        <w:rPr>
          <w:rFonts w:ascii="Arial" w:hAnsi="Arial" w:cs="Arial"/>
          <w:lang w:val="en-AU"/>
        </w:rPr>
        <w:t xml:space="preserve">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8C5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8BBD" w14:textId="77777777" w:rsidR="00DE2F51" w:rsidRDefault="00DE2F51">
      <w:r>
        <w:separator/>
      </w:r>
    </w:p>
  </w:endnote>
  <w:endnote w:type="continuationSeparator" w:id="0">
    <w:p w14:paraId="4A7F3D5D" w14:textId="77777777" w:rsidR="00DE2F51" w:rsidRDefault="00D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26A1" w14:textId="77777777" w:rsidR="00806332" w:rsidRDefault="00806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39715551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CE6886">
      <w:rPr>
        <w:rFonts w:ascii="Arial" w:hAnsi="Arial" w:cs="Arial"/>
        <w:noProof/>
        <w:sz w:val="16"/>
      </w:rPr>
      <w:t>2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CE6886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Symbol" w:eastAsia="Symbol" w:hAnsi="Symbol" w:cs="Symbol"/>
        <w:sz w:val="16"/>
      </w:rPr>
      <w:t>ã</w:t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1A96" w14:textId="77777777" w:rsidR="00806332" w:rsidRDefault="00806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9983" w14:textId="77777777" w:rsidR="00DE2F51" w:rsidRDefault="00DE2F51">
      <w:r>
        <w:separator/>
      </w:r>
    </w:p>
  </w:footnote>
  <w:footnote w:type="continuationSeparator" w:id="0">
    <w:p w14:paraId="0B2FA00E" w14:textId="77777777" w:rsidR="00DE2F51" w:rsidRDefault="00D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3ACAF9A1" w:rsidR="0061097D" w:rsidRDefault="00806332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D7684A" wp14:editId="251830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20030" w14:textId="43AE1086" w:rsidR="00806332" w:rsidRPr="00806332" w:rsidRDefault="0080633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0633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768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D620030" w14:textId="43AE1086" w:rsidR="00806332" w:rsidRPr="00806332" w:rsidRDefault="0080633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0633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6FE81C71" w:rsidR="00BA56AA" w:rsidRPr="00CB4DF7" w:rsidRDefault="00806332" w:rsidP="00224AD7">
    <w:pPr>
      <w:pStyle w:val="Header"/>
      <w:tabs>
        <w:tab w:val="clear" w:pos="9356"/>
        <w:tab w:val="right" w:pos="9070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980DD8" wp14:editId="41DEA1B9">
              <wp:simplePos x="904875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77793" w14:textId="63A335B7" w:rsidR="00806332" w:rsidRPr="00806332" w:rsidRDefault="0080633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0633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80D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0A77793" w14:textId="63A335B7" w:rsidR="00806332" w:rsidRPr="00806332" w:rsidRDefault="0080633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0633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56AA" w:rsidRPr="00D73CED">
      <w:t>Position</w:t>
    </w:r>
    <w:r w:rsidR="00224AD7">
      <w:t xml:space="preserve"> D</w:t>
    </w:r>
    <w:r w:rsidR="00BA56AA">
      <w:t xml:space="preserve">escription </w:t>
    </w:r>
    <w:r w:rsidR="00224AD7">
      <w:t>T</w:t>
    </w:r>
    <w:r w:rsidR="00BA56AA">
      <w:t>emplate</w:t>
    </w:r>
    <w:r w:rsidR="00224AD7">
      <w:tab/>
    </w:r>
    <w:r w:rsidR="00BA56AA">
      <w:t>C-TEMP0151</w:t>
    </w:r>
  </w:p>
  <w:p w14:paraId="640E9B0A" w14:textId="1E1D4FF0" w:rsidR="00BA56AA" w:rsidRPr="00CB4DF7" w:rsidRDefault="00BA56AA" w:rsidP="00224AD7">
    <w:pPr>
      <w:pStyle w:val="Header"/>
      <w:tabs>
        <w:tab w:val="clear" w:pos="9356"/>
        <w:tab w:val="right" w:pos="9070"/>
      </w:tabs>
    </w:pPr>
    <w:r>
      <w:t>Version: 1</w:t>
    </w:r>
    <w:r w:rsidR="0000337C">
      <w:t>4</w:t>
    </w:r>
    <w:r w:rsidRPr="00CB4DF7">
      <w:tab/>
    </w:r>
    <w:r w:rsidR="00D4389E"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  <w15:color w:val="800080"/>
      </w:sdtPr>
      <w:sdtContent>
        <w:r>
          <w:t>26 June 2020</w:t>
        </w:r>
      </w:sdtContent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297225FA" w:rsidR="0061097D" w:rsidRDefault="00806332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27A005" wp14:editId="470E08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260DC" w14:textId="0C3AABFF" w:rsidR="00806332" w:rsidRPr="00806332" w:rsidRDefault="0080633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0633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7A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EB260DC" w14:textId="0C3AABFF" w:rsidR="00806332" w:rsidRPr="00806332" w:rsidRDefault="0080633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0633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85312F"/>
    <w:multiLevelType w:val="hybridMultilevel"/>
    <w:tmpl w:val="FDAA118A"/>
    <w:lvl w:ilvl="0" w:tplc="5010F686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1855EA8"/>
    <w:multiLevelType w:val="hybridMultilevel"/>
    <w:tmpl w:val="7FC64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1FA"/>
    <w:multiLevelType w:val="hybridMultilevel"/>
    <w:tmpl w:val="EE00F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841146">
    <w:abstractNumId w:val="33"/>
  </w:num>
  <w:num w:numId="2" w16cid:durableId="239338455">
    <w:abstractNumId w:val="24"/>
  </w:num>
  <w:num w:numId="3" w16cid:durableId="1552576000">
    <w:abstractNumId w:val="37"/>
  </w:num>
  <w:num w:numId="4" w16cid:durableId="1778327754">
    <w:abstractNumId w:val="40"/>
  </w:num>
  <w:num w:numId="5" w16cid:durableId="1933734919">
    <w:abstractNumId w:val="0"/>
  </w:num>
  <w:num w:numId="6" w16cid:durableId="921909495">
    <w:abstractNumId w:val="9"/>
  </w:num>
  <w:num w:numId="7" w16cid:durableId="1436093990">
    <w:abstractNumId w:val="21"/>
  </w:num>
  <w:num w:numId="8" w16cid:durableId="877282923">
    <w:abstractNumId w:val="35"/>
  </w:num>
  <w:num w:numId="9" w16cid:durableId="744569084">
    <w:abstractNumId w:val="10"/>
  </w:num>
  <w:num w:numId="10" w16cid:durableId="1040280689">
    <w:abstractNumId w:val="20"/>
  </w:num>
  <w:num w:numId="11" w16cid:durableId="1976985593">
    <w:abstractNumId w:val="30"/>
  </w:num>
  <w:num w:numId="12" w16cid:durableId="1969045667">
    <w:abstractNumId w:val="25"/>
  </w:num>
  <w:num w:numId="13" w16cid:durableId="577445113">
    <w:abstractNumId w:val="14"/>
  </w:num>
  <w:num w:numId="14" w16cid:durableId="1604142895">
    <w:abstractNumId w:val="29"/>
  </w:num>
  <w:num w:numId="15" w16cid:durableId="774251649">
    <w:abstractNumId w:val="41"/>
  </w:num>
  <w:num w:numId="16" w16cid:durableId="2142376666">
    <w:abstractNumId w:val="26"/>
  </w:num>
  <w:num w:numId="17" w16cid:durableId="1220172804">
    <w:abstractNumId w:val="11"/>
  </w:num>
  <w:num w:numId="18" w16cid:durableId="268199072">
    <w:abstractNumId w:val="4"/>
  </w:num>
  <w:num w:numId="19" w16cid:durableId="1991901391">
    <w:abstractNumId w:val="22"/>
  </w:num>
  <w:num w:numId="20" w16cid:durableId="1089693333">
    <w:abstractNumId w:val="27"/>
  </w:num>
  <w:num w:numId="21" w16cid:durableId="136995604">
    <w:abstractNumId w:val="1"/>
  </w:num>
  <w:num w:numId="22" w16cid:durableId="1794060346">
    <w:abstractNumId w:val="2"/>
  </w:num>
  <w:num w:numId="23" w16cid:durableId="1741633354">
    <w:abstractNumId w:val="3"/>
  </w:num>
  <w:num w:numId="24" w16cid:durableId="490171841">
    <w:abstractNumId w:val="17"/>
  </w:num>
  <w:num w:numId="25" w16cid:durableId="1090739442">
    <w:abstractNumId w:val="31"/>
  </w:num>
  <w:num w:numId="26" w16cid:durableId="387921850">
    <w:abstractNumId w:val="7"/>
  </w:num>
  <w:num w:numId="27" w16cid:durableId="1737124595">
    <w:abstractNumId w:val="36"/>
  </w:num>
  <w:num w:numId="28" w16cid:durableId="951476349">
    <w:abstractNumId w:val="8"/>
  </w:num>
  <w:num w:numId="29" w16cid:durableId="1417898050">
    <w:abstractNumId w:val="34"/>
  </w:num>
  <w:num w:numId="30" w16cid:durableId="1668943465">
    <w:abstractNumId w:val="39"/>
  </w:num>
  <w:num w:numId="31" w16cid:durableId="1185172576">
    <w:abstractNumId w:val="38"/>
  </w:num>
  <w:num w:numId="32" w16cid:durableId="2034571441">
    <w:abstractNumId w:val="28"/>
  </w:num>
  <w:num w:numId="33" w16cid:durableId="104934943">
    <w:abstractNumId w:val="13"/>
  </w:num>
  <w:num w:numId="34" w16cid:durableId="234821069">
    <w:abstractNumId w:val="32"/>
  </w:num>
  <w:num w:numId="35" w16cid:durableId="1537233206">
    <w:abstractNumId w:val="19"/>
  </w:num>
  <w:num w:numId="36" w16cid:durableId="1742211592">
    <w:abstractNumId w:val="5"/>
  </w:num>
  <w:num w:numId="37" w16cid:durableId="650335125">
    <w:abstractNumId w:val="12"/>
  </w:num>
  <w:num w:numId="38" w16cid:durableId="988367427">
    <w:abstractNumId w:val="6"/>
  </w:num>
  <w:num w:numId="39" w16cid:durableId="346560896">
    <w:abstractNumId w:val="18"/>
  </w:num>
  <w:num w:numId="40" w16cid:durableId="967593400">
    <w:abstractNumId w:val="16"/>
  </w:num>
  <w:num w:numId="41" w16cid:durableId="11818927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54971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2918"/>
    <w:rsid w:val="0000337C"/>
    <w:rsid w:val="00003419"/>
    <w:rsid w:val="00003741"/>
    <w:rsid w:val="000066AB"/>
    <w:rsid w:val="0001078B"/>
    <w:rsid w:val="0001091E"/>
    <w:rsid w:val="00011059"/>
    <w:rsid w:val="00011E01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0FD8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A06"/>
    <w:rsid w:val="000763F1"/>
    <w:rsid w:val="00081A8A"/>
    <w:rsid w:val="00082E04"/>
    <w:rsid w:val="00085892"/>
    <w:rsid w:val="000871D3"/>
    <w:rsid w:val="0009068C"/>
    <w:rsid w:val="0009131C"/>
    <w:rsid w:val="00091874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A7F75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1766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2C36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14F4"/>
    <w:rsid w:val="0018184D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56B6"/>
    <w:rsid w:val="00216029"/>
    <w:rsid w:val="00217413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4771C"/>
    <w:rsid w:val="00254889"/>
    <w:rsid w:val="00255961"/>
    <w:rsid w:val="00257630"/>
    <w:rsid w:val="002619D5"/>
    <w:rsid w:val="00261EF0"/>
    <w:rsid w:val="002646F6"/>
    <w:rsid w:val="002650E5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0A64"/>
    <w:rsid w:val="00293610"/>
    <w:rsid w:val="00293ABA"/>
    <w:rsid w:val="00293FEC"/>
    <w:rsid w:val="00294265"/>
    <w:rsid w:val="00295A44"/>
    <w:rsid w:val="00296850"/>
    <w:rsid w:val="0029691A"/>
    <w:rsid w:val="002975F4"/>
    <w:rsid w:val="00297EEC"/>
    <w:rsid w:val="002A0A3F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81"/>
    <w:rsid w:val="002C72F4"/>
    <w:rsid w:val="002D0CB5"/>
    <w:rsid w:val="002D4009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2718F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0E1C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6E8D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57C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77304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A36"/>
    <w:rsid w:val="00495EFA"/>
    <w:rsid w:val="00497042"/>
    <w:rsid w:val="004977F7"/>
    <w:rsid w:val="00497847"/>
    <w:rsid w:val="004978E4"/>
    <w:rsid w:val="00497B72"/>
    <w:rsid w:val="004A04A3"/>
    <w:rsid w:val="004A239E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1AEB"/>
    <w:rsid w:val="005127F4"/>
    <w:rsid w:val="00513BE3"/>
    <w:rsid w:val="0051591E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4EA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A7A"/>
    <w:rsid w:val="00597FEA"/>
    <w:rsid w:val="005A04EF"/>
    <w:rsid w:val="005A2F59"/>
    <w:rsid w:val="005A3B84"/>
    <w:rsid w:val="005A4702"/>
    <w:rsid w:val="005A4738"/>
    <w:rsid w:val="005A5957"/>
    <w:rsid w:val="005A5C85"/>
    <w:rsid w:val="005B0539"/>
    <w:rsid w:val="005B07FC"/>
    <w:rsid w:val="005B2693"/>
    <w:rsid w:val="005B306D"/>
    <w:rsid w:val="005B4E2A"/>
    <w:rsid w:val="005B5E3C"/>
    <w:rsid w:val="005B66B8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E4086"/>
    <w:rsid w:val="005F182A"/>
    <w:rsid w:val="005F3BD6"/>
    <w:rsid w:val="006002BF"/>
    <w:rsid w:val="00600461"/>
    <w:rsid w:val="00600541"/>
    <w:rsid w:val="00602260"/>
    <w:rsid w:val="00602449"/>
    <w:rsid w:val="0060289A"/>
    <w:rsid w:val="00605A21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2729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4D9A"/>
    <w:rsid w:val="00645697"/>
    <w:rsid w:val="0064674C"/>
    <w:rsid w:val="00647B0A"/>
    <w:rsid w:val="00647D12"/>
    <w:rsid w:val="00650D2D"/>
    <w:rsid w:val="006524BB"/>
    <w:rsid w:val="00662599"/>
    <w:rsid w:val="00663213"/>
    <w:rsid w:val="006644A2"/>
    <w:rsid w:val="0066529E"/>
    <w:rsid w:val="00666404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920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58F3"/>
    <w:rsid w:val="006F6CC1"/>
    <w:rsid w:val="006F7DC8"/>
    <w:rsid w:val="00701BD5"/>
    <w:rsid w:val="007032C1"/>
    <w:rsid w:val="00704678"/>
    <w:rsid w:val="007066A0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064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4A4"/>
    <w:rsid w:val="00800B3D"/>
    <w:rsid w:val="00801B2D"/>
    <w:rsid w:val="00801F3C"/>
    <w:rsid w:val="00803349"/>
    <w:rsid w:val="0080389E"/>
    <w:rsid w:val="00806332"/>
    <w:rsid w:val="00807C81"/>
    <w:rsid w:val="008101D9"/>
    <w:rsid w:val="00812037"/>
    <w:rsid w:val="00816DCA"/>
    <w:rsid w:val="0081746A"/>
    <w:rsid w:val="00821B11"/>
    <w:rsid w:val="00821DA3"/>
    <w:rsid w:val="00823777"/>
    <w:rsid w:val="00823A5D"/>
    <w:rsid w:val="008261B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09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4C45"/>
    <w:rsid w:val="00876DAD"/>
    <w:rsid w:val="0088060A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A99"/>
    <w:rsid w:val="008B5EC7"/>
    <w:rsid w:val="008B5F0C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5219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835"/>
    <w:rsid w:val="00937C87"/>
    <w:rsid w:val="00940181"/>
    <w:rsid w:val="0094070C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31EA"/>
    <w:rsid w:val="00965502"/>
    <w:rsid w:val="009657CC"/>
    <w:rsid w:val="00965E13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1D14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20C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486"/>
    <w:rsid w:val="00A335AC"/>
    <w:rsid w:val="00A34AFF"/>
    <w:rsid w:val="00A35976"/>
    <w:rsid w:val="00A36846"/>
    <w:rsid w:val="00A36BB2"/>
    <w:rsid w:val="00A36BDC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23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11FF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47CB"/>
    <w:rsid w:val="00AC73CC"/>
    <w:rsid w:val="00AD0DA4"/>
    <w:rsid w:val="00AD0DB7"/>
    <w:rsid w:val="00AD1A29"/>
    <w:rsid w:val="00AD331D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6953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0509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48CB"/>
    <w:rsid w:val="00BC55EB"/>
    <w:rsid w:val="00BC65D4"/>
    <w:rsid w:val="00BD142E"/>
    <w:rsid w:val="00BD6668"/>
    <w:rsid w:val="00BD7162"/>
    <w:rsid w:val="00BD73A5"/>
    <w:rsid w:val="00BE03E5"/>
    <w:rsid w:val="00BE0D43"/>
    <w:rsid w:val="00BE1D05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0854"/>
    <w:rsid w:val="00C05BAB"/>
    <w:rsid w:val="00C07655"/>
    <w:rsid w:val="00C077D7"/>
    <w:rsid w:val="00C07991"/>
    <w:rsid w:val="00C12FDE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20D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4ED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966C9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225"/>
    <w:rsid w:val="00CE5D28"/>
    <w:rsid w:val="00CE608A"/>
    <w:rsid w:val="00CE6886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216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4A42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3CED"/>
    <w:rsid w:val="00D74184"/>
    <w:rsid w:val="00D741B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53F"/>
    <w:rsid w:val="00DB2A8B"/>
    <w:rsid w:val="00DB5C47"/>
    <w:rsid w:val="00DB646E"/>
    <w:rsid w:val="00DB68FD"/>
    <w:rsid w:val="00DB7D64"/>
    <w:rsid w:val="00DC52F1"/>
    <w:rsid w:val="00DC7090"/>
    <w:rsid w:val="00DC71FB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2F51"/>
    <w:rsid w:val="00DE3B49"/>
    <w:rsid w:val="00DE3C9B"/>
    <w:rsid w:val="00DE4620"/>
    <w:rsid w:val="00DE4904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2C75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62E9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472A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70E9"/>
    <w:rsid w:val="00F81892"/>
    <w:rsid w:val="00F82D12"/>
    <w:rsid w:val="00F848F6"/>
    <w:rsid w:val="00F84B8B"/>
    <w:rsid w:val="00F85E64"/>
    <w:rsid w:val="00F864BC"/>
    <w:rsid w:val="00F876F5"/>
    <w:rsid w:val="00F878F9"/>
    <w:rsid w:val="00F9038E"/>
    <w:rsid w:val="00F91589"/>
    <w:rsid w:val="00F92193"/>
    <w:rsid w:val="00F93BAB"/>
    <w:rsid w:val="00F93E3C"/>
    <w:rsid w:val="00F94D34"/>
    <w:rsid w:val="00F959C0"/>
    <w:rsid w:val="00FA0004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  <w:rsid w:val="2A122704"/>
    <w:rsid w:val="31E66176"/>
    <w:rsid w:val="4F6250D2"/>
    <w:rsid w:val="52F35FE3"/>
    <w:rsid w:val="62F95E60"/>
    <w:rsid w:val="7AC59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  <w:style w:type="character" w:customStyle="1" w:styleId="ui-provider">
    <w:name w:val="ui-provider"/>
    <w:basedOn w:val="DefaultParagraphFont"/>
    <w:rsid w:val="0082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3"/>
    <w:rsid w:val="00015B23"/>
    <w:rsid w:val="008004A4"/>
    <w:rsid w:val="008C0701"/>
    <w:rsid w:val="009C7088"/>
    <w:rsid w:val="00AE6A27"/>
    <w:rsid w:val="00B916CA"/>
    <w:rsid w:val="00BC2E83"/>
    <w:rsid w:val="00BC3D2B"/>
    <w:rsid w:val="00CF4863"/>
    <w:rsid w:val="00F12014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6E395551B0645A5136981E415F007" ma:contentTypeVersion="6" ma:contentTypeDescription="Create a new document." ma:contentTypeScope="" ma:versionID="771c2aef9dab74bd911db65cd1e4986b">
  <xsd:schema xmlns:xsd="http://www.w3.org/2001/XMLSchema" xmlns:xs="http://www.w3.org/2001/XMLSchema" xmlns:p="http://schemas.microsoft.com/office/2006/metadata/properties" xmlns:ns2="b6e07a75-98c8-41e6-84ca-f08515721339" xmlns:ns3="ad8a36bd-fe17-4c48-9af1-bb8586b5345f" targetNamespace="http://schemas.microsoft.com/office/2006/metadata/properties" ma:root="true" ma:fieldsID="d2db2f1e3e6800e6cb9e23510a83a302" ns2:_="" ns3:_="">
    <xsd:import namespace="b6e07a75-98c8-41e6-84ca-f08515721339"/>
    <xsd:import namespace="ad8a36bd-fe17-4c48-9af1-bb8586b53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7a75-98c8-41e6-84ca-f08515721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36bd-fe17-4c48-9af1-bb8586b53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664A9-635E-40C9-A596-0CFBBBD51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7a75-98c8-41e6-84ca-f08515721339"/>
    <ds:schemaRef ds:uri="ad8a36bd-fe17-4c48-9af1-bb8586b53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DCA5A-2D3C-49B4-9966-964890F55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2024-06-09T23:36:00Z</dcterms:created>
  <dcterms:modified xsi:type="dcterms:W3CDTF">2024-06-13T06:05:00Z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13b7f75a-b0d8-47bc-8934-03119bd6c894</vt:lpwstr>
  </property>
  <property fmtid="{D5CDD505-2E9C-101B-9397-08002B2CF9AE}" pid="3" name="ContentTypeId">
    <vt:lpwstr>0x01010048E6E395551B0645A5136981E415F007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  <property fmtid="{D5CDD505-2E9C-101B-9397-08002B2CF9AE}" pid="10" name="ClassificationContentMarkingHeaderShapeIds">
    <vt:lpwstr>2,3,4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fbf277e0-b915-4def-b08f-513660525139_Enabled">
    <vt:lpwstr>true</vt:lpwstr>
  </property>
  <property fmtid="{D5CDD505-2E9C-101B-9397-08002B2CF9AE}" pid="14" name="MSIP_Label_fbf277e0-b915-4def-b08f-513660525139_SetDate">
    <vt:lpwstr>2021-10-25T07:35:11Z</vt:lpwstr>
  </property>
  <property fmtid="{D5CDD505-2E9C-101B-9397-08002B2CF9AE}" pid="15" name="MSIP_Label_fbf277e0-b915-4def-b08f-513660525139_Method">
    <vt:lpwstr>Privileged</vt:lpwstr>
  </property>
  <property fmtid="{D5CDD505-2E9C-101B-9397-08002B2CF9AE}" pid="16" name="MSIP_Label_fbf277e0-b915-4def-b08f-513660525139_Name">
    <vt:lpwstr>OFFICIAL</vt:lpwstr>
  </property>
  <property fmtid="{D5CDD505-2E9C-101B-9397-08002B2CF9AE}" pid="17" name="MSIP_Label_fbf277e0-b915-4def-b08f-513660525139_SiteId">
    <vt:lpwstr>ab692ff1-9191-4d16-9b12-7345739afcd5</vt:lpwstr>
  </property>
  <property fmtid="{D5CDD505-2E9C-101B-9397-08002B2CF9AE}" pid="18" name="MSIP_Label_fbf277e0-b915-4def-b08f-513660525139_ActionId">
    <vt:lpwstr>5f549cc6-77bb-4011-a0d7-2873b03d3aca</vt:lpwstr>
  </property>
  <property fmtid="{D5CDD505-2E9C-101B-9397-08002B2CF9AE}" pid="19" name="MSIP_Label_fbf277e0-b915-4def-b08f-513660525139_ContentBits">
    <vt:lpwstr>1</vt:lpwstr>
  </property>
</Properties>
</file>