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266"/>
        <w:gridCol w:w="2050"/>
      </w:tblGrid>
      <w:tr w:rsidR="00573067" w:rsidRPr="00BE124B" w:rsidTr="005340B4">
        <w:trPr>
          <w:cantSplit/>
          <w:trHeight w:val="1540"/>
        </w:trPr>
        <w:tc>
          <w:tcPr>
            <w:tcW w:w="3900" w:type="pct"/>
          </w:tcPr>
          <w:p w:rsidR="00573067" w:rsidRPr="00511ED8" w:rsidRDefault="00573067" w:rsidP="005340B4">
            <w:pPr>
              <w:pStyle w:val="DepartmentTitle"/>
              <w:ind w:left="1276"/>
              <w:jc w:val="center"/>
              <w:rPr>
                <w:sz w:val="32"/>
              </w:rPr>
            </w:pPr>
            <w:bookmarkStart w:id="0" w:name="bmTop"/>
            <w:bookmarkEnd w:id="0"/>
            <w:r w:rsidRPr="00511ED8">
              <w:rPr>
                <w:sz w:val="32"/>
              </w:rPr>
              <w:t xml:space="preserve">Department of Health and </w:t>
            </w:r>
          </w:p>
          <w:p w:rsidR="00573067" w:rsidRPr="00511ED8" w:rsidRDefault="00573067" w:rsidP="005340B4">
            <w:pPr>
              <w:pStyle w:val="Sub-branch"/>
              <w:spacing w:before="40" w:after="120"/>
              <w:ind w:left="1276"/>
              <w:jc w:val="center"/>
              <w:rPr>
                <w:caps w:val="0"/>
                <w:w w:val="100"/>
                <w:sz w:val="32"/>
                <w:szCs w:val="24"/>
              </w:rPr>
            </w:pPr>
            <w:r w:rsidRPr="00511ED8">
              <w:rPr>
                <w:caps w:val="0"/>
                <w:w w:val="100"/>
                <w:sz w:val="32"/>
                <w:szCs w:val="24"/>
              </w:rPr>
              <w:t>Tasmanian Health Service</w:t>
            </w:r>
          </w:p>
          <w:p w:rsidR="00573067" w:rsidRPr="00BE124B" w:rsidRDefault="00573067" w:rsidP="005340B4">
            <w:pPr>
              <w:pStyle w:val="Sub-branch"/>
              <w:spacing w:before="40" w:after="120"/>
              <w:ind w:left="1276"/>
              <w:jc w:val="center"/>
              <w:rPr>
                <w:caps w:val="0"/>
                <w:w w:val="100"/>
                <w:sz w:val="8"/>
                <w:szCs w:val="24"/>
              </w:rPr>
            </w:pPr>
          </w:p>
          <w:p w:rsidR="00573067" w:rsidRPr="00BE124B" w:rsidRDefault="00573067" w:rsidP="00573067">
            <w:pPr>
              <w:pStyle w:val="Heading1"/>
              <w:keepNext/>
              <w:widowControl/>
              <w:tabs>
                <w:tab w:val="left" w:pos="425"/>
                <w:tab w:val="left" w:pos="8280"/>
                <w:tab w:val="left" w:pos="9180"/>
              </w:tabs>
              <w:ind w:left="1276"/>
              <w:jc w:val="center"/>
              <w:rPr>
                <w:b w:val="0"/>
              </w:rPr>
            </w:pPr>
            <w:r w:rsidRPr="00573067">
              <w:rPr>
                <w:rFonts w:eastAsia="Times New Roman" w:cs="Times New Roman"/>
                <w:bCs w:val="0"/>
                <w:sz w:val="40"/>
                <w:szCs w:val="20"/>
                <w:lang w:eastAsia="en-AU"/>
              </w:rPr>
              <w:t>Statement</w:t>
            </w:r>
            <w:r w:rsidRPr="00BE124B">
              <w:rPr>
                <w:b w:val="0"/>
              </w:rPr>
              <w:t xml:space="preserve"> </w:t>
            </w:r>
            <w:r w:rsidRPr="00573067">
              <w:rPr>
                <w:rFonts w:eastAsia="Times New Roman" w:cs="Times New Roman"/>
                <w:bCs w:val="0"/>
                <w:sz w:val="40"/>
                <w:szCs w:val="20"/>
                <w:lang w:eastAsia="en-AU"/>
              </w:rPr>
              <w:t>of Duties</w:t>
            </w:r>
          </w:p>
        </w:tc>
        <w:tc>
          <w:tcPr>
            <w:tcW w:w="1100" w:type="pct"/>
          </w:tcPr>
          <w:p w:rsidR="00573067" w:rsidRPr="00BE124B" w:rsidRDefault="00573067" w:rsidP="005340B4">
            <w:pPr>
              <w:pStyle w:val="Logo"/>
            </w:pPr>
            <w:r>
              <w:rPr>
                <w:noProof/>
                <w:lang w:eastAsia="en-AU"/>
              </w:rPr>
              <w:drawing>
                <wp:inline distT="0" distB="0" distL="0" distR="0">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bl>
    <w:p w:rsidR="00DF4B13" w:rsidRDefault="00DF4B13">
      <w:pPr>
        <w:spacing w:before="2" w:line="100" w:lineRule="exact"/>
        <w:rPr>
          <w:sz w:val="10"/>
          <w:szCs w:val="10"/>
        </w:rPr>
      </w:pPr>
    </w:p>
    <w:p w:rsidR="00DF4B13" w:rsidRDefault="00DF4B13">
      <w:pPr>
        <w:spacing w:line="200" w:lineRule="exact"/>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6"/>
        <w:gridCol w:w="2520"/>
        <w:gridCol w:w="2297"/>
      </w:tblGrid>
      <w:tr w:rsidR="00573067" w:rsidRPr="00BE124B" w:rsidTr="00511ED8">
        <w:tc>
          <w:tcPr>
            <w:tcW w:w="2345" w:type="pct"/>
            <w:tcBorders>
              <w:top w:val="single" w:sz="4" w:space="0" w:color="auto"/>
              <w:left w:val="single" w:sz="4" w:space="0" w:color="auto"/>
              <w:bottom w:val="single" w:sz="4" w:space="0" w:color="auto"/>
              <w:right w:val="single" w:sz="4" w:space="0" w:color="auto"/>
            </w:tcBorders>
          </w:tcPr>
          <w:p w:rsidR="00573067" w:rsidRPr="0000052B" w:rsidRDefault="00573067" w:rsidP="005340B4">
            <w:pPr>
              <w:pStyle w:val="InformationBlockfillin"/>
              <w:tabs>
                <w:tab w:val="left" w:pos="425"/>
                <w:tab w:val="left" w:pos="8280"/>
                <w:tab w:val="left" w:pos="9180"/>
              </w:tabs>
              <w:spacing w:line="300" w:lineRule="exact"/>
              <w:rPr>
                <w:rFonts w:cs="Arial"/>
                <w:b/>
                <w:iCs/>
                <w:kern w:val="36"/>
                <w:lang w:eastAsia="en-AU"/>
              </w:rPr>
            </w:pPr>
            <w:r w:rsidRPr="0000052B">
              <w:rPr>
                <w:rStyle w:val="InformationBlockChar"/>
              </w:rPr>
              <w:t xml:space="preserve">Position Title: </w:t>
            </w:r>
            <w:r w:rsidRPr="00573067">
              <w:rPr>
                <w:rFonts w:eastAsia="Gill Sans MT" w:cs="Gill Sans MT"/>
                <w:spacing w:val="-1"/>
              </w:rPr>
              <w:t>A</w:t>
            </w:r>
            <w:r w:rsidRPr="00573067">
              <w:rPr>
                <w:rFonts w:eastAsia="Gill Sans MT" w:cs="Gill Sans MT"/>
              </w:rPr>
              <w:t>n</w:t>
            </w:r>
            <w:r w:rsidRPr="00573067">
              <w:rPr>
                <w:rFonts w:eastAsia="Gill Sans MT" w:cs="Gill Sans MT"/>
                <w:spacing w:val="-1"/>
              </w:rPr>
              <w:t>a</w:t>
            </w:r>
            <w:r w:rsidRPr="00573067">
              <w:rPr>
                <w:rFonts w:eastAsia="Gill Sans MT" w:cs="Gill Sans MT"/>
              </w:rPr>
              <w:t>e</w:t>
            </w:r>
            <w:r w:rsidRPr="00573067">
              <w:rPr>
                <w:rFonts w:eastAsia="Gill Sans MT" w:cs="Gill Sans MT"/>
                <w:spacing w:val="-2"/>
              </w:rPr>
              <w:t>st</w:t>
            </w:r>
            <w:r w:rsidRPr="00573067">
              <w:rPr>
                <w:rFonts w:eastAsia="Gill Sans MT" w:cs="Gill Sans MT"/>
              </w:rPr>
              <w:t>he</w:t>
            </w:r>
            <w:r w:rsidRPr="00573067">
              <w:rPr>
                <w:rFonts w:eastAsia="Gill Sans MT" w:cs="Gill Sans MT"/>
                <w:spacing w:val="-2"/>
              </w:rPr>
              <w:t>t</w:t>
            </w:r>
            <w:r w:rsidRPr="00573067">
              <w:rPr>
                <w:rFonts w:eastAsia="Gill Sans MT" w:cs="Gill Sans MT"/>
              </w:rPr>
              <w:t>ic</w:t>
            </w:r>
            <w:r w:rsidRPr="00573067">
              <w:rPr>
                <w:rFonts w:eastAsia="Gill Sans MT" w:cs="Gill Sans MT"/>
                <w:spacing w:val="-1"/>
              </w:rPr>
              <w:t xml:space="preserve"> </w:t>
            </w:r>
            <w:r w:rsidRPr="00573067">
              <w:rPr>
                <w:rFonts w:eastAsia="Gill Sans MT" w:cs="Gill Sans MT"/>
              </w:rPr>
              <w:t>Re</w:t>
            </w:r>
            <w:r w:rsidRPr="00573067">
              <w:rPr>
                <w:rFonts w:eastAsia="Gill Sans MT" w:cs="Gill Sans MT"/>
                <w:spacing w:val="-1"/>
              </w:rPr>
              <w:t>g</w:t>
            </w:r>
            <w:r w:rsidRPr="00573067">
              <w:rPr>
                <w:rFonts w:eastAsia="Gill Sans MT" w:cs="Gill Sans MT"/>
              </w:rPr>
              <w:t>i</w:t>
            </w:r>
            <w:r w:rsidRPr="00573067">
              <w:rPr>
                <w:rFonts w:eastAsia="Gill Sans MT" w:cs="Gill Sans MT"/>
                <w:spacing w:val="-2"/>
              </w:rPr>
              <w:t>s</w:t>
            </w:r>
            <w:r w:rsidRPr="00573067">
              <w:rPr>
                <w:rFonts w:eastAsia="Gill Sans MT" w:cs="Gill Sans MT"/>
              </w:rPr>
              <w:t>t</w:t>
            </w:r>
            <w:r w:rsidRPr="00573067">
              <w:rPr>
                <w:rFonts w:eastAsia="Gill Sans MT" w:cs="Gill Sans MT"/>
                <w:spacing w:val="-2"/>
              </w:rPr>
              <w:t>r</w:t>
            </w:r>
            <w:r w:rsidRPr="00573067">
              <w:rPr>
                <w:rFonts w:eastAsia="Gill Sans MT" w:cs="Gill Sans MT"/>
                <w:spacing w:val="-1"/>
              </w:rPr>
              <w:t>a</w:t>
            </w:r>
            <w:r w:rsidRPr="00573067">
              <w:rPr>
                <w:rFonts w:eastAsia="Gill Sans MT" w:cs="Gill Sans MT"/>
              </w:rPr>
              <w:t>r</w:t>
            </w:r>
          </w:p>
        </w:tc>
        <w:tc>
          <w:tcPr>
            <w:tcW w:w="1389" w:type="pct"/>
            <w:tcBorders>
              <w:top w:val="single" w:sz="4" w:space="0" w:color="auto"/>
              <w:left w:val="single" w:sz="4" w:space="0" w:color="auto"/>
              <w:bottom w:val="single" w:sz="4" w:space="0" w:color="auto"/>
              <w:right w:val="single" w:sz="4" w:space="0" w:color="auto"/>
            </w:tcBorders>
          </w:tcPr>
          <w:p w:rsidR="00573067" w:rsidRPr="0000052B" w:rsidRDefault="00573067" w:rsidP="00573067">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 xml:space="preserve">Position Number: </w:t>
            </w:r>
            <w:r>
              <w:rPr>
                <w:rFonts w:cs="Arial"/>
                <w:iCs/>
                <w:kern w:val="36"/>
                <w:lang w:eastAsia="en-AU"/>
              </w:rPr>
              <w:t>512828</w:t>
            </w:r>
          </w:p>
        </w:tc>
        <w:tc>
          <w:tcPr>
            <w:tcW w:w="1267" w:type="pct"/>
            <w:tcBorders>
              <w:top w:val="single" w:sz="4" w:space="0" w:color="auto"/>
              <w:left w:val="single" w:sz="4" w:space="0" w:color="auto"/>
              <w:bottom w:val="single" w:sz="4" w:space="0" w:color="auto"/>
              <w:right w:val="single" w:sz="4" w:space="0" w:color="auto"/>
            </w:tcBorders>
          </w:tcPr>
          <w:p w:rsidR="00573067" w:rsidRPr="0000052B" w:rsidRDefault="00573067" w:rsidP="005340B4">
            <w:pPr>
              <w:pStyle w:val="InformationBlockfillin"/>
              <w:tabs>
                <w:tab w:val="left" w:pos="425"/>
                <w:tab w:val="left" w:pos="8280"/>
                <w:tab w:val="left" w:pos="9180"/>
              </w:tabs>
              <w:spacing w:line="300" w:lineRule="exact"/>
              <w:rPr>
                <w:rFonts w:cs="Arial"/>
                <w:iCs/>
                <w:kern w:val="36"/>
                <w:lang w:eastAsia="en-AU"/>
              </w:rPr>
            </w:pPr>
            <w:r w:rsidRPr="0000052B">
              <w:rPr>
                <w:rStyle w:val="InformationBlockChar"/>
              </w:rPr>
              <w:t xml:space="preserve">Effective Date: </w:t>
            </w:r>
            <w:r>
              <w:rPr>
                <w:rStyle w:val="InformationBlockChar"/>
              </w:rPr>
              <w:t xml:space="preserve">      </w:t>
            </w:r>
            <w:r>
              <w:rPr>
                <w:rFonts w:cs="Arial"/>
                <w:iCs/>
                <w:kern w:val="36"/>
                <w:lang w:eastAsia="en-AU"/>
              </w:rPr>
              <w:t>May 2018</w:t>
            </w:r>
          </w:p>
        </w:tc>
      </w:tr>
      <w:tr w:rsidR="00573067" w:rsidRPr="00BE124B" w:rsidTr="00511ED8">
        <w:tc>
          <w:tcPr>
            <w:tcW w:w="5000" w:type="pct"/>
            <w:gridSpan w:val="3"/>
            <w:tcBorders>
              <w:top w:val="single" w:sz="4" w:space="0" w:color="auto"/>
              <w:left w:val="single" w:sz="4" w:space="0" w:color="auto"/>
              <w:bottom w:val="single" w:sz="4" w:space="0" w:color="auto"/>
              <w:right w:val="single" w:sz="4" w:space="0" w:color="auto"/>
            </w:tcBorders>
          </w:tcPr>
          <w:p w:rsidR="00573067" w:rsidRPr="0000052B" w:rsidRDefault="00573067" w:rsidP="00573067">
            <w:pPr>
              <w:pStyle w:val="InformationBlockfillin"/>
              <w:tabs>
                <w:tab w:val="left" w:pos="425"/>
                <w:tab w:val="left" w:pos="1800"/>
                <w:tab w:val="left" w:pos="5040"/>
                <w:tab w:val="left" w:pos="8280"/>
                <w:tab w:val="left" w:pos="9180"/>
              </w:tabs>
              <w:spacing w:line="300" w:lineRule="exact"/>
            </w:pPr>
            <w:r w:rsidRPr="0000052B">
              <w:rPr>
                <w:rStyle w:val="InformationBlockChar"/>
              </w:rPr>
              <w:t xml:space="preserve">Group and Unit: </w:t>
            </w:r>
            <w:r w:rsidRPr="0000052B">
              <w:rPr>
                <w:rStyle w:val="InformationBlockChar"/>
                <w:b w:val="0"/>
              </w:rPr>
              <w:t xml:space="preserve">Tasmanian Health </w:t>
            </w:r>
            <w:r>
              <w:rPr>
                <w:rStyle w:val="InformationBlockChar"/>
                <w:b w:val="0"/>
              </w:rPr>
              <w:t>Service (THS)</w:t>
            </w:r>
            <w:r w:rsidRPr="0000052B">
              <w:rPr>
                <w:rStyle w:val="InformationBlockChar"/>
                <w:b w:val="0"/>
              </w:rPr>
              <w:t xml:space="preserve"> </w:t>
            </w:r>
            <w:r>
              <w:rPr>
                <w:rStyle w:val="InformationBlockChar"/>
                <w:b w:val="0"/>
              </w:rPr>
              <w:t xml:space="preserve">– </w:t>
            </w:r>
            <w:r>
              <w:t>Surgical Services</w:t>
            </w:r>
          </w:p>
        </w:tc>
      </w:tr>
      <w:tr w:rsidR="00573067" w:rsidRPr="00BE124B" w:rsidTr="00511ED8">
        <w:tc>
          <w:tcPr>
            <w:tcW w:w="2345" w:type="pct"/>
            <w:tcBorders>
              <w:top w:val="single" w:sz="4" w:space="0" w:color="auto"/>
              <w:left w:val="single" w:sz="4" w:space="0" w:color="auto"/>
              <w:bottom w:val="single" w:sz="4" w:space="0" w:color="auto"/>
              <w:right w:val="single" w:sz="4" w:space="0" w:color="auto"/>
            </w:tcBorders>
          </w:tcPr>
          <w:p w:rsidR="00573067" w:rsidRPr="0000052B" w:rsidRDefault="00573067" w:rsidP="00573067">
            <w:pPr>
              <w:pStyle w:val="InformationBlockfillin"/>
              <w:tabs>
                <w:tab w:val="left" w:pos="425"/>
                <w:tab w:val="left" w:pos="1800"/>
                <w:tab w:val="left" w:pos="5040"/>
                <w:tab w:val="left" w:pos="8280"/>
                <w:tab w:val="left" w:pos="9180"/>
              </w:tabs>
              <w:spacing w:line="300" w:lineRule="exact"/>
              <w:rPr>
                <w:rStyle w:val="InformationBlockChar"/>
                <w:b w:val="0"/>
              </w:rPr>
            </w:pPr>
            <w:r w:rsidRPr="0000052B">
              <w:rPr>
                <w:rStyle w:val="InformationBlockChar"/>
              </w:rPr>
              <w:t xml:space="preserve">Section: </w:t>
            </w:r>
            <w:r>
              <w:t xml:space="preserve">Anaesthetics </w:t>
            </w:r>
          </w:p>
        </w:tc>
        <w:tc>
          <w:tcPr>
            <w:tcW w:w="2655" w:type="pct"/>
            <w:gridSpan w:val="2"/>
            <w:tcBorders>
              <w:top w:val="single" w:sz="4" w:space="0" w:color="auto"/>
              <w:left w:val="single" w:sz="4" w:space="0" w:color="auto"/>
              <w:bottom w:val="single" w:sz="4" w:space="0" w:color="auto"/>
              <w:right w:val="single" w:sz="4" w:space="0" w:color="auto"/>
            </w:tcBorders>
          </w:tcPr>
          <w:p w:rsidR="00573067" w:rsidRPr="0000052B" w:rsidRDefault="00573067" w:rsidP="00573067">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 xml:space="preserve">Location: </w:t>
            </w:r>
            <w:r>
              <w:rPr>
                <w:rFonts w:cs="Arial"/>
                <w:iCs/>
                <w:kern w:val="36"/>
                <w:lang w:eastAsia="en-AU"/>
              </w:rPr>
              <w:t>South</w:t>
            </w:r>
          </w:p>
        </w:tc>
      </w:tr>
      <w:tr w:rsidR="00573067" w:rsidRPr="00BE124B" w:rsidTr="00511ED8">
        <w:tc>
          <w:tcPr>
            <w:tcW w:w="2345" w:type="pct"/>
            <w:vMerge w:val="restart"/>
            <w:tcBorders>
              <w:top w:val="single" w:sz="4" w:space="0" w:color="auto"/>
              <w:left w:val="single" w:sz="4" w:space="0" w:color="auto"/>
              <w:right w:val="single" w:sz="4" w:space="0" w:color="auto"/>
            </w:tcBorders>
          </w:tcPr>
          <w:p w:rsidR="00573067" w:rsidRPr="0000052B" w:rsidRDefault="00573067" w:rsidP="005340B4">
            <w:pPr>
              <w:pStyle w:val="InformationBlockfillin"/>
              <w:tabs>
                <w:tab w:val="left" w:pos="425"/>
                <w:tab w:val="left" w:pos="1800"/>
                <w:tab w:val="left" w:pos="5040"/>
                <w:tab w:val="left" w:pos="8280"/>
                <w:tab w:val="left" w:pos="9180"/>
              </w:tabs>
              <w:spacing w:line="300" w:lineRule="exact"/>
              <w:rPr>
                <w:rStyle w:val="InformationBlockChar"/>
                <w:b w:val="0"/>
              </w:rPr>
            </w:pPr>
            <w:r w:rsidRPr="0000052B">
              <w:rPr>
                <w:rStyle w:val="InformationBlockChar"/>
              </w:rPr>
              <w:t xml:space="preserve">Award: </w:t>
            </w:r>
            <w:r w:rsidRPr="0000052B">
              <w:rPr>
                <w:rFonts w:cs="Tahoma"/>
              </w:rPr>
              <w:t xml:space="preserve">Salaried Medical Practitioners </w:t>
            </w:r>
            <w:r>
              <w:rPr>
                <w:rFonts w:cs="Tahoma"/>
              </w:rPr>
              <w:t xml:space="preserve">(Tasmanian State Service) Agreement </w:t>
            </w:r>
          </w:p>
        </w:tc>
        <w:tc>
          <w:tcPr>
            <w:tcW w:w="2655" w:type="pct"/>
            <w:gridSpan w:val="2"/>
            <w:tcBorders>
              <w:top w:val="single" w:sz="4" w:space="0" w:color="auto"/>
              <w:left w:val="single" w:sz="4" w:space="0" w:color="auto"/>
              <w:bottom w:val="single" w:sz="4" w:space="0" w:color="auto"/>
              <w:right w:val="single" w:sz="4" w:space="0" w:color="auto"/>
            </w:tcBorders>
          </w:tcPr>
          <w:p w:rsidR="00573067" w:rsidRPr="0000052B" w:rsidRDefault="00573067" w:rsidP="005340B4">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 xml:space="preserve">Position Status: </w:t>
            </w:r>
            <w:r>
              <w:rPr>
                <w:rFonts w:cs="Arial"/>
                <w:iCs/>
                <w:kern w:val="36"/>
                <w:lang w:eastAsia="en-AU"/>
              </w:rPr>
              <w:t>Permanent</w:t>
            </w:r>
          </w:p>
        </w:tc>
      </w:tr>
      <w:tr w:rsidR="00573067" w:rsidRPr="00BE124B" w:rsidTr="00511ED8">
        <w:tc>
          <w:tcPr>
            <w:tcW w:w="2345" w:type="pct"/>
            <w:vMerge/>
            <w:tcBorders>
              <w:left w:val="single" w:sz="4" w:space="0" w:color="auto"/>
              <w:bottom w:val="single" w:sz="4" w:space="0" w:color="auto"/>
              <w:right w:val="single" w:sz="4" w:space="0" w:color="auto"/>
            </w:tcBorders>
          </w:tcPr>
          <w:p w:rsidR="00573067" w:rsidRPr="0000052B" w:rsidRDefault="00573067" w:rsidP="005340B4">
            <w:pPr>
              <w:pStyle w:val="InformationBlockfillin"/>
              <w:tabs>
                <w:tab w:val="left" w:pos="425"/>
                <w:tab w:val="left" w:pos="1800"/>
                <w:tab w:val="left" w:pos="5040"/>
                <w:tab w:val="left" w:pos="8280"/>
                <w:tab w:val="left" w:pos="9180"/>
              </w:tabs>
              <w:spacing w:line="300" w:lineRule="exact"/>
              <w:rPr>
                <w:rStyle w:val="InformationBlockChar"/>
              </w:rPr>
            </w:pPr>
          </w:p>
        </w:tc>
        <w:tc>
          <w:tcPr>
            <w:tcW w:w="2655" w:type="pct"/>
            <w:gridSpan w:val="2"/>
            <w:tcBorders>
              <w:top w:val="single" w:sz="4" w:space="0" w:color="auto"/>
              <w:left w:val="single" w:sz="4" w:space="0" w:color="auto"/>
              <w:bottom w:val="single" w:sz="4" w:space="0" w:color="auto"/>
              <w:right w:val="single" w:sz="4" w:space="0" w:color="auto"/>
            </w:tcBorders>
          </w:tcPr>
          <w:p w:rsidR="00573067" w:rsidRPr="0000052B" w:rsidRDefault="00573067" w:rsidP="005340B4">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 xml:space="preserve">Position Type: </w:t>
            </w:r>
            <w:r w:rsidRPr="0000052B">
              <w:rPr>
                <w:rFonts w:cs="Arial"/>
                <w:iCs/>
                <w:kern w:val="36"/>
                <w:lang w:eastAsia="en-AU"/>
              </w:rPr>
              <w:fldChar w:fldCharType="begin"/>
            </w:r>
            <w:r w:rsidRPr="0000052B">
              <w:rPr>
                <w:rFonts w:cs="Arial"/>
                <w:iCs/>
                <w:kern w:val="36"/>
                <w:lang w:eastAsia="en-AU"/>
              </w:rPr>
              <w:instrText xml:space="preserve"> DOCPROPERTY  PositionType  \* MERGEFORMAT </w:instrText>
            </w:r>
            <w:r w:rsidRPr="0000052B">
              <w:rPr>
                <w:rFonts w:cs="Arial"/>
                <w:iCs/>
                <w:kern w:val="36"/>
                <w:lang w:eastAsia="en-AU"/>
              </w:rPr>
              <w:fldChar w:fldCharType="separate"/>
            </w:r>
            <w:r w:rsidRPr="0000052B">
              <w:rPr>
                <w:rFonts w:cs="Arial"/>
                <w:iCs/>
                <w:kern w:val="36"/>
                <w:lang w:eastAsia="en-AU"/>
              </w:rPr>
              <w:t>Full Time</w:t>
            </w:r>
            <w:r w:rsidRPr="0000052B">
              <w:rPr>
                <w:rFonts w:cs="Arial"/>
                <w:iCs/>
                <w:kern w:val="36"/>
                <w:lang w:eastAsia="en-AU"/>
              </w:rPr>
              <w:fldChar w:fldCharType="end"/>
            </w:r>
          </w:p>
        </w:tc>
      </w:tr>
      <w:tr w:rsidR="00573067" w:rsidRPr="00BE124B" w:rsidTr="00511ED8">
        <w:tc>
          <w:tcPr>
            <w:tcW w:w="2345" w:type="pct"/>
            <w:tcBorders>
              <w:top w:val="single" w:sz="4" w:space="0" w:color="auto"/>
              <w:left w:val="single" w:sz="4" w:space="0" w:color="auto"/>
              <w:bottom w:val="single" w:sz="4" w:space="0" w:color="auto"/>
              <w:right w:val="single" w:sz="4" w:space="0" w:color="auto"/>
            </w:tcBorders>
          </w:tcPr>
          <w:p w:rsidR="00573067" w:rsidRPr="0000052B" w:rsidRDefault="00573067" w:rsidP="005340B4">
            <w:pPr>
              <w:pStyle w:val="InformationBlockfillin"/>
              <w:tabs>
                <w:tab w:val="left" w:pos="425"/>
                <w:tab w:val="left" w:pos="1800"/>
                <w:tab w:val="left" w:pos="5040"/>
                <w:tab w:val="left" w:pos="8280"/>
                <w:tab w:val="left" w:pos="9180"/>
              </w:tabs>
              <w:spacing w:line="300" w:lineRule="exact"/>
              <w:rPr>
                <w:rStyle w:val="InformationBlockChar"/>
                <w:b w:val="0"/>
              </w:rPr>
            </w:pPr>
            <w:r w:rsidRPr="0000052B">
              <w:rPr>
                <w:rStyle w:val="InformationBlockChar"/>
              </w:rPr>
              <w:t xml:space="preserve">Level: </w:t>
            </w:r>
            <w:r>
              <w:rPr>
                <w:rStyle w:val="InformationBlockChar"/>
                <w:b w:val="0"/>
              </w:rPr>
              <w:t>5-11</w:t>
            </w:r>
          </w:p>
        </w:tc>
        <w:tc>
          <w:tcPr>
            <w:tcW w:w="2655" w:type="pct"/>
            <w:gridSpan w:val="2"/>
            <w:tcBorders>
              <w:top w:val="single" w:sz="4" w:space="0" w:color="auto"/>
              <w:left w:val="single" w:sz="4" w:space="0" w:color="auto"/>
              <w:bottom w:val="single" w:sz="4" w:space="0" w:color="auto"/>
              <w:right w:val="single" w:sz="4" w:space="0" w:color="auto"/>
            </w:tcBorders>
          </w:tcPr>
          <w:p w:rsidR="00573067" w:rsidRPr="0000052B" w:rsidRDefault="00573067" w:rsidP="00573067">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Classification:</w:t>
            </w:r>
            <w:r w:rsidRPr="0000052B">
              <w:rPr>
                <w:rFonts w:cs="Arial"/>
                <w:iCs/>
                <w:kern w:val="36"/>
                <w:lang w:eastAsia="en-AU"/>
              </w:rPr>
              <w:t xml:space="preserve"> </w:t>
            </w:r>
            <w:r w:rsidRPr="0000052B">
              <w:t xml:space="preserve">Medical Practitioner </w:t>
            </w:r>
          </w:p>
        </w:tc>
      </w:tr>
      <w:tr w:rsidR="00573067" w:rsidRPr="00BE124B" w:rsidTr="00511ED8">
        <w:tc>
          <w:tcPr>
            <w:tcW w:w="5000" w:type="pct"/>
            <w:gridSpan w:val="3"/>
            <w:tcBorders>
              <w:top w:val="single" w:sz="4" w:space="0" w:color="auto"/>
              <w:left w:val="single" w:sz="4" w:space="0" w:color="auto"/>
              <w:bottom w:val="single" w:sz="4" w:space="0" w:color="auto"/>
              <w:right w:val="single" w:sz="4" w:space="0" w:color="auto"/>
            </w:tcBorders>
          </w:tcPr>
          <w:p w:rsidR="00511ED8" w:rsidRDefault="00573067" w:rsidP="005340B4">
            <w:pPr>
              <w:pStyle w:val="InformationBlockfillin"/>
              <w:tabs>
                <w:tab w:val="left" w:pos="425"/>
                <w:tab w:val="left" w:pos="7050"/>
              </w:tabs>
              <w:spacing w:line="300" w:lineRule="exact"/>
              <w:rPr>
                <w:rFonts w:eastAsia="Gill Sans MT" w:cs="Gill Sans MT"/>
                <w:spacing w:val="-3"/>
              </w:rPr>
            </w:pPr>
            <w:r w:rsidRPr="0000052B">
              <w:rPr>
                <w:rStyle w:val="InformationBlockChar"/>
              </w:rPr>
              <w:t xml:space="preserve">Reports To: </w:t>
            </w:r>
            <w:r w:rsidRPr="00573067">
              <w:rPr>
                <w:rFonts w:eastAsia="Gill Sans MT" w:cs="Gill Sans MT"/>
              </w:rPr>
              <w:t>Di</w:t>
            </w:r>
            <w:r w:rsidRPr="00573067">
              <w:rPr>
                <w:rFonts w:eastAsia="Gill Sans MT" w:cs="Gill Sans MT"/>
                <w:spacing w:val="-2"/>
              </w:rPr>
              <w:t>r</w:t>
            </w:r>
            <w:r w:rsidRPr="00573067">
              <w:rPr>
                <w:rFonts w:eastAsia="Gill Sans MT" w:cs="Gill Sans MT"/>
              </w:rPr>
              <w:t>e</w:t>
            </w:r>
            <w:r w:rsidRPr="00573067">
              <w:rPr>
                <w:rFonts w:eastAsia="Gill Sans MT" w:cs="Gill Sans MT"/>
                <w:spacing w:val="-1"/>
              </w:rPr>
              <w:t>c</w:t>
            </w:r>
            <w:r w:rsidRPr="00573067">
              <w:rPr>
                <w:rFonts w:eastAsia="Gill Sans MT" w:cs="Gill Sans MT"/>
                <w:spacing w:val="-2"/>
              </w:rPr>
              <w:t>t</w:t>
            </w:r>
            <w:r w:rsidRPr="00573067">
              <w:rPr>
                <w:rFonts w:eastAsia="Gill Sans MT" w:cs="Gill Sans MT"/>
              </w:rPr>
              <w:t>or</w:t>
            </w:r>
            <w:r w:rsidR="00511ED8">
              <w:rPr>
                <w:rFonts w:eastAsia="Gill Sans MT" w:cs="Gill Sans MT"/>
              </w:rPr>
              <w:t xml:space="preserve"> -</w:t>
            </w:r>
            <w:r w:rsidRPr="00573067">
              <w:rPr>
                <w:rFonts w:eastAsia="Gill Sans MT" w:cs="Gill Sans MT"/>
              </w:rPr>
              <w:t xml:space="preserve"> D</w:t>
            </w:r>
            <w:r w:rsidRPr="00573067">
              <w:rPr>
                <w:rFonts w:eastAsia="Gill Sans MT" w:cs="Gill Sans MT"/>
                <w:spacing w:val="-2"/>
              </w:rPr>
              <w:t>e</w:t>
            </w:r>
            <w:r w:rsidRPr="00573067">
              <w:rPr>
                <w:rFonts w:eastAsia="Gill Sans MT" w:cs="Gill Sans MT"/>
              </w:rPr>
              <w:t>p</w:t>
            </w:r>
            <w:r w:rsidRPr="00573067">
              <w:rPr>
                <w:rFonts w:eastAsia="Gill Sans MT" w:cs="Gill Sans MT"/>
                <w:spacing w:val="-1"/>
              </w:rPr>
              <w:t>a</w:t>
            </w:r>
            <w:r w:rsidRPr="00573067">
              <w:rPr>
                <w:rFonts w:eastAsia="Gill Sans MT" w:cs="Gill Sans MT"/>
                <w:spacing w:val="-2"/>
              </w:rPr>
              <w:t>r</w:t>
            </w:r>
            <w:r w:rsidRPr="00573067">
              <w:rPr>
                <w:rFonts w:eastAsia="Gill Sans MT" w:cs="Gill Sans MT"/>
              </w:rPr>
              <w:t>tment</w:t>
            </w:r>
            <w:r w:rsidRPr="00573067">
              <w:rPr>
                <w:rFonts w:eastAsia="Gill Sans MT" w:cs="Gill Sans MT"/>
                <w:spacing w:val="-1"/>
              </w:rPr>
              <w:t xml:space="preserve"> </w:t>
            </w:r>
            <w:r w:rsidRPr="00573067">
              <w:rPr>
                <w:rFonts w:eastAsia="Gill Sans MT" w:cs="Gill Sans MT"/>
              </w:rPr>
              <w:t xml:space="preserve">of </w:t>
            </w:r>
            <w:r w:rsidRPr="00573067">
              <w:rPr>
                <w:rFonts w:eastAsia="Gill Sans MT" w:cs="Gill Sans MT"/>
                <w:spacing w:val="-1"/>
              </w:rPr>
              <w:t>A</w:t>
            </w:r>
            <w:r w:rsidRPr="00573067">
              <w:rPr>
                <w:rFonts w:eastAsia="Gill Sans MT" w:cs="Gill Sans MT"/>
              </w:rPr>
              <w:t>n</w:t>
            </w:r>
            <w:r w:rsidRPr="00573067">
              <w:rPr>
                <w:rFonts w:eastAsia="Gill Sans MT" w:cs="Gill Sans MT"/>
                <w:spacing w:val="-1"/>
              </w:rPr>
              <w:t>a</w:t>
            </w:r>
            <w:r w:rsidRPr="00573067">
              <w:rPr>
                <w:rFonts w:eastAsia="Gill Sans MT" w:cs="Gill Sans MT"/>
              </w:rPr>
              <w:t>e</w:t>
            </w:r>
            <w:r w:rsidRPr="00573067">
              <w:rPr>
                <w:rFonts w:eastAsia="Gill Sans MT" w:cs="Gill Sans MT"/>
                <w:spacing w:val="-2"/>
              </w:rPr>
              <w:t>s</w:t>
            </w:r>
            <w:r w:rsidRPr="00573067">
              <w:rPr>
                <w:rFonts w:eastAsia="Gill Sans MT" w:cs="Gill Sans MT"/>
              </w:rPr>
              <w:t>the</w:t>
            </w:r>
            <w:r w:rsidRPr="00573067">
              <w:rPr>
                <w:rFonts w:eastAsia="Gill Sans MT" w:cs="Gill Sans MT"/>
                <w:spacing w:val="-2"/>
              </w:rPr>
              <w:t>s</w:t>
            </w:r>
            <w:r w:rsidRPr="00573067">
              <w:rPr>
                <w:rFonts w:eastAsia="Gill Sans MT" w:cs="Gill Sans MT"/>
              </w:rPr>
              <w:t>ia</w:t>
            </w:r>
            <w:r w:rsidR="00511ED8">
              <w:rPr>
                <w:rFonts w:eastAsia="Gill Sans MT" w:cs="Gill Sans MT"/>
              </w:rPr>
              <w:t xml:space="preserve"> &amp; Perioperative Medicine and</w:t>
            </w:r>
            <w:r w:rsidRPr="00573067">
              <w:rPr>
                <w:rFonts w:eastAsia="Gill Sans MT" w:cs="Gill Sans MT"/>
                <w:spacing w:val="-3"/>
              </w:rPr>
              <w:t xml:space="preserve"> </w:t>
            </w:r>
          </w:p>
          <w:p w:rsidR="00573067" w:rsidRPr="0000052B" w:rsidRDefault="00573067" w:rsidP="005340B4">
            <w:pPr>
              <w:pStyle w:val="InformationBlockfillin"/>
              <w:tabs>
                <w:tab w:val="left" w:pos="425"/>
                <w:tab w:val="left" w:pos="7050"/>
              </w:tabs>
              <w:spacing w:line="300" w:lineRule="exact"/>
              <w:rPr>
                <w:rFonts w:cs="Arial"/>
                <w:iCs/>
                <w:kern w:val="36"/>
                <w:lang w:eastAsia="en-AU"/>
              </w:rPr>
            </w:pPr>
            <w:r w:rsidRPr="00573067">
              <w:rPr>
                <w:rFonts w:eastAsia="Gill Sans MT" w:cs="Gill Sans MT"/>
              </w:rPr>
              <w:t>Supe</w:t>
            </w:r>
            <w:r w:rsidRPr="00573067">
              <w:rPr>
                <w:rFonts w:eastAsia="Gill Sans MT" w:cs="Gill Sans MT"/>
                <w:spacing w:val="-2"/>
              </w:rPr>
              <w:t>r</w:t>
            </w:r>
            <w:r w:rsidRPr="00573067">
              <w:rPr>
                <w:rFonts w:eastAsia="Gill Sans MT" w:cs="Gill Sans MT"/>
                <w:spacing w:val="-1"/>
              </w:rPr>
              <w:t>v</w:t>
            </w:r>
            <w:r w:rsidRPr="00573067">
              <w:rPr>
                <w:rFonts w:eastAsia="Gill Sans MT" w:cs="Gill Sans MT"/>
              </w:rPr>
              <w:t>i</w:t>
            </w:r>
            <w:r w:rsidRPr="00573067">
              <w:rPr>
                <w:rFonts w:eastAsia="Gill Sans MT" w:cs="Gill Sans MT"/>
                <w:spacing w:val="-2"/>
              </w:rPr>
              <w:t>s</w:t>
            </w:r>
            <w:r w:rsidRPr="00573067">
              <w:rPr>
                <w:rFonts w:eastAsia="Gill Sans MT" w:cs="Gill Sans MT"/>
              </w:rPr>
              <w:t>or of</w:t>
            </w:r>
            <w:r w:rsidRPr="00573067">
              <w:rPr>
                <w:rFonts w:eastAsia="Gill Sans MT" w:cs="Gill Sans MT"/>
                <w:spacing w:val="-2"/>
              </w:rPr>
              <w:t xml:space="preserve"> </w:t>
            </w:r>
            <w:r w:rsidRPr="00573067">
              <w:rPr>
                <w:rFonts w:eastAsia="Gill Sans MT" w:cs="Gill Sans MT"/>
              </w:rPr>
              <w:t>T</w:t>
            </w:r>
            <w:r w:rsidRPr="00573067">
              <w:rPr>
                <w:rFonts w:eastAsia="Gill Sans MT" w:cs="Gill Sans MT"/>
                <w:spacing w:val="-2"/>
              </w:rPr>
              <w:t>r</w:t>
            </w:r>
            <w:r w:rsidRPr="00573067">
              <w:rPr>
                <w:rFonts w:eastAsia="Gill Sans MT" w:cs="Gill Sans MT"/>
                <w:spacing w:val="-1"/>
              </w:rPr>
              <w:t>a</w:t>
            </w:r>
            <w:r w:rsidRPr="00573067">
              <w:rPr>
                <w:rFonts w:eastAsia="Gill Sans MT" w:cs="Gill Sans MT"/>
              </w:rPr>
              <w:t>in</w:t>
            </w:r>
            <w:r w:rsidRPr="00573067">
              <w:rPr>
                <w:rFonts w:eastAsia="Gill Sans MT" w:cs="Gill Sans MT"/>
                <w:spacing w:val="-1"/>
              </w:rPr>
              <w:t>i</w:t>
            </w:r>
            <w:r w:rsidRPr="00573067">
              <w:rPr>
                <w:rFonts w:eastAsia="Gill Sans MT" w:cs="Gill Sans MT"/>
              </w:rPr>
              <w:t>ng in</w:t>
            </w:r>
            <w:r w:rsidRPr="00573067">
              <w:rPr>
                <w:rFonts w:eastAsia="Gill Sans MT" w:cs="Gill Sans MT"/>
                <w:spacing w:val="-2"/>
              </w:rPr>
              <w:t xml:space="preserve"> </w:t>
            </w:r>
            <w:r w:rsidRPr="00573067">
              <w:rPr>
                <w:rFonts w:eastAsia="Gill Sans MT" w:cs="Gill Sans MT"/>
                <w:spacing w:val="-1"/>
              </w:rPr>
              <w:t>A</w:t>
            </w:r>
            <w:r w:rsidRPr="00573067">
              <w:rPr>
                <w:rFonts w:eastAsia="Gill Sans MT" w:cs="Gill Sans MT"/>
              </w:rPr>
              <w:t>n</w:t>
            </w:r>
            <w:r w:rsidRPr="00573067">
              <w:rPr>
                <w:rFonts w:eastAsia="Gill Sans MT" w:cs="Gill Sans MT"/>
                <w:spacing w:val="-1"/>
              </w:rPr>
              <w:t>a</w:t>
            </w:r>
            <w:r w:rsidRPr="00573067">
              <w:rPr>
                <w:rFonts w:eastAsia="Gill Sans MT" w:cs="Gill Sans MT"/>
              </w:rPr>
              <w:t>e</w:t>
            </w:r>
            <w:r w:rsidRPr="00573067">
              <w:rPr>
                <w:rFonts w:eastAsia="Gill Sans MT" w:cs="Gill Sans MT"/>
                <w:spacing w:val="-2"/>
              </w:rPr>
              <w:t>s</w:t>
            </w:r>
            <w:r w:rsidRPr="00573067">
              <w:rPr>
                <w:rFonts w:eastAsia="Gill Sans MT" w:cs="Gill Sans MT"/>
              </w:rPr>
              <w:t>the</w:t>
            </w:r>
            <w:r w:rsidRPr="00573067">
              <w:rPr>
                <w:rFonts w:eastAsia="Gill Sans MT" w:cs="Gill Sans MT"/>
                <w:spacing w:val="-2"/>
              </w:rPr>
              <w:t>s</w:t>
            </w:r>
            <w:r w:rsidRPr="00573067">
              <w:rPr>
                <w:rFonts w:eastAsia="Gill Sans MT" w:cs="Gill Sans MT"/>
              </w:rPr>
              <w:t>ia</w:t>
            </w:r>
            <w:r>
              <w:tab/>
            </w:r>
          </w:p>
        </w:tc>
      </w:tr>
      <w:tr w:rsidR="00573067" w:rsidTr="00511ED8">
        <w:tc>
          <w:tcPr>
            <w:tcW w:w="2345" w:type="pct"/>
            <w:tcBorders>
              <w:top w:val="single" w:sz="4" w:space="0" w:color="auto"/>
              <w:left w:val="single" w:sz="4" w:space="0" w:color="auto"/>
              <w:bottom w:val="single" w:sz="4" w:space="0" w:color="auto"/>
              <w:right w:val="single" w:sz="4" w:space="0" w:color="auto"/>
            </w:tcBorders>
          </w:tcPr>
          <w:p w:rsidR="00573067" w:rsidRDefault="00573067" w:rsidP="005340B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rPr>
              <w:t xml:space="preserve"> </w:t>
            </w:r>
            <w:r>
              <w:t>Annulled</w:t>
            </w:r>
          </w:p>
        </w:tc>
        <w:tc>
          <w:tcPr>
            <w:tcW w:w="2655" w:type="pct"/>
            <w:gridSpan w:val="2"/>
            <w:tcBorders>
              <w:top w:val="single" w:sz="4" w:space="0" w:color="auto"/>
              <w:left w:val="single" w:sz="4" w:space="0" w:color="auto"/>
              <w:bottom w:val="single" w:sz="4" w:space="0" w:color="auto"/>
              <w:right w:val="single" w:sz="4" w:space="0" w:color="auto"/>
            </w:tcBorders>
          </w:tcPr>
          <w:p w:rsidR="00573067" w:rsidRDefault="00573067" w:rsidP="005340B4">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rPr>
              <w:t xml:space="preserve"> </w:t>
            </w:r>
            <w:r>
              <w:t>Pre-employment</w:t>
            </w:r>
          </w:p>
        </w:tc>
      </w:tr>
    </w:tbl>
    <w:p w:rsidR="00DF4B13" w:rsidRPr="00460F08" w:rsidRDefault="001610C6" w:rsidP="003F0FBB">
      <w:pPr>
        <w:pStyle w:val="Heading1"/>
        <w:spacing w:before="240" w:after="140"/>
        <w:ind w:left="0" w:right="89"/>
        <w:jc w:val="both"/>
        <w:rPr>
          <w:b w:val="0"/>
          <w:bCs w:val="0"/>
        </w:rPr>
      </w:pPr>
      <w:r w:rsidRPr="00460F08">
        <w:rPr>
          <w:spacing w:val="-1"/>
        </w:rPr>
        <w:t>Fo</w:t>
      </w:r>
      <w:r w:rsidRPr="00460F08">
        <w:t>cus</w:t>
      </w:r>
      <w:r w:rsidRPr="00460F08">
        <w:rPr>
          <w:spacing w:val="-7"/>
        </w:rPr>
        <w:t xml:space="preserve"> </w:t>
      </w:r>
      <w:r w:rsidRPr="00460F08">
        <w:t>of</w:t>
      </w:r>
      <w:r w:rsidRPr="00460F08">
        <w:rPr>
          <w:spacing w:val="-8"/>
        </w:rPr>
        <w:t xml:space="preserve"> </w:t>
      </w:r>
      <w:r w:rsidRPr="00460F08">
        <w:t>Duties:</w:t>
      </w:r>
    </w:p>
    <w:p w:rsidR="00511ED8" w:rsidRPr="00511ED8" w:rsidRDefault="00511ED8" w:rsidP="00511ED8">
      <w:pPr>
        <w:keepLines/>
        <w:widowControl/>
        <w:tabs>
          <w:tab w:val="left" w:pos="1134"/>
        </w:tabs>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The Anaesthetic Registrar will gain a broad range of experience in all areas of anaesthetic practice. </w:t>
      </w:r>
    </w:p>
    <w:p w:rsidR="00511ED8" w:rsidRPr="00511ED8" w:rsidRDefault="00511ED8" w:rsidP="00511ED8">
      <w:pPr>
        <w:keepLines/>
        <w:widowControl/>
        <w:tabs>
          <w:tab w:val="left" w:pos="1134"/>
        </w:tabs>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The Anaesthetic Registrar will be involved in routine duties of the Anaesthetic Department as determined by the Director and will work under the supervision and guidance of anaesthesia specialists, in accordance with ANZCA regulations. </w:t>
      </w:r>
    </w:p>
    <w:p w:rsidR="00511ED8" w:rsidRPr="00511ED8" w:rsidRDefault="00511ED8" w:rsidP="00511ED8">
      <w:pPr>
        <w:keepLines/>
        <w:widowControl/>
        <w:tabs>
          <w:tab w:val="left" w:pos="1134"/>
        </w:tabs>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TATP </w:t>
      </w:r>
      <w:r w:rsidRPr="00511ED8">
        <w:rPr>
          <w:rFonts w:ascii="Gill Sans MT" w:eastAsia="Times New Roman" w:hAnsi="Gill Sans MT" w:cs="Times New Roman"/>
          <w:b/>
          <w:bCs/>
          <w:sz w:val="24"/>
          <w:szCs w:val="23"/>
          <w:u w:val="single"/>
          <w:lang w:val="en-AU"/>
        </w:rPr>
        <w:t>Rotational</w:t>
      </w:r>
      <w:r w:rsidRPr="00511ED8">
        <w:rPr>
          <w:rFonts w:ascii="Gill Sans MT" w:eastAsia="Times New Roman" w:hAnsi="Gill Sans MT" w:cs="Times New Roman"/>
          <w:b/>
          <w:bCs/>
          <w:sz w:val="24"/>
          <w:szCs w:val="23"/>
          <w:lang w:val="en-AU"/>
        </w:rPr>
        <w:t xml:space="preserve"> </w:t>
      </w:r>
      <w:r w:rsidRPr="00511ED8">
        <w:rPr>
          <w:rFonts w:ascii="Gill Sans MT" w:eastAsia="Times New Roman" w:hAnsi="Gill Sans MT" w:cs="Times New Roman"/>
          <w:sz w:val="24"/>
          <w:szCs w:val="23"/>
          <w:lang w:val="en-AU"/>
        </w:rPr>
        <w:t xml:space="preserve">Registrars are expected to rotate to Tasmanian Health Service (THS) Hospitals in their 4 years of training. Trainees should spend their Advanced Training years at Royal Hobart Hospital. </w:t>
      </w:r>
    </w:p>
    <w:p w:rsidR="00511ED8" w:rsidRPr="00511ED8" w:rsidRDefault="00511ED8" w:rsidP="00511ED8">
      <w:pPr>
        <w:keepLines/>
        <w:widowControl/>
        <w:tabs>
          <w:tab w:val="left" w:pos="1134"/>
        </w:tabs>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The Anaesthetic Registrar will be rostered to ensure that an appropriate case-mix of elective and emergency clinical activity is available during the training period. Sub-specialty experience will be provided during the training period. </w:t>
      </w:r>
    </w:p>
    <w:p w:rsidR="00511ED8" w:rsidRPr="00511ED8" w:rsidRDefault="00511ED8" w:rsidP="00511ED8">
      <w:pPr>
        <w:keepLines/>
        <w:widowControl/>
        <w:tabs>
          <w:tab w:val="left" w:pos="1134"/>
        </w:tabs>
        <w:spacing w:after="140" w:line="300" w:lineRule="atLeast"/>
        <w:jc w:val="both"/>
        <w:rPr>
          <w:rFonts w:ascii="Gill Sans MT" w:eastAsia="Times New Roman" w:hAnsi="Gill Sans MT" w:cs="Times New Roman"/>
          <w:sz w:val="28"/>
          <w:szCs w:val="24"/>
          <w:lang w:val="en-AU"/>
        </w:rPr>
      </w:pPr>
      <w:r w:rsidRPr="00511ED8">
        <w:rPr>
          <w:rFonts w:ascii="Gill Sans MT" w:eastAsia="Times New Roman" w:hAnsi="Gill Sans MT" w:cs="Times New Roman"/>
          <w:sz w:val="24"/>
          <w:szCs w:val="23"/>
          <w:lang w:val="en-AU"/>
        </w:rPr>
        <w:t xml:space="preserve">TATP </w:t>
      </w:r>
      <w:r w:rsidRPr="00511ED8">
        <w:rPr>
          <w:rFonts w:ascii="Gill Sans MT" w:eastAsia="Times New Roman" w:hAnsi="Gill Sans MT" w:cs="Times New Roman"/>
          <w:b/>
          <w:bCs/>
          <w:sz w:val="24"/>
          <w:szCs w:val="23"/>
          <w:u w:val="single"/>
          <w:lang w:val="en-AU"/>
        </w:rPr>
        <w:t>Hospital</w:t>
      </w:r>
      <w:r w:rsidRPr="00511ED8">
        <w:rPr>
          <w:rFonts w:ascii="Gill Sans MT" w:eastAsia="Times New Roman" w:hAnsi="Gill Sans MT" w:cs="Times New Roman"/>
          <w:b/>
          <w:bCs/>
          <w:sz w:val="24"/>
          <w:szCs w:val="23"/>
          <w:lang w:val="en-AU"/>
        </w:rPr>
        <w:t xml:space="preserve"> </w:t>
      </w:r>
      <w:r w:rsidRPr="00511ED8">
        <w:rPr>
          <w:rFonts w:ascii="Gill Sans MT" w:eastAsia="Times New Roman" w:hAnsi="Gill Sans MT" w:cs="Times New Roman"/>
          <w:sz w:val="24"/>
          <w:szCs w:val="23"/>
          <w:lang w:val="en-AU"/>
        </w:rPr>
        <w:t xml:space="preserve">Registrars will not be expected to rotate to other THS Hospitals during the hospital appointment. The Anaesthetic Registrar will be rostered to ensure that an appropriate case-mix of elective and emergency is available during the training period. Sub-specialty experience will be provided whenever </w:t>
      </w:r>
      <w:proofErr w:type="gramStart"/>
      <w:r w:rsidRPr="00511ED8">
        <w:rPr>
          <w:rFonts w:ascii="Gill Sans MT" w:eastAsia="Times New Roman" w:hAnsi="Gill Sans MT" w:cs="Times New Roman"/>
          <w:sz w:val="24"/>
          <w:szCs w:val="23"/>
          <w:lang w:val="en-AU"/>
        </w:rPr>
        <w:t>possible, but</w:t>
      </w:r>
      <w:proofErr w:type="gramEnd"/>
      <w:r w:rsidRPr="00511ED8">
        <w:rPr>
          <w:rFonts w:ascii="Gill Sans MT" w:eastAsia="Times New Roman" w:hAnsi="Gill Sans MT" w:cs="Times New Roman"/>
          <w:sz w:val="24"/>
          <w:szCs w:val="23"/>
          <w:lang w:val="en-AU"/>
        </w:rPr>
        <w:t xml:space="preserve"> is not guarantee</w:t>
      </w:r>
      <w:r>
        <w:rPr>
          <w:rFonts w:ascii="Gill Sans MT" w:eastAsia="Times New Roman" w:hAnsi="Gill Sans MT" w:cs="Times New Roman"/>
          <w:sz w:val="24"/>
          <w:szCs w:val="23"/>
          <w:lang w:val="en-AU"/>
        </w:rPr>
        <w:t>d.</w:t>
      </w:r>
    </w:p>
    <w:p w:rsidR="00DF4B13" w:rsidRPr="00460F08" w:rsidRDefault="001610C6" w:rsidP="003F0FBB">
      <w:pPr>
        <w:pStyle w:val="Heading1"/>
        <w:spacing w:before="240" w:after="140"/>
        <w:ind w:left="0" w:right="89"/>
        <w:jc w:val="both"/>
        <w:rPr>
          <w:spacing w:val="-1"/>
        </w:rPr>
      </w:pPr>
      <w:r w:rsidRPr="00460F08">
        <w:rPr>
          <w:spacing w:val="-1"/>
        </w:rPr>
        <w:t>Duties:</w:t>
      </w:r>
    </w:p>
    <w:p w:rsidR="00511ED8" w:rsidRDefault="00511ED8" w:rsidP="00511ED8">
      <w:pPr>
        <w:pStyle w:val="ListParagraph"/>
        <w:keepLines/>
        <w:widowControl/>
        <w:numPr>
          <w:ilvl w:val="0"/>
          <w:numId w:val="7"/>
        </w:numPr>
        <w:tabs>
          <w:tab w:val="num" w:pos="567"/>
        </w:tabs>
        <w:spacing w:after="140" w:line="280" w:lineRule="atLeast"/>
        <w:ind w:left="567" w:hanging="567"/>
        <w:jc w:val="both"/>
        <w:rPr>
          <w:rFonts w:ascii="Gill Sans MT" w:eastAsia="Times New Roman" w:hAnsi="Gill Sans MT" w:cs="Times New Roman"/>
          <w:sz w:val="24"/>
          <w:szCs w:val="20"/>
          <w:lang w:val="en-AU"/>
        </w:rPr>
      </w:pPr>
      <w:r w:rsidRPr="00511ED8">
        <w:rPr>
          <w:rFonts w:ascii="Gill Sans MT" w:eastAsia="Times New Roman" w:hAnsi="Gill Sans MT" w:cs="Times New Roman"/>
          <w:sz w:val="24"/>
          <w:szCs w:val="20"/>
          <w:lang w:val="en-AU"/>
        </w:rPr>
        <w:t>Provide services in Anaesthesia including diagnosis, treatment and care for patients, both inpatient and outpatient at the THS Hospitals.</w:t>
      </w:r>
    </w:p>
    <w:p w:rsidR="00511ED8" w:rsidRDefault="00511ED8" w:rsidP="00511ED8">
      <w:pPr>
        <w:pStyle w:val="ListParagraph"/>
        <w:keepLines/>
        <w:widowControl/>
        <w:numPr>
          <w:ilvl w:val="0"/>
          <w:numId w:val="7"/>
        </w:numPr>
        <w:tabs>
          <w:tab w:val="num" w:pos="567"/>
        </w:tabs>
        <w:spacing w:after="140" w:line="280" w:lineRule="atLeast"/>
        <w:ind w:left="567" w:hanging="567"/>
        <w:jc w:val="both"/>
        <w:rPr>
          <w:rFonts w:ascii="Gill Sans MT" w:eastAsia="Times New Roman" w:hAnsi="Gill Sans MT" w:cs="Times New Roman"/>
          <w:sz w:val="24"/>
          <w:szCs w:val="20"/>
          <w:lang w:val="en-AU"/>
        </w:rPr>
      </w:pPr>
      <w:r w:rsidRPr="00511ED8">
        <w:rPr>
          <w:rFonts w:ascii="Gill Sans MT" w:eastAsia="Times New Roman" w:hAnsi="Gill Sans MT" w:cs="Times New Roman"/>
          <w:sz w:val="24"/>
          <w:szCs w:val="20"/>
          <w:lang w:val="en-AU"/>
        </w:rPr>
        <w:t xml:space="preserve">Participate in departmental teaching/education programs. </w:t>
      </w:r>
    </w:p>
    <w:p w:rsidR="00511ED8" w:rsidRDefault="00511ED8" w:rsidP="00511ED8">
      <w:pPr>
        <w:pStyle w:val="ListParagraph"/>
        <w:keepLines/>
        <w:widowControl/>
        <w:numPr>
          <w:ilvl w:val="0"/>
          <w:numId w:val="7"/>
        </w:numPr>
        <w:tabs>
          <w:tab w:val="num" w:pos="567"/>
        </w:tabs>
        <w:spacing w:after="140" w:line="280" w:lineRule="atLeast"/>
        <w:ind w:left="567" w:hanging="567"/>
        <w:jc w:val="both"/>
        <w:rPr>
          <w:rFonts w:ascii="Gill Sans MT" w:eastAsia="Times New Roman" w:hAnsi="Gill Sans MT" w:cs="Times New Roman"/>
          <w:sz w:val="24"/>
          <w:szCs w:val="20"/>
          <w:lang w:val="en-AU"/>
        </w:rPr>
      </w:pPr>
      <w:r w:rsidRPr="00511ED8">
        <w:rPr>
          <w:rFonts w:ascii="Gill Sans MT" w:eastAsia="Times New Roman" w:hAnsi="Gill Sans MT" w:cs="Times New Roman"/>
          <w:sz w:val="24"/>
          <w:szCs w:val="20"/>
          <w:lang w:val="en-AU"/>
        </w:rPr>
        <w:t xml:space="preserve">Participate in research in Anaesthesia. </w:t>
      </w:r>
    </w:p>
    <w:p w:rsidR="00511ED8" w:rsidRDefault="00511ED8" w:rsidP="00511ED8">
      <w:pPr>
        <w:pStyle w:val="ListParagraph"/>
        <w:keepLines/>
        <w:widowControl/>
        <w:numPr>
          <w:ilvl w:val="0"/>
          <w:numId w:val="7"/>
        </w:numPr>
        <w:tabs>
          <w:tab w:val="num" w:pos="567"/>
        </w:tabs>
        <w:spacing w:after="140" w:line="280" w:lineRule="atLeast"/>
        <w:ind w:left="567" w:hanging="567"/>
        <w:jc w:val="both"/>
        <w:rPr>
          <w:rFonts w:ascii="Gill Sans MT" w:eastAsia="Times New Roman" w:hAnsi="Gill Sans MT" w:cs="Times New Roman"/>
          <w:sz w:val="24"/>
          <w:szCs w:val="20"/>
          <w:lang w:val="en-AU"/>
        </w:rPr>
      </w:pPr>
      <w:r w:rsidRPr="00511ED8">
        <w:rPr>
          <w:rFonts w:ascii="Gill Sans MT" w:eastAsia="Times New Roman" w:hAnsi="Gill Sans MT" w:cs="Times New Roman"/>
          <w:sz w:val="24"/>
          <w:szCs w:val="20"/>
          <w:lang w:val="en-AU"/>
        </w:rPr>
        <w:t xml:space="preserve">Participate in an out-of-hours Anaesthetic Registrar roster. </w:t>
      </w:r>
    </w:p>
    <w:p w:rsidR="00511ED8" w:rsidRDefault="00511ED8" w:rsidP="00511ED8">
      <w:pPr>
        <w:pStyle w:val="ListParagraph"/>
        <w:keepLines/>
        <w:widowControl/>
        <w:numPr>
          <w:ilvl w:val="0"/>
          <w:numId w:val="7"/>
        </w:numPr>
        <w:tabs>
          <w:tab w:val="num" w:pos="567"/>
        </w:tabs>
        <w:spacing w:after="140" w:line="280" w:lineRule="atLeast"/>
        <w:ind w:left="567" w:hanging="567"/>
        <w:jc w:val="both"/>
        <w:rPr>
          <w:rFonts w:ascii="Gill Sans MT" w:eastAsia="Times New Roman" w:hAnsi="Gill Sans MT" w:cs="Times New Roman"/>
          <w:sz w:val="24"/>
          <w:szCs w:val="20"/>
          <w:lang w:val="en-AU"/>
        </w:rPr>
      </w:pPr>
      <w:r w:rsidRPr="00511ED8">
        <w:rPr>
          <w:rFonts w:ascii="Gill Sans MT" w:eastAsia="Times New Roman" w:hAnsi="Gill Sans MT" w:cs="Times New Roman"/>
          <w:sz w:val="24"/>
          <w:szCs w:val="20"/>
          <w:lang w:val="en-AU"/>
        </w:rPr>
        <w:t xml:space="preserve">Participate in administrative matters as required by Director of the Department of Anaesthesia. </w:t>
      </w:r>
    </w:p>
    <w:p w:rsidR="00511ED8" w:rsidRDefault="00511ED8" w:rsidP="00511ED8">
      <w:pPr>
        <w:pStyle w:val="ListParagraph"/>
        <w:keepLines/>
        <w:widowControl/>
        <w:tabs>
          <w:tab w:val="num" w:pos="567"/>
        </w:tabs>
        <w:spacing w:after="140" w:line="280" w:lineRule="atLeast"/>
        <w:ind w:left="567"/>
        <w:jc w:val="both"/>
        <w:rPr>
          <w:rFonts w:ascii="Gill Sans MT" w:eastAsia="Times New Roman" w:hAnsi="Gill Sans MT" w:cs="Times New Roman"/>
          <w:sz w:val="24"/>
          <w:szCs w:val="20"/>
          <w:lang w:val="en-AU"/>
        </w:rPr>
      </w:pPr>
    </w:p>
    <w:p w:rsidR="00511ED8" w:rsidRDefault="00511ED8" w:rsidP="00511ED8">
      <w:pPr>
        <w:pStyle w:val="ListParagraph"/>
        <w:keepLines/>
        <w:widowControl/>
        <w:numPr>
          <w:ilvl w:val="0"/>
          <w:numId w:val="7"/>
        </w:numPr>
        <w:tabs>
          <w:tab w:val="num" w:pos="567"/>
        </w:tabs>
        <w:spacing w:after="140" w:line="280" w:lineRule="atLeast"/>
        <w:ind w:left="567" w:hanging="567"/>
        <w:jc w:val="both"/>
        <w:rPr>
          <w:rFonts w:ascii="Gill Sans MT" w:eastAsia="Times New Roman" w:hAnsi="Gill Sans MT" w:cs="Times New Roman"/>
          <w:sz w:val="24"/>
          <w:szCs w:val="20"/>
          <w:lang w:val="en-AU"/>
        </w:rPr>
      </w:pPr>
      <w:r w:rsidRPr="00511ED8">
        <w:rPr>
          <w:rFonts w:ascii="Gill Sans MT" w:eastAsia="Times New Roman" w:hAnsi="Gill Sans MT" w:cs="Times New Roman"/>
          <w:sz w:val="24"/>
          <w:szCs w:val="20"/>
          <w:lang w:val="en-AU"/>
        </w:rPr>
        <w:lastRenderedPageBreak/>
        <w:t xml:space="preserve">Participate in continuous quality improvement activities. </w:t>
      </w:r>
    </w:p>
    <w:p w:rsidR="00511ED8" w:rsidRDefault="00511ED8" w:rsidP="00511ED8">
      <w:pPr>
        <w:pStyle w:val="ListParagraph"/>
        <w:keepLines/>
        <w:widowControl/>
        <w:numPr>
          <w:ilvl w:val="0"/>
          <w:numId w:val="7"/>
        </w:numPr>
        <w:tabs>
          <w:tab w:val="num" w:pos="567"/>
        </w:tabs>
        <w:spacing w:after="140" w:line="280" w:lineRule="atLeast"/>
        <w:ind w:left="567" w:hanging="567"/>
        <w:jc w:val="both"/>
        <w:rPr>
          <w:rFonts w:ascii="Gill Sans MT" w:eastAsia="Times New Roman" w:hAnsi="Gill Sans MT" w:cs="Times New Roman"/>
          <w:sz w:val="24"/>
          <w:szCs w:val="20"/>
          <w:lang w:val="en-AU"/>
        </w:rPr>
      </w:pPr>
      <w:r w:rsidRPr="00511ED8">
        <w:rPr>
          <w:rFonts w:ascii="Gill Sans MT" w:eastAsia="Times New Roman" w:hAnsi="Gill Sans MT" w:cs="Times New Roman"/>
          <w:sz w:val="24"/>
          <w:szCs w:val="20"/>
          <w:lang w:val="en-AU"/>
        </w:rPr>
        <w:t xml:space="preserve">Observe all hospital policies and procedures and statutory regulations. </w:t>
      </w:r>
    </w:p>
    <w:p w:rsidR="00511ED8" w:rsidRDefault="00511ED8" w:rsidP="00511ED8">
      <w:pPr>
        <w:pStyle w:val="ListParagraph"/>
        <w:keepLines/>
        <w:widowControl/>
        <w:numPr>
          <w:ilvl w:val="0"/>
          <w:numId w:val="7"/>
        </w:numPr>
        <w:tabs>
          <w:tab w:val="num" w:pos="567"/>
        </w:tabs>
        <w:spacing w:after="140" w:line="280" w:lineRule="atLeast"/>
        <w:ind w:left="567" w:hanging="567"/>
        <w:jc w:val="both"/>
        <w:rPr>
          <w:rFonts w:ascii="Gill Sans MT" w:eastAsia="Times New Roman" w:hAnsi="Gill Sans MT" w:cs="Times New Roman"/>
          <w:sz w:val="24"/>
          <w:szCs w:val="20"/>
          <w:lang w:val="en-AU"/>
        </w:rPr>
      </w:pPr>
      <w:r w:rsidRPr="00511ED8">
        <w:rPr>
          <w:rFonts w:ascii="Gill Sans MT" w:eastAsia="Times New Roman" w:hAnsi="Gill Sans MT" w:cs="Times New Roman"/>
          <w:sz w:val="24"/>
          <w:szCs w:val="20"/>
          <w:lang w:val="en-AU"/>
        </w:rPr>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rsidR="00511ED8" w:rsidRPr="00511ED8" w:rsidRDefault="00511ED8" w:rsidP="00511ED8">
      <w:pPr>
        <w:pStyle w:val="ListParagraph"/>
        <w:keepLines/>
        <w:widowControl/>
        <w:numPr>
          <w:ilvl w:val="0"/>
          <w:numId w:val="7"/>
        </w:numPr>
        <w:tabs>
          <w:tab w:val="num" w:pos="567"/>
        </w:tabs>
        <w:spacing w:after="240" w:line="280" w:lineRule="atLeast"/>
        <w:ind w:left="567" w:hanging="567"/>
        <w:jc w:val="both"/>
        <w:rPr>
          <w:rFonts w:ascii="Gill Sans MT" w:eastAsia="Times New Roman" w:hAnsi="Gill Sans MT" w:cs="Times New Roman"/>
          <w:sz w:val="24"/>
          <w:szCs w:val="20"/>
          <w:lang w:val="en-AU"/>
        </w:rPr>
      </w:pPr>
      <w:r w:rsidRPr="00511ED8">
        <w:rPr>
          <w:rFonts w:ascii="Gill Sans MT" w:eastAsia="Times New Roman" w:hAnsi="Gill Sans MT" w:cs="Times New Roman"/>
          <w:sz w:val="24"/>
          <w:szCs w:val="20"/>
          <w:lang w:val="en-AU"/>
        </w:rPr>
        <w:t xml:space="preserve">The incumbent can expect to be allocated duties, not specifically mentioned in this document, that are within the capacity, qualifications and experience normally expected from persons occupying jobs at this classification level. </w:t>
      </w:r>
    </w:p>
    <w:p w:rsidR="00DF4B13" w:rsidRPr="00460F08" w:rsidRDefault="001610C6" w:rsidP="00511ED8">
      <w:pPr>
        <w:pStyle w:val="Heading1"/>
        <w:spacing w:before="240" w:after="140" w:line="280" w:lineRule="atLeast"/>
        <w:ind w:left="0" w:right="89"/>
        <w:jc w:val="both"/>
        <w:rPr>
          <w:spacing w:val="-1"/>
        </w:rPr>
      </w:pPr>
      <w:r w:rsidRPr="00460F08">
        <w:rPr>
          <w:spacing w:val="-1"/>
        </w:rPr>
        <w:t>Scope of Work Performed:</w:t>
      </w:r>
    </w:p>
    <w:p w:rsidR="00511ED8" w:rsidRPr="00511ED8" w:rsidRDefault="00511ED8" w:rsidP="00511ED8">
      <w:pPr>
        <w:pStyle w:val="BulletedListLevel1"/>
        <w:tabs>
          <w:tab w:val="clear" w:pos="927"/>
          <w:tab w:val="clear" w:pos="1134"/>
          <w:tab w:val="num" w:pos="567"/>
        </w:tabs>
        <w:spacing w:line="280" w:lineRule="atLeast"/>
        <w:ind w:left="567"/>
        <w:rPr>
          <w:lang w:eastAsia="en-AU"/>
        </w:rPr>
      </w:pPr>
      <w:r w:rsidRPr="00511ED8">
        <w:rPr>
          <w:iCs/>
        </w:rPr>
        <w:t>Provide</w:t>
      </w:r>
      <w:r w:rsidRPr="00511ED8">
        <w:rPr>
          <w:lang w:eastAsia="en-AU"/>
        </w:rPr>
        <w:t xml:space="preserve"> a </w:t>
      </w:r>
      <w:proofErr w:type="gramStart"/>
      <w:r w:rsidRPr="00511ED8">
        <w:rPr>
          <w:lang w:eastAsia="en-AU"/>
        </w:rPr>
        <w:t>high quality</w:t>
      </w:r>
      <w:proofErr w:type="gramEnd"/>
      <w:r w:rsidRPr="00511ED8">
        <w:rPr>
          <w:lang w:eastAsia="en-AU"/>
        </w:rPr>
        <w:t xml:space="preserve"> service under the direction of the Director of the Department of Anaesthesia to patients of the Tasmanian Health Service Hospitals, by: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Providing appropriate clinical care to patients, under appropriate level of supervision as stipulated by Australian and New Zealand College of Anaesthetists.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Coordinating the follow-up care of patients.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Attending inpatient rounds and consulting clinics as scheduled.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Contributing to an after-hours on-call service in accordance with a roster.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Ensuring effective communication with care providers, to promote continuity of patient care.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Ensuring appropriate and high-quality documentation in patient records. </w:t>
      </w:r>
    </w:p>
    <w:p w:rsidR="00511ED8" w:rsidRPr="00511ED8" w:rsidRDefault="00511ED8" w:rsidP="00511ED8">
      <w:pPr>
        <w:pStyle w:val="BulletedListLevel1"/>
        <w:tabs>
          <w:tab w:val="clear" w:pos="927"/>
          <w:tab w:val="clear" w:pos="1134"/>
          <w:tab w:val="num" w:pos="567"/>
        </w:tabs>
        <w:spacing w:line="280" w:lineRule="atLeast"/>
        <w:ind w:left="567"/>
      </w:pPr>
      <w:r w:rsidRPr="00511ED8">
        <w:rPr>
          <w:iCs/>
        </w:rPr>
        <w:t>Demonstrate</w:t>
      </w:r>
      <w:r w:rsidRPr="00511ED8">
        <w:t xml:space="preserve"> a commitment to continuous service improvement by participating in: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Attending clinical and departmental meetings.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The development of clinical guidelines and protocols.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Participating in department audit and quality assurance activities;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Participating in quality improvement programs undertaken by the THS Hospitals;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eastAsia="en-AU"/>
        </w:rPr>
      </w:pPr>
      <w:r w:rsidRPr="00511ED8">
        <w:rPr>
          <w:rFonts w:ascii="Gill Sans MT" w:eastAsia="Times New Roman" w:hAnsi="Gill Sans MT" w:cs="Times New Roman"/>
          <w:sz w:val="24"/>
          <w:szCs w:val="24"/>
          <w:lang w:val="en-AU" w:eastAsia="en-AU"/>
        </w:rPr>
        <w:t xml:space="preserve">Participating in College-based programs directed towards maintaining the highest standards of professional care; and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eastAsia="en-AU"/>
        </w:rPr>
        <w:t>Participating in personal</w:t>
      </w:r>
      <w:r w:rsidRPr="00511ED8">
        <w:rPr>
          <w:rFonts w:ascii="Gill Sans MT" w:eastAsia="Times New Roman" w:hAnsi="Gill Sans MT" w:cs="Times New Roman"/>
          <w:sz w:val="24"/>
          <w:szCs w:val="24"/>
          <w:lang w:val="en-AU"/>
        </w:rPr>
        <w:t xml:space="preserve"> performance appraisal. </w:t>
      </w:r>
    </w:p>
    <w:p w:rsidR="00511ED8" w:rsidRPr="00511ED8" w:rsidRDefault="00511ED8" w:rsidP="00511ED8">
      <w:pPr>
        <w:pStyle w:val="BulletedListLevel1"/>
        <w:tabs>
          <w:tab w:val="clear" w:pos="927"/>
          <w:tab w:val="clear" w:pos="1134"/>
          <w:tab w:val="num" w:pos="567"/>
        </w:tabs>
        <w:spacing w:line="280" w:lineRule="atLeast"/>
        <w:ind w:left="567"/>
      </w:pPr>
      <w:r w:rsidRPr="00511ED8">
        <w:rPr>
          <w:iCs/>
        </w:rPr>
        <w:t>Demonstrate</w:t>
      </w:r>
      <w:r w:rsidRPr="00511ED8">
        <w:t xml:space="preserve"> a commitment to personal and professional development by: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Attending educational programs to maintain and enhance knowledge.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Meeting the training standards and requirements of the Australian and New Zealand College of Anaesthetists.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Participating in programs designed to provide personal growth and development. </w:t>
      </w:r>
    </w:p>
    <w:p w:rsidR="00511ED8" w:rsidRPr="00511ED8" w:rsidRDefault="00511ED8" w:rsidP="00511ED8">
      <w:pPr>
        <w:pStyle w:val="BulletedListLevel1"/>
        <w:tabs>
          <w:tab w:val="clear" w:pos="927"/>
          <w:tab w:val="clear" w:pos="1134"/>
          <w:tab w:val="num" w:pos="567"/>
        </w:tabs>
        <w:spacing w:line="280" w:lineRule="atLeast"/>
        <w:ind w:left="567"/>
      </w:pPr>
      <w:r w:rsidRPr="00511ED8">
        <w:t xml:space="preserve">Demonstrate a </w:t>
      </w:r>
      <w:r w:rsidRPr="00511ED8">
        <w:rPr>
          <w:iCs/>
        </w:rPr>
        <w:t>commitment</w:t>
      </w:r>
      <w:r w:rsidRPr="00511ED8">
        <w:t xml:space="preserve"> to the provision of a multidisciplinary approach to clinical care by: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Working harmoniously with all members of the clinical team. </w:t>
      </w:r>
    </w:p>
    <w:p w:rsid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Being responsive to the expectations and needs of both clinical and non-clinical colleagues. </w:t>
      </w:r>
    </w:p>
    <w:p w:rsidR="00511ED8" w:rsidRPr="00511ED8" w:rsidRDefault="00511ED8" w:rsidP="00511ED8">
      <w:pPr>
        <w:keepLines/>
        <w:widowControl/>
        <w:tabs>
          <w:tab w:val="left" w:pos="567"/>
          <w:tab w:val="left" w:pos="993"/>
        </w:tabs>
        <w:spacing w:after="140" w:line="280" w:lineRule="atLeast"/>
        <w:jc w:val="both"/>
        <w:rPr>
          <w:rFonts w:ascii="Gill Sans MT" w:eastAsia="Times New Roman" w:hAnsi="Gill Sans MT" w:cs="Times New Roman"/>
          <w:sz w:val="24"/>
          <w:szCs w:val="24"/>
          <w:lang w:val="en-AU"/>
        </w:rPr>
      </w:pPr>
    </w:p>
    <w:p w:rsidR="00511ED8" w:rsidRPr="00511ED8" w:rsidRDefault="00511ED8" w:rsidP="00511ED8">
      <w:pPr>
        <w:pStyle w:val="BulletedListLevel1"/>
        <w:tabs>
          <w:tab w:val="clear" w:pos="927"/>
          <w:tab w:val="clear" w:pos="1134"/>
          <w:tab w:val="num" w:pos="567"/>
        </w:tabs>
        <w:spacing w:line="280" w:lineRule="atLeast"/>
        <w:ind w:left="567"/>
      </w:pPr>
      <w:r w:rsidRPr="00511ED8">
        <w:lastRenderedPageBreak/>
        <w:t xml:space="preserve">Engender a consumer focus in service delivery by: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Ensuring consumers </w:t>
      </w:r>
      <w:proofErr w:type="gramStart"/>
      <w:r w:rsidRPr="00511ED8">
        <w:rPr>
          <w:rFonts w:ascii="Gill Sans MT" w:eastAsia="Times New Roman" w:hAnsi="Gill Sans MT" w:cs="Times New Roman"/>
          <w:sz w:val="24"/>
          <w:szCs w:val="24"/>
          <w:lang w:val="en-AU"/>
        </w:rPr>
        <w:t>are able to</w:t>
      </w:r>
      <w:proofErr w:type="gramEnd"/>
      <w:r w:rsidRPr="00511ED8">
        <w:rPr>
          <w:rFonts w:ascii="Gill Sans MT" w:eastAsia="Times New Roman" w:hAnsi="Gill Sans MT" w:cs="Times New Roman"/>
          <w:sz w:val="24"/>
          <w:szCs w:val="24"/>
          <w:lang w:val="en-AU"/>
        </w:rPr>
        <w:t xml:space="preserve"> exercise their rights and responsibilities.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Ensuring that patients and families are given adequate information upon which to base treatment decisions and follow up.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Ensuring respect for patients’ dignity and maintenance of confidentiality of medical information.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Demonstrating empathy for patients and their families. </w:t>
      </w:r>
    </w:p>
    <w:p w:rsidR="00511ED8" w:rsidRPr="00511ED8" w:rsidRDefault="00511ED8" w:rsidP="00511ED8">
      <w:pPr>
        <w:pStyle w:val="BulletedListLevel1"/>
        <w:tabs>
          <w:tab w:val="clear" w:pos="927"/>
          <w:tab w:val="clear" w:pos="1134"/>
          <w:tab w:val="num" w:pos="567"/>
        </w:tabs>
        <w:spacing w:line="280" w:lineRule="atLeast"/>
        <w:ind w:left="567"/>
      </w:pPr>
      <w:r w:rsidRPr="00511ED8">
        <w:t xml:space="preserve">Provide appropriate support, direction and training to trainee medical officers, nurses and medical students and paramedical personnel by: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Participating</w:t>
      </w:r>
      <w:r w:rsidRPr="00511ED8">
        <w:rPr>
          <w:rFonts w:ascii="Gill Sans MT" w:eastAsia="Times New Roman" w:hAnsi="Gill Sans MT" w:cs="Times New Roman"/>
          <w:sz w:val="23"/>
          <w:szCs w:val="23"/>
          <w:lang w:val="en-AU"/>
        </w:rPr>
        <w:t xml:space="preserve"> in the education of trainee medical staff, nurses, medical students and paramedical personnel. </w:t>
      </w:r>
    </w:p>
    <w:p w:rsidR="00511ED8" w:rsidRPr="00511ED8" w:rsidRDefault="00511ED8" w:rsidP="00511ED8">
      <w:pPr>
        <w:pStyle w:val="BulletedListLevel1"/>
        <w:tabs>
          <w:tab w:val="clear" w:pos="927"/>
          <w:tab w:val="clear" w:pos="1134"/>
          <w:tab w:val="num" w:pos="567"/>
        </w:tabs>
        <w:spacing w:line="280" w:lineRule="atLeast"/>
        <w:ind w:left="567"/>
        <w:rPr>
          <w:sz w:val="23"/>
          <w:szCs w:val="23"/>
        </w:rPr>
      </w:pPr>
      <w:r w:rsidRPr="00511ED8">
        <w:t>Participate</w:t>
      </w:r>
      <w:r w:rsidRPr="00511ED8">
        <w:rPr>
          <w:sz w:val="23"/>
          <w:szCs w:val="23"/>
        </w:rPr>
        <w:t xml:space="preserve"> in and contribute to the academic life of the Department by: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Conducting research.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Participating actively in educational activities </w:t>
      </w:r>
      <w:proofErr w:type="spellStart"/>
      <w:r w:rsidRPr="00511ED8">
        <w:rPr>
          <w:rFonts w:ascii="Gill Sans MT" w:eastAsia="Times New Roman" w:hAnsi="Gill Sans MT" w:cs="Times New Roman"/>
          <w:sz w:val="24"/>
          <w:szCs w:val="24"/>
          <w:lang w:val="en-AU"/>
        </w:rPr>
        <w:t>eg</w:t>
      </w:r>
      <w:proofErr w:type="spellEnd"/>
      <w:r w:rsidRPr="00511ED8">
        <w:rPr>
          <w:rFonts w:ascii="Gill Sans MT" w:eastAsia="Times New Roman" w:hAnsi="Gill Sans MT" w:cs="Times New Roman"/>
          <w:sz w:val="24"/>
          <w:szCs w:val="24"/>
          <w:lang w:val="en-AU"/>
        </w:rPr>
        <w:t xml:space="preserve">: Grand Rounds, Department Meetings, and Journal Club. </w:t>
      </w:r>
    </w:p>
    <w:p w:rsidR="00511ED8" w:rsidRPr="00511ED8" w:rsidRDefault="00511ED8" w:rsidP="00511ED8">
      <w:pPr>
        <w:pStyle w:val="BulletedListLevel1"/>
        <w:tabs>
          <w:tab w:val="clear" w:pos="927"/>
          <w:tab w:val="clear" w:pos="1134"/>
          <w:tab w:val="num" w:pos="567"/>
        </w:tabs>
        <w:spacing w:line="280" w:lineRule="atLeast"/>
        <w:ind w:left="567"/>
      </w:pPr>
      <w:r w:rsidRPr="00511ED8">
        <w:t xml:space="preserve">Promote and </w:t>
      </w:r>
      <w:r w:rsidRPr="00511ED8">
        <w:rPr>
          <w:sz w:val="23"/>
          <w:szCs w:val="23"/>
        </w:rPr>
        <w:t>contribute</w:t>
      </w:r>
      <w:r w:rsidRPr="00511ED8">
        <w:t xml:space="preserve"> to the maintenance of a safe working environment by: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Complying with work health and safety and welfare policies and other written arrangements for work health and safety and welfare at work.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Participating in relevant occupational health, safety and welfare programs.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Complying with any reasonable instruction and following safe-work practices in relation to work health, safety and welfare at work.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Participating in training programs and on-the-job training programs for occupational health, safety and welfare.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Reporting all incidents, accidents and observed hazards to their supervisor or manager as soon as possible and assisting in the investigation process.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Supporting the role of the health and safety representatives by keeping them informed of any issues relating to health, safety and welfare in the workplaces.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Ensuring that you are not, by the consumption of alcohol or a drug, in such a state as to endanger your own health, safety at work or the health and safety or any other person. </w:t>
      </w:r>
    </w:p>
    <w:p w:rsidR="00511ED8" w:rsidRPr="00511ED8" w:rsidRDefault="00511ED8" w:rsidP="00511ED8">
      <w:pPr>
        <w:keepLines/>
        <w:widowControl/>
        <w:numPr>
          <w:ilvl w:val="1"/>
          <w:numId w:val="3"/>
        </w:numPr>
        <w:tabs>
          <w:tab w:val="clear" w:pos="1494"/>
          <w:tab w:val="left" w:pos="567"/>
          <w:tab w:val="left" w:pos="993"/>
          <w:tab w:val="num" w:pos="1134"/>
        </w:tabs>
        <w:spacing w:after="140" w:line="280" w:lineRule="atLeast"/>
        <w:ind w:left="993" w:hanging="426"/>
        <w:jc w:val="both"/>
        <w:rPr>
          <w:rFonts w:ascii="Gill Sans MT" w:eastAsia="Times New Roman" w:hAnsi="Gill Sans MT" w:cs="Times New Roman"/>
          <w:sz w:val="24"/>
          <w:szCs w:val="24"/>
          <w:lang w:val="en-AU"/>
        </w:rPr>
      </w:pPr>
      <w:r w:rsidRPr="00511ED8">
        <w:rPr>
          <w:rFonts w:ascii="Gill Sans MT" w:eastAsia="Times New Roman" w:hAnsi="Gill Sans MT" w:cs="Times New Roman"/>
          <w:sz w:val="24"/>
          <w:szCs w:val="24"/>
          <w:lang w:val="en-AU"/>
        </w:rPr>
        <w:t xml:space="preserve">Participating in appraisals to evaluate Work Health and Safety performance. </w:t>
      </w:r>
    </w:p>
    <w:p w:rsidR="00511ED8" w:rsidRPr="00511ED8" w:rsidRDefault="00511ED8" w:rsidP="00511ED8">
      <w:pPr>
        <w:pStyle w:val="BulletedListLevel1"/>
        <w:tabs>
          <w:tab w:val="clear" w:pos="927"/>
          <w:tab w:val="clear" w:pos="1134"/>
          <w:tab w:val="num" w:pos="567"/>
        </w:tabs>
        <w:spacing w:after="240" w:line="280" w:lineRule="atLeast"/>
        <w:ind w:left="567"/>
      </w:pPr>
      <w:proofErr w:type="gramStart"/>
      <w:r w:rsidRPr="00511ED8">
        <w:t>Comply at all times</w:t>
      </w:r>
      <w:proofErr w:type="gramEnd"/>
      <w:r w:rsidRPr="00511ED8">
        <w:t xml:space="preserve"> with </w:t>
      </w:r>
      <w:r w:rsidRPr="00511ED8">
        <w:rPr>
          <w:sz w:val="23"/>
          <w:szCs w:val="23"/>
        </w:rPr>
        <w:t>THS</w:t>
      </w:r>
      <w:r w:rsidRPr="00511ED8">
        <w:t xml:space="preserve"> policy and protocol requirements, in particular those relating to mandatory education, training and assessment. </w:t>
      </w:r>
    </w:p>
    <w:p w:rsidR="00DF4B13" w:rsidRPr="00460F08" w:rsidRDefault="001610C6" w:rsidP="003F0FBB">
      <w:pPr>
        <w:pStyle w:val="Heading1"/>
        <w:spacing w:before="240" w:after="140"/>
        <w:ind w:left="0" w:right="89"/>
        <w:jc w:val="both"/>
        <w:rPr>
          <w:spacing w:val="-1"/>
        </w:rPr>
      </w:pPr>
      <w:r w:rsidRPr="00460F08">
        <w:rPr>
          <w:spacing w:val="-1"/>
        </w:rPr>
        <w:t>Essential Requirements:</w:t>
      </w:r>
    </w:p>
    <w:p w:rsidR="00DF4B13" w:rsidRDefault="001610C6" w:rsidP="003F0FBB">
      <w:pPr>
        <w:spacing w:after="140" w:line="258" w:lineRule="auto"/>
        <w:ind w:right="89"/>
        <w:jc w:val="both"/>
        <w:rPr>
          <w:rFonts w:ascii="Gill Sans MT" w:eastAsia="Gill Sans MT" w:hAnsi="Gill Sans MT" w:cs="Gill Sans MT"/>
          <w:i/>
          <w:sz w:val="24"/>
          <w:szCs w:val="24"/>
        </w:rPr>
      </w:pPr>
      <w:r w:rsidRPr="00460F08">
        <w:rPr>
          <w:rFonts w:ascii="Gill Sans MT" w:eastAsia="Gill Sans MT" w:hAnsi="Gill Sans MT" w:cs="Gill Sans MT"/>
          <w:i/>
          <w:sz w:val="24"/>
          <w:szCs w:val="24"/>
        </w:rPr>
        <w:t>Regis</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ra</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ion/</w:t>
      </w:r>
      <w:proofErr w:type="spellStart"/>
      <w:r w:rsidRPr="00460F08">
        <w:rPr>
          <w:rFonts w:ascii="Gill Sans MT" w:eastAsia="Gill Sans MT" w:hAnsi="Gill Sans MT" w:cs="Gill Sans MT"/>
          <w:i/>
          <w:sz w:val="24"/>
          <w:szCs w:val="24"/>
        </w:rPr>
        <w:t>li</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en</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es</w:t>
      </w:r>
      <w:proofErr w:type="spellEnd"/>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that</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are</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es</w:t>
      </w:r>
      <w:r w:rsidRPr="00460F08">
        <w:rPr>
          <w:rFonts w:ascii="Gill Sans MT" w:eastAsia="Gill Sans MT" w:hAnsi="Gill Sans MT" w:cs="Gill Sans MT"/>
          <w:i/>
          <w:spacing w:val="-2"/>
          <w:sz w:val="24"/>
          <w:szCs w:val="24"/>
        </w:rPr>
        <w:t>s</w:t>
      </w:r>
      <w:r w:rsidRPr="00460F08">
        <w:rPr>
          <w:rFonts w:ascii="Gill Sans MT" w:eastAsia="Gill Sans MT" w:hAnsi="Gill Sans MT" w:cs="Gill Sans MT"/>
          <w:i/>
          <w:sz w:val="24"/>
          <w:szCs w:val="24"/>
        </w:rPr>
        <w:t>ential</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requirements</w:t>
      </w:r>
      <w:r w:rsidRPr="00460F08">
        <w:rPr>
          <w:rFonts w:ascii="Gill Sans MT" w:eastAsia="Gill Sans MT" w:hAnsi="Gill Sans MT" w:cs="Gill Sans MT"/>
          <w:i/>
          <w:spacing w:val="11"/>
          <w:sz w:val="24"/>
          <w:szCs w:val="24"/>
        </w:rPr>
        <w:t xml:space="preserve"> </w:t>
      </w:r>
      <w:r w:rsidRPr="00460F08">
        <w:rPr>
          <w:rFonts w:ascii="Gill Sans MT" w:eastAsia="Gill Sans MT" w:hAnsi="Gill Sans MT" w:cs="Gill Sans MT"/>
          <w:i/>
          <w:sz w:val="24"/>
          <w:szCs w:val="24"/>
        </w:rPr>
        <w:t>of</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this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role</w:t>
      </w:r>
      <w:r w:rsidRPr="00460F08">
        <w:rPr>
          <w:rFonts w:ascii="Gill Sans MT" w:eastAsia="Gill Sans MT" w:hAnsi="Gill Sans MT" w:cs="Gill Sans MT"/>
          <w:i/>
          <w:spacing w:val="16"/>
          <w:sz w:val="24"/>
          <w:szCs w:val="24"/>
        </w:rPr>
        <w:t xml:space="preserve"> </w:t>
      </w:r>
      <w:proofErr w:type="gramStart"/>
      <w:r w:rsidRPr="00460F08">
        <w:rPr>
          <w:rFonts w:ascii="Gill Sans MT" w:eastAsia="Gill Sans MT" w:hAnsi="Gill Sans MT" w:cs="Gill Sans MT"/>
          <w:i/>
          <w:sz w:val="24"/>
          <w:szCs w:val="24"/>
        </w:rPr>
        <w:t>must</w:t>
      </w:r>
      <w:r w:rsidRPr="00460F08">
        <w:rPr>
          <w:rFonts w:ascii="Gill Sans MT" w:eastAsia="Gill Sans MT" w:hAnsi="Gill Sans MT" w:cs="Gill Sans MT"/>
          <w:i/>
          <w:spacing w:val="19"/>
          <w:sz w:val="24"/>
          <w:szCs w:val="24"/>
        </w:rPr>
        <w:t xml:space="preserve"> </w:t>
      </w:r>
      <w:r w:rsidRPr="00460F08">
        <w:rPr>
          <w:rFonts w:ascii="Gill Sans MT" w:eastAsia="Gill Sans MT" w:hAnsi="Gill Sans MT" w:cs="Gill Sans MT"/>
          <w:i/>
          <w:sz w:val="24"/>
          <w:szCs w:val="24"/>
        </w:rPr>
        <w:t>remain</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pacing w:val="-5"/>
          <w:sz w:val="24"/>
          <w:szCs w:val="24"/>
        </w:rPr>
        <w:t>c</w:t>
      </w:r>
      <w:r w:rsidRPr="00460F08">
        <w:rPr>
          <w:rFonts w:ascii="Gill Sans MT" w:eastAsia="Gill Sans MT" w:hAnsi="Gill Sans MT" w:cs="Gill Sans MT"/>
          <w:i/>
          <w:sz w:val="24"/>
          <w:szCs w:val="24"/>
        </w:rPr>
        <w:t>ur</w:t>
      </w:r>
      <w:r w:rsidRPr="00460F08">
        <w:rPr>
          <w:rFonts w:ascii="Gill Sans MT" w:eastAsia="Gill Sans MT" w:hAnsi="Gill Sans MT" w:cs="Gill Sans MT"/>
          <w:i/>
          <w:spacing w:val="-2"/>
          <w:sz w:val="24"/>
          <w:szCs w:val="24"/>
        </w:rPr>
        <w:t>r</w:t>
      </w:r>
      <w:r w:rsidRPr="00460F08">
        <w:rPr>
          <w:rFonts w:ascii="Gill Sans MT" w:eastAsia="Gill Sans MT" w:hAnsi="Gill Sans MT" w:cs="Gill Sans MT"/>
          <w:i/>
          <w:sz w:val="24"/>
          <w:szCs w:val="24"/>
        </w:rPr>
        <w:t>ent</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and</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val</w:t>
      </w:r>
      <w:r w:rsidRPr="00460F08">
        <w:rPr>
          <w:rFonts w:ascii="Gill Sans MT" w:eastAsia="Gill Sans MT" w:hAnsi="Gill Sans MT" w:cs="Gill Sans MT"/>
          <w:i/>
          <w:spacing w:val="-2"/>
          <w:sz w:val="24"/>
          <w:szCs w:val="24"/>
        </w:rPr>
        <w:t>i</w:t>
      </w:r>
      <w:r w:rsidRPr="00460F08">
        <w:rPr>
          <w:rFonts w:ascii="Gill Sans MT" w:eastAsia="Gill Sans MT" w:hAnsi="Gill Sans MT" w:cs="Gill Sans MT"/>
          <w:i/>
          <w:sz w:val="24"/>
          <w:szCs w:val="24"/>
        </w:rPr>
        <w:t>d</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at all</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times</w:t>
      </w:r>
      <w:proofErr w:type="gramEnd"/>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w</w:t>
      </w:r>
      <w:r w:rsidRPr="00460F08">
        <w:rPr>
          <w:rFonts w:ascii="Gill Sans MT" w:eastAsia="Gill Sans MT" w:hAnsi="Gill Sans MT" w:cs="Gill Sans MT"/>
          <w:i/>
          <w:spacing w:val="-3"/>
          <w:sz w:val="24"/>
          <w:szCs w:val="24"/>
        </w:rPr>
        <w:t>h</w:t>
      </w:r>
      <w:r w:rsidRPr="00460F08">
        <w:rPr>
          <w:rFonts w:ascii="Gill Sans MT" w:eastAsia="Gill Sans MT" w:hAnsi="Gill Sans MT" w:cs="Gill Sans MT"/>
          <w:i/>
          <w:sz w:val="24"/>
          <w:szCs w:val="24"/>
        </w:rPr>
        <w:t>il</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z w:val="24"/>
          <w:szCs w:val="24"/>
        </w:rPr>
        <w:t>t</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employed</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pacing w:val="-2"/>
          <w:sz w:val="24"/>
          <w:szCs w:val="24"/>
        </w:rPr>
        <w:t>i</w:t>
      </w:r>
      <w:r w:rsidRPr="00460F08">
        <w:rPr>
          <w:rFonts w:ascii="Gill Sans MT" w:eastAsia="Gill Sans MT" w:hAnsi="Gill Sans MT" w:cs="Gill Sans MT"/>
          <w:i/>
          <w:sz w:val="24"/>
          <w:szCs w:val="24"/>
        </w:rPr>
        <w:t>n</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this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role</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and</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the</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z w:val="24"/>
          <w:szCs w:val="24"/>
        </w:rPr>
        <w:t>tatus</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of</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these</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may</w:t>
      </w:r>
      <w:r w:rsidRPr="00460F08">
        <w:rPr>
          <w:rFonts w:ascii="Gill Sans MT" w:eastAsia="Gill Sans MT" w:hAnsi="Gill Sans MT" w:cs="Gill Sans MT"/>
          <w:i/>
          <w:spacing w:val="17"/>
          <w:sz w:val="24"/>
          <w:szCs w:val="24"/>
        </w:rPr>
        <w:t xml:space="preserve"> </w:t>
      </w:r>
      <w:r w:rsidRPr="00460F08">
        <w:rPr>
          <w:rFonts w:ascii="Gill Sans MT" w:eastAsia="Gill Sans MT" w:hAnsi="Gill Sans MT" w:cs="Gill Sans MT"/>
          <w:i/>
          <w:spacing w:val="-3"/>
          <w:sz w:val="24"/>
          <w:szCs w:val="24"/>
        </w:rPr>
        <w:t>b</w:t>
      </w:r>
      <w:r w:rsidRPr="00460F08">
        <w:rPr>
          <w:rFonts w:ascii="Gill Sans MT" w:eastAsia="Gill Sans MT" w:hAnsi="Gill Sans MT" w:cs="Gill Sans MT"/>
          <w:i/>
          <w:sz w:val="24"/>
          <w:szCs w:val="24"/>
        </w:rPr>
        <w:t>e</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he</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ked</w:t>
      </w:r>
      <w:r w:rsidRPr="00460F08">
        <w:rPr>
          <w:rFonts w:ascii="Gill Sans MT" w:eastAsia="Gill Sans MT" w:hAnsi="Gill Sans MT" w:cs="Gill Sans MT"/>
          <w:i/>
          <w:spacing w:val="13"/>
          <w:sz w:val="24"/>
          <w:szCs w:val="24"/>
        </w:rPr>
        <w:t xml:space="preserve"> </w:t>
      </w:r>
      <w:r w:rsidRPr="00460F08">
        <w:rPr>
          <w:rFonts w:ascii="Gill Sans MT" w:eastAsia="Gill Sans MT" w:hAnsi="Gill Sans MT" w:cs="Gill Sans MT"/>
          <w:i/>
          <w:sz w:val="24"/>
          <w:szCs w:val="24"/>
        </w:rPr>
        <w:t>at</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any</w:t>
      </w:r>
      <w:r w:rsidRPr="00460F08">
        <w:rPr>
          <w:rFonts w:ascii="Gill Sans MT" w:eastAsia="Gill Sans MT" w:hAnsi="Gill Sans MT" w:cs="Gill Sans MT"/>
          <w:i/>
          <w:spacing w:val="17"/>
          <w:sz w:val="24"/>
          <w:szCs w:val="24"/>
        </w:rPr>
        <w:t xml:space="preserve"> </w:t>
      </w:r>
      <w:r w:rsidRPr="00460F08">
        <w:rPr>
          <w:rFonts w:ascii="Gill Sans MT" w:eastAsia="Gill Sans MT" w:hAnsi="Gill Sans MT" w:cs="Gill Sans MT"/>
          <w:i/>
          <w:sz w:val="24"/>
          <w:szCs w:val="24"/>
        </w:rPr>
        <w:t>time</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during emplo</w:t>
      </w:r>
      <w:r w:rsidRPr="00460F08">
        <w:rPr>
          <w:rFonts w:ascii="Gill Sans MT" w:eastAsia="Gill Sans MT" w:hAnsi="Gill Sans MT" w:cs="Gill Sans MT"/>
          <w:i/>
          <w:spacing w:val="1"/>
          <w:sz w:val="24"/>
          <w:szCs w:val="24"/>
        </w:rPr>
        <w:t>y</w:t>
      </w:r>
      <w:r w:rsidRPr="00460F08">
        <w:rPr>
          <w:rFonts w:ascii="Gill Sans MT" w:eastAsia="Gill Sans MT" w:hAnsi="Gill Sans MT" w:cs="Gill Sans MT"/>
          <w:i/>
          <w:sz w:val="24"/>
          <w:szCs w:val="24"/>
        </w:rPr>
        <w:t>ment.</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It</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is</w:t>
      </w:r>
      <w:r w:rsidRPr="00460F08">
        <w:rPr>
          <w:rFonts w:ascii="Gill Sans MT" w:eastAsia="Gill Sans MT" w:hAnsi="Gill Sans MT" w:cs="Gill Sans MT"/>
          <w:i/>
          <w:spacing w:val="6"/>
          <w:sz w:val="24"/>
          <w:szCs w:val="24"/>
        </w:rPr>
        <w:t xml:space="preserve"> </w:t>
      </w:r>
      <w:r w:rsidRPr="00460F08">
        <w:rPr>
          <w:rFonts w:ascii="Gill Sans MT" w:eastAsia="Gill Sans MT" w:hAnsi="Gill Sans MT" w:cs="Gill Sans MT"/>
          <w:i/>
          <w:sz w:val="24"/>
          <w:szCs w:val="24"/>
        </w:rPr>
        <w:t>the</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e</w:t>
      </w:r>
      <w:r w:rsidRPr="00460F08">
        <w:rPr>
          <w:rFonts w:ascii="Gill Sans MT" w:eastAsia="Gill Sans MT" w:hAnsi="Gill Sans MT" w:cs="Gill Sans MT"/>
          <w:i/>
          <w:spacing w:val="2"/>
          <w:sz w:val="24"/>
          <w:szCs w:val="24"/>
        </w:rPr>
        <w:t>m</w:t>
      </w:r>
      <w:r w:rsidRPr="00460F08">
        <w:rPr>
          <w:rFonts w:ascii="Gill Sans MT" w:eastAsia="Gill Sans MT" w:hAnsi="Gill Sans MT" w:cs="Gill Sans MT"/>
          <w:i/>
          <w:sz w:val="24"/>
          <w:szCs w:val="24"/>
        </w:rPr>
        <w:t>ployee’s</w:t>
      </w:r>
      <w:r w:rsidRPr="00460F08">
        <w:rPr>
          <w:rFonts w:ascii="Gill Sans MT" w:eastAsia="Gill Sans MT" w:hAnsi="Gill Sans MT" w:cs="Gill Sans MT"/>
          <w:i/>
          <w:spacing w:val="6"/>
          <w:sz w:val="24"/>
          <w:szCs w:val="24"/>
        </w:rPr>
        <w:t xml:space="preserve"> </w:t>
      </w:r>
      <w:r w:rsidRPr="00460F08">
        <w:rPr>
          <w:rFonts w:ascii="Gill Sans MT" w:eastAsia="Gill Sans MT" w:hAnsi="Gill Sans MT" w:cs="Gill Sans MT"/>
          <w:i/>
          <w:sz w:val="24"/>
          <w:szCs w:val="24"/>
        </w:rPr>
        <w:t>re</w:t>
      </w:r>
      <w:r w:rsidRPr="00460F08">
        <w:rPr>
          <w:rFonts w:ascii="Gill Sans MT" w:eastAsia="Gill Sans MT" w:hAnsi="Gill Sans MT" w:cs="Gill Sans MT"/>
          <w:i/>
          <w:spacing w:val="-2"/>
          <w:sz w:val="24"/>
          <w:szCs w:val="24"/>
        </w:rPr>
        <w:t>s</w:t>
      </w:r>
      <w:r w:rsidRPr="00460F08">
        <w:rPr>
          <w:rFonts w:ascii="Gill Sans MT" w:eastAsia="Gill Sans MT" w:hAnsi="Gill Sans MT" w:cs="Gill Sans MT"/>
          <w:i/>
          <w:sz w:val="24"/>
          <w:szCs w:val="24"/>
        </w:rPr>
        <w:t>ponsibility</w:t>
      </w:r>
      <w:r w:rsidRPr="00460F08">
        <w:rPr>
          <w:rFonts w:ascii="Gill Sans MT" w:eastAsia="Gill Sans MT" w:hAnsi="Gill Sans MT" w:cs="Gill Sans MT"/>
          <w:i/>
          <w:spacing w:val="8"/>
          <w:sz w:val="24"/>
          <w:szCs w:val="24"/>
        </w:rPr>
        <w:t xml:space="preserve"> </w:t>
      </w:r>
      <w:r w:rsidRPr="00460F08">
        <w:rPr>
          <w:rFonts w:ascii="Gill Sans MT" w:eastAsia="Gill Sans MT" w:hAnsi="Gill Sans MT" w:cs="Gill Sans MT"/>
          <w:i/>
          <w:sz w:val="24"/>
          <w:szCs w:val="24"/>
        </w:rPr>
        <w:t>to</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pacing w:val="-2"/>
          <w:sz w:val="24"/>
          <w:szCs w:val="24"/>
        </w:rPr>
        <w:t>e</w:t>
      </w:r>
      <w:r w:rsidRPr="00460F08">
        <w:rPr>
          <w:rFonts w:ascii="Gill Sans MT" w:eastAsia="Gill Sans MT" w:hAnsi="Gill Sans MT" w:cs="Gill Sans MT"/>
          <w:i/>
          <w:sz w:val="24"/>
          <w:szCs w:val="24"/>
        </w:rPr>
        <w:t>n</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z w:val="24"/>
          <w:szCs w:val="24"/>
        </w:rPr>
        <w:t>ure</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that</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regi</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ra</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ion/</w:t>
      </w:r>
      <w:proofErr w:type="spellStart"/>
      <w:r w:rsidRPr="00460F08">
        <w:rPr>
          <w:rFonts w:ascii="Gill Sans MT" w:eastAsia="Gill Sans MT" w:hAnsi="Gill Sans MT" w:cs="Gill Sans MT"/>
          <w:i/>
          <w:sz w:val="24"/>
          <w:szCs w:val="24"/>
        </w:rPr>
        <w:t>li</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en</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es</w:t>
      </w:r>
      <w:proofErr w:type="spellEnd"/>
      <w:r w:rsidRPr="00460F08">
        <w:rPr>
          <w:rFonts w:ascii="Gill Sans MT" w:eastAsia="Gill Sans MT" w:hAnsi="Gill Sans MT" w:cs="Gill Sans MT"/>
          <w:i/>
          <w:spacing w:val="6"/>
          <w:sz w:val="24"/>
          <w:szCs w:val="24"/>
        </w:rPr>
        <w:t xml:space="preserve"> </w:t>
      </w:r>
      <w:r w:rsidRPr="00460F08">
        <w:rPr>
          <w:rFonts w:ascii="Gill Sans MT" w:eastAsia="Gill Sans MT" w:hAnsi="Gill Sans MT" w:cs="Gill Sans MT"/>
          <w:i/>
          <w:sz w:val="24"/>
          <w:szCs w:val="24"/>
        </w:rPr>
        <w:t>remain</w:t>
      </w:r>
      <w:r w:rsidRPr="00460F08">
        <w:rPr>
          <w:rFonts w:ascii="Gill Sans MT" w:eastAsia="Gill Sans MT" w:hAnsi="Gill Sans MT" w:cs="Gill Sans MT"/>
          <w:i/>
          <w:spacing w:val="10"/>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ur</w:t>
      </w:r>
      <w:r w:rsidRPr="00460F08">
        <w:rPr>
          <w:rFonts w:ascii="Gill Sans MT" w:eastAsia="Gill Sans MT" w:hAnsi="Gill Sans MT" w:cs="Gill Sans MT"/>
          <w:i/>
          <w:spacing w:val="-2"/>
          <w:sz w:val="24"/>
          <w:szCs w:val="24"/>
        </w:rPr>
        <w:t>r</w:t>
      </w:r>
      <w:r w:rsidRPr="00460F08">
        <w:rPr>
          <w:rFonts w:ascii="Gill Sans MT" w:eastAsia="Gill Sans MT" w:hAnsi="Gill Sans MT" w:cs="Gill Sans MT"/>
          <w:i/>
          <w:sz w:val="24"/>
          <w:szCs w:val="24"/>
        </w:rPr>
        <w:t>ent and</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to</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a</w:t>
      </w:r>
      <w:r w:rsidRPr="00460F08">
        <w:rPr>
          <w:rFonts w:ascii="Gill Sans MT" w:eastAsia="Gill Sans MT" w:hAnsi="Gill Sans MT" w:cs="Gill Sans MT"/>
          <w:i/>
          <w:spacing w:val="-3"/>
          <w:sz w:val="24"/>
          <w:szCs w:val="24"/>
        </w:rPr>
        <w:t>d</w:t>
      </w:r>
      <w:r w:rsidRPr="00460F08">
        <w:rPr>
          <w:rFonts w:ascii="Gill Sans MT" w:eastAsia="Gill Sans MT" w:hAnsi="Gill Sans MT" w:cs="Gill Sans MT"/>
          <w:i/>
          <w:sz w:val="24"/>
          <w:szCs w:val="24"/>
        </w:rPr>
        <w:t>vise</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the</w:t>
      </w:r>
      <w:r w:rsidRPr="00460F08">
        <w:rPr>
          <w:rFonts w:ascii="Gill Sans MT" w:eastAsia="Gill Sans MT" w:hAnsi="Gill Sans MT" w:cs="Gill Sans MT"/>
          <w:i/>
          <w:spacing w:val="13"/>
          <w:sz w:val="24"/>
          <w:szCs w:val="24"/>
        </w:rPr>
        <w:t xml:space="preserve"> </w:t>
      </w:r>
      <w:r w:rsidRPr="00460F08">
        <w:rPr>
          <w:rFonts w:ascii="Gill Sans MT" w:eastAsia="Gill Sans MT" w:hAnsi="Gill Sans MT" w:cs="Gill Sans MT"/>
          <w:i/>
          <w:sz w:val="24"/>
          <w:szCs w:val="24"/>
        </w:rPr>
        <w:t>Emplo</w:t>
      </w:r>
      <w:r w:rsidRPr="00460F08">
        <w:rPr>
          <w:rFonts w:ascii="Gill Sans MT" w:eastAsia="Gill Sans MT" w:hAnsi="Gill Sans MT" w:cs="Gill Sans MT"/>
          <w:i/>
          <w:spacing w:val="-2"/>
          <w:sz w:val="24"/>
          <w:szCs w:val="24"/>
        </w:rPr>
        <w:t>ye</w:t>
      </w:r>
      <w:r w:rsidRPr="00460F08">
        <w:rPr>
          <w:rFonts w:ascii="Gill Sans MT" w:eastAsia="Gill Sans MT" w:hAnsi="Gill Sans MT" w:cs="Gill Sans MT"/>
          <w:i/>
          <w:sz w:val="24"/>
          <w:szCs w:val="24"/>
        </w:rPr>
        <w:t>r</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if</w:t>
      </w:r>
      <w:r w:rsidRPr="00460F08">
        <w:rPr>
          <w:rFonts w:ascii="Gill Sans MT" w:eastAsia="Gill Sans MT" w:hAnsi="Gill Sans MT" w:cs="Gill Sans MT"/>
          <w:i/>
          <w:spacing w:val="17"/>
          <w:sz w:val="24"/>
          <w:szCs w:val="24"/>
        </w:rPr>
        <w:t xml:space="preserve"> </w:t>
      </w:r>
      <w:r w:rsidRPr="00460F08">
        <w:rPr>
          <w:rFonts w:ascii="Gill Sans MT" w:eastAsia="Gill Sans MT" w:hAnsi="Gill Sans MT" w:cs="Gill Sans MT"/>
          <w:i/>
          <w:sz w:val="24"/>
          <w:szCs w:val="24"/>
        </w:rPr>
        <w:t>their</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ir</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ums</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an</w:t>
      </w:r>
      <w:r w:rsidRPr="00460F08">
        <w:rPr>
          <w:rFonts w:ascii="Gill Sans MT" w:eastAsia="Gill Sans MT" w:hAnsi="Gill Sans MT" w:cs="Gill Sans MT"/>
          <w:i/>
          <w:spacing w:val="-1"/>
          <w:sz w:val="24"/>
          <w:szCs w:val="24"/>
        </w:rPr>
        <w:t>c</w:t>
      </w:r>
      <w:r w:rsidRPr="00460F08">
        <w:rPr>
          <w:rFonts w:ascii="Gill Sans MT" w:eastAsia="Gill Sans MT" w:hAnsi="Gill Sans MT" w:cs="Gill Sans MT"/>
          <w:i/>
          <w:sz w:val="24"/>
          <w:szCs w:val="24"/>
        </w:rPr>
        <w:t>es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pacing w:val="2"/>
          <w:sz w:val="24"/>
          <w:szCs w:val="24"/>
        </w:rPr>
        <w:t>h</w:t>
      </w:r>
      <w:r w:rsidRPr="00460F08">
        <w:rPr>
          <w:rFonts w:ascii="Gill Sans MT" w:eastAsia="Gill Sans MT" w:hAnsi="Gill Sans MT" w:cs="Gill Sans MT"/>
          <w:i/>
          <w:sz w:val="24"/>
          <w:szCs w:val="24"/>
        </w:rPr>
        <w:t>ange.</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T</w:t>
      </w:r>
      <w:r w:rsidRPr="00460F08">
        <w:rPr>
          <w:rFonts w:ascii="Gill Sans MT" w:eastAsia="Gill Sans MT" w:hAnsi="Gill Sans MT" w:cs="Gill Sans MT"/>
          <w:i/>
          <w:spacing w:val="-3"/>
          <w:sz w:val="24"/>
          <w:szCs w:val="24"/>
        </w:rPr>
        <w:t>h</w:t>
      </w:r>
      <w:r w:rsidRPr="00460F08">
        <w:rPr>
          <w:rFonts w:ascii="Gill Sans MT" w:eastAsia="Gill Sans MT" w:hAnsi="Gill Sans MT" w:cs="Gill Sans MT"/>
          <w:i/>
          <w:sz w:val="24"/>
          <w:szCs w:val="24"/>
        </w:rPr>
        <w:t>is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includes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noti</w:t>
      </w:r>
      <w:r w:rsidRPr="00460F08">
        <w:rPr>
          <w:rFonts w:ascii="Gill Sans MT" w:eastAsia="Gill Sans MT" w:hAnsi="Gill Sans MT" w:cs="Gill Sans MT"/>
          <w:i/>
          <w:spacing w:val="-3"/>
          <w:sz w:val="24"/>
          <w:szCs w:val="24"/>
        </w:rPr>
        <w:t>f</w:t>
      </w:r>
      <w:r w:rsidRPr="00460F08">
        <w:rPr>
          <w:rFonts w:ascii="Gill Sans MT" w:eastAsia="Gill Sans MT" w:hAnsi="Gill Sans MT" w:cs="Gill Sans MT"/>
          <w:i/>
          <w:sz w:val="24"/>
          <w:szCs w:val="24"/>
        </w:rPr>
        <w:t>yi</w:t>
      </w:r>
      <w:r w:rsidRPr="00460F08">
        <w:rPr>
          <w:rFonts w:ascii="Gill Sans MT" w:eastAsia="Gill Sans MT" w:hAnsi="Gill Sans MT" w:cs="Gill Sans MT"/>
          <w:i/>
          <w:spacing w:val="-2"/>
          <w:sz w:val="24"/>
          <w:szCs w:val="24"/>
        </w:rPr>
        <w:t>n</w:t>
      </w:r>
      <w:r w:rsidRPr="00460F08">
        <w:rPr>
          <w:rFonts w:ascii="Gill Sans MT" w:eastAsia="Gill Sans MT" w:hAnsi="Gill Sans MT" w:cs="Gill Sans MT"/>
          <w:i/>
          <w:sz w:val="24"/>
          <w:szCs w:val="24"/>
        </w:rPr>
        <w:t>g</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the</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Emp</w:t>
      </w:r>
      <w:r w:rsidRPr="00460F08">
        <w:rPr>
          <w:rFonts w:ascii="Gill Sans MT" w:eastAsia="Gill Sans MT" w:hAnsi="Gill Sans MT" w:cs="Gill Sans MT"/>
          <w:i/>
          <w:spacing w:val="-2"/>
          <w:sz w:val="24"/>
          <w:szCs w:val="24"/>
        </w:rPr>
        <w:t>l</w:t>
      </w:r>
      <w:r w:rsidRPr="00460F08">
        <w:rPr>
          <w:rFonts w:ascii="Gill Sans MT" w:eastAsia="Gill Sans MT" w:hAnsi="Gill Sans MT" w:cs="Gill Sans MT"/>
          <w:i/>
          <w:sz w:val="24"/>
          <w:szCs w:val="24"/>
        </w:rPr>
        <w:t>o</w:t>
      </w:r>
      <w:r w:rsidRPr="00460F08">
        <w:rPr>
          <w:rFonts w:ascii="Gill Sans MT" w:eastAsia="Gill Sans MT" w:hAnsi="Gill Sans MT" w:cs="Gill Sans MT"/>
          <w:i/>
          <w:spacing w:val="1"/>
          <w:sz w:val="24"/>
          <w:szCs w:val="24"/>
        </w:rPr>
        <w:t>y</w:t>
      </w:r>
      <w:r w:rsidRPr="00460F08">
        <w:rPr>
          <w:rFonts w:ascii="Gill Sans MT" w:eastAsia="Gill Sans MT" w:hAnsi="Gill Sans MT" w:cs="Gill Sans MT"/>
          <w:i/>
          <w:sz w:val="24"/>
          <w:szCs w:val="24"/>
        </w:rPr>
        <w:t>er</w:t>
      </w:r>
      <w:r w:rsidRPr="00460F08">
        <w:rPr>
          <w:rFonts w:ascii="Gill Sans MT" w:eastAsia="Gill Sans MT" w:hAnsi="Gill Sans MT" w:cs="Gill Sans MT"/>
          <w:i/>
          <w:spacing w:val="12"/>
          <w:sz w:val="24"/>
          <w:szCs w:val="24"/>
        </w:rPr>
        <w:t xml:space="preserve"> </w:t>
      </w:r>
      <w:r w:rsidRPr="00460F08">
        <w:rPr>
          <w:rFonts w:ascii="Gill Sans MT" w:eastAsia="Gill Sans MT" w:hAnsi="Gill Sans MT" w:cs="Gill Sans MT"/>
          <w:i/>
          <w:sz w:val="24"/>
          <w:szCs w:val="24"/>
        </w:rPr>
        <w:t>of any</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z w:val="24"/>
          <w:szCs w:val="24"/>
        </w:rPr>
        <w:t>new</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riminal</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on</w:t>
      </w:r>
      <w:r w:rsidRPr="00460F08">
        <w:rPr>
          <w:rFonts w:ascii="Gill Sans MT" w:eastAsia="Gill Sans MT" w:hAnsi="Gill Sans MT" w:cs="Gill Sans MT"/>
          <w:i/>
          <w:spacing w:val="1"/>
          <w:sz w:val="24"/>
          <w:szCs w:val="24"/>
        </w:rPr>
        <w:t>v</w:t>
      </w:r>
      <w:r w:rsidRPr="00460F08">
        <w:rPr>
          <w:rFonts w:ascii="Gill Sans MT" w:eastAsia="Gill Sans MT" w:hAnsi="Gill Sans MT" w:cs="Gill Sans MT"/>
          <w:i/>
          <w:sz w:val="24"/>
          <w:szCs w:val="24"/>
        </w:rPr>
        <w:t>ic</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pacing w:val="-2"/>
          <w:sz w:val="24"/>
          <w:szCs w:val="24"/>
        </w:rPr>
        <w:t>i</w:t>
      </w:r>
      <w:r w:rsidRPr="00460F08">
        <w:rPr>
          <w:rFonts w:ascii="Gill Sans MT" w:eastAsia="Gill Sans MT" w:hAnsi="Gill Sans MT" w:cs="Gill Sans MT"/>
          <w:i/>
          <w:sz w:val="24"/>
          <w:szCs w:val="24"/>
        </w:rPr>
        <w:t>ons</w:t>
      </w:r>
      <w:r w:rsidRPr="00460F08">
        <w:rPr>
          <w:rFonts w:ascii="Gill Sans MT" w:eastAsia="Gill Sans MT" w:hAnsi="Gill Sans MT" w:cs="Gill Sans MT"/>
          <w:i/>
          <w:spacing w:val="61"/>
          <w:sz w:val="24"/>
          <w:szCs w:val="24"/>
        </w:rPr>
        <w:t xml:space="preserve"> </w:t>
      </w:r>
      <w:r w:rsidRPr="00460F08">
        <w:rPr>
          <w:rFonts w:ascii="Gill Sans MT" w:eastAsia="Gill Sans MT" w:hAnsi="Gill Sans MT" w:cs="Gill Sans MT"/>
          <w:i/>
          <w:sz w:val="24"/>
          <w:szCs w:val="24"/>
        </w:rPr>
        <w:t>and/or</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if</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z w:val="24"/>
          <w:szCs w:val="24"/>
        </w:rPr>
        <w:t>a</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z w:val="24"/>
          <w:szCs w:val="24"/>
        </w:rPr>
        <w:t>regi</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z w:val="24"/>
          <w:szCs w:val="24"/>
        </w:rPr>
        <w:t>t</w:t>
      </w:r>
      <w:r w:rsidRPr="00460F08">
        <w:rPr>
          <w:rFonts w:ascii="Gill Sans MT" w:eastAsia="Gill Sans MT" w:hAnsi="Gill Sans MT" w:cs="Gill Sans MT"/>
          <w:i/>
          <w:spacing w:val="-1"/>
          <w:sz w:val="24"/>
          <w:szCs w:val="24"/>
        </w:rPr>
        <w:t>r</w:t>
      </w:r>
      <w:r w:rsidRPr="00460F08">
        <w:rPr>
          <w:rFonts w:ascii="Gill Sans MT" w:eastAsia="Gill Sans MT" w:hAnsi="Gill Sans MT" w:cs="Gill Sans MT"/>
          <w:i/>
          <w:sz w:val="24"/>
          <w:szCs w:val="24"/>
        </w:rPr>
        <w:t>ation/</w:t>
      </w:r>
      <w:proofErr w:type="spellStart"/>
      <w:r w:rsidRPr="00460F08">
        <w:rPr>
          <w:rFonts w:ascii="Gill Sans MT" w:eastAsia="Gill Sans MT" w:hAnsi="Gill Sans MT" w:cs="Gill Sans MT"/>
          <w:i/>
          <w:sz w:val="24"/>
          <w:szCs w:val="24"/>
        </w:rPr>
        <w:t>li</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en</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w:t>
      </w:r>
      <w:proofErr w:type="spellEnd"/>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is</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revoked,</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pacing w:val="-3"/>
          <w:sz w:val="24"/>
          <w:szCs w:val="24"/>
        </w:rPr>
        <w:t>a</w:t>
      </w:r>
      <w:r w:rsidRPr="00460F08">
        <w:rPr>
          <w:rFonts w:ascii="Gill Sans MT" w:eastAsia="Gill Sans MT" w:hAnsi="Gill Sans MT" w:cs="Gill Sans MT"/>
          <w:i/>
          <w:sz w:val="24"/>
          <w:szCs w:val="24"/>
        </w:rPr>
        <w:t>n</w:t>
      </w:r>
      <w:r w:rsidRPr="00460F08">
        <w:rPr>
          <w:rFonts w:ascii="Gill Sans MT" w:eastAsia="Gill Sans MT" w:hAnsi="Gill Sans MT" w:cs="Gill Sans MT"/>
          <w:i/>
          <w:spacing w:val="-1"/>
          <w:sz w:val="24"/>
          <w:szCs w:val="24"/>
        </w:rPr>
        <w:t>c</w:t>
      </w:r>
      <w:r w:rsidRPr="00460F08">
        <w:rPr>
          <w:rFonts w:ascii="Gill Sans MT" w:eastAsia="Gill Sans MT" w:hAnsi="Gill Sans MT" w:cs="Gill Sans MT"/>
          <w:i/>
          <w:sz w:val="24"/>
          <w:szCs w:val="24"/>
        </w:rPr>
        <w:t>elled</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or</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z w:val="24"/>
          <w:szCs w:val="24"/>
        </w:rPr>
        <w:t>has</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its</w:t>
      </w:r>
      <w:r w:rsidRPr="00460F08">
        <w:rPr>
          <w:rFonts w:ascii="Gill Sans MT" w:eastAsia="Gill Sans MT" w:hAnsi="Gill Sans MT" w:cs="Gill Sans MT"/>
          <w:i/>
          <w:w w:val="99"/>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onditions</w:t>
      </w:r>
      <w:r w:rsidRPr="00460F08">
        <w:rPr>
          <w:rFonts w:ascii="Gill Sans MT" w:eastAsia="Gill Sans MT" w:hAnsi="Gill Sans MT" w:cs="Gill Sans MT"/>
          <w:i/>
          <w:spacing w:val="-4"/>
          <w:sz w:val="24"/>
          <w:szCs w:val="24"/>
        </w:rPr>
        <w:t xml:space="preserve"> </w:t>
      </w:r>
      <w:r w:rsidRPr="00460F08">
        <w:rPr>
          <w:rFonts w:ascii="Gill Sans MT" w:eastAsia="Gill Sans MT" w:hAnsi="Gill Sans MT" w:cs="Gill Sans MT"/>
          <w:i/>
          <w:sz w:val="24"/>
          <w:szCs w:val="24"/>
        </w:rPr>
        <w:t>altered.</w:t>
      </w:r>
    </w:p>
    <w:p w:rsidR="00511ED8" w:rsidRPr="00460F08" w:rsidRDefault="00511ED8" w:rsidP="003F0FBB">
      <w:pPr>
        <w:spacing w:after="140" w:line="258" w:lineRule="auto"/>
        <w:ind w:right="89"/>
        <w:jc w:val="both"/>
        <w:rPr>
          <w:rFonts w:ascii="Gill Sans MT" w:eastAsia="Gill Sans MT" w:hAnsi="Gill Sans MT" w:cs="Gill Sans MT"/>
          <w:sz w:val="24"/>
          <w:szCs w:val="24"/>
        </w:rPr>
      </w:pPr>
      <w:bookmarkStart w:id="1" w:name="_GoBack"/>
      <w:bookmarkEnd w:id="1"/>
    </w:p>
    <w:p w:rsidR="003F0FBB" w:rsidRDefault="003F0FBB" w:rsidP="0093296F">
      <w:pPr>
        <w:pStyle w:val="BulletedListLevel1"/>
        <w:ind w:left="567"/>
        <w:rPr>
          <w:rFonts w:cs="Tahoma"/>
        </w:rPr>
      </w:pPr>
      <w:r w:rsidRPr="0093296F">
        <w:lastRenderedPageBreak/>
        <w:t>General</w:t>
      </w:r>
      <w:r w:rsidRPr="0050282E">
        <w:rPr>
          <w:rFonts w:cs="Tahoma"/>
        </w:rPr>
        <w:t xml:space="preserve"> or limited registration with the Medical Board of Australia. </w:t>
      </w:r>
    </w:p>
    <w:p w:rsidR="0093296F" w:rsidRDefault="0093296F" w:rsidP="0093296F">
      <w:pPr>
        <w:pStyle w:val="BulletedListLevel1"/>
        <w:ind w:left="567"/>
      </w:pPr>
      <w:r>
        <w:t>The Head of the State Service has determined that the person nominated for this job is to satisfy a pre</w:t>
      </w:r>
      <w:r>
        <w:noBreakHyphen/>
        <w:t>employment check before taking up the appointment, on promotion or transfer. The following checks are to be conducted:</w:t>
      </w:r>
    </w:p>
    <w:p w:rsidR="0093296F" w:rsidRDefault="0093296F" w:rsidP="00511ED8">
      <w:pPr>
        <w:pStyle w:val="BulletedListLevel1"/>
        <w:numPr>
          <w:ilvl w:val="0"/>
          <w:numId w:val="6"/>
        </w:numPr>
      </w:pPr>
      <w:r>
        <w:t>Conviction checks in the following areas:</w:t>
      </w:r>
    </w:p>
    <w:p w:rsidR="0093296F" w:rsidRDefault="0093296F" w:rsidP="00511ED8">
      <w:pPr>
        <w:pStyle w:val="BulletedListLevel1"/>
        <w:numPr>
          <w:ilvl w:val="1"/>
          <w:numId w:val="5"/>
        </w:numPr>
        <w:tabs>
          <w:tab w:val="num" w:pos="1701"/>
        </w:tabs>
        <w:ind w:left="1701" w:hanging="567"/>
      </w:pPr>
      <w:r>
        <w:t>crimes of violence</w:t>
      </w:r>
    </w:p>
    <w:p w:rsidR="0093296F" w:rsidRDefault="0093296F" w:rsidP="00511ED8">
      <w:pPr>
        <w:pStyle w:val="BulletedListLevel1"/>
        <w:numPr>
          <w:ilvl w:val="1"/>
          <w:numId w:val="5"/>
        </w:numPr>
        <w:tabs>
          <w:tab w:val="num" w:pos="1701"/>
        </w:tabs>
        <w:ind w:left="1701" w:hanging="567"/>
      </w:pPr>
      <w:r>
        <w:t>sex related offences</w:t>
      </w:r>
    </w:p>
    <w:p w:rsidR="0093296F" w:rsidRDefault="0093296F" w:rsidP="00511ED8">
      <w:pPr>
        <w:pStyle w:val="BulletedListLevel1"/>
        <w:numPr>
          <w:ilvl w:val="1"/>
          <w:numId w:val="5"/>
        </w:numPr>
        <w:tabs>
          <w:tab w:val="num" w:pos="1701"/>
        </w:tabs>
        <w:ind w:left="1701" w:hanging="567"/>
      </w:pPr>
      <w:r>
        <w:t>serious drug offences</w:t>
      </w:r>
    </w:p>
    <w:p w:rsidR="0093296F" w:rsidRDefault="0093296F" w:rsidP="00511ED8">
      <w:pPr>
        <w:pStyle w:val="BulletedListLevel1"/>
        <w:numPr>
          <w:ilvl w:val="1"/>
          <w:numId w:val="5"/>
        </w:numPr>
        <w:tabs>
          <w:tab w:val="num" w:pos="1701"/>
        </w:tabs>
        <w:ind w:left="1701" w:hanging="567"/>
      </w:pPr>
      <w:r>
        <w:t>crimes involving dishonesty</w:t>
      </w:r>
    </w:p>
    <w:p w:rsidR="0093296F" w:rsidRDefault="0093296F" w:rsidP="00511ED8">
      <w:pPr>
        <w:pStyle w:val="BulletedListLevel1"/>
        <w:numPr>
          <w:ilvl w:val="0"/>
          <w:numId w:val="6"/>
        </w:numPr>
      </w:pPr>
      <w:r>
        <w:t>Identification check</w:t>
      </w:r>
    </w:p>
    <w:p w:rsidR="0093296F" w:rsidRDefault="0093296F" w:rsidP="00511ED8">
      <w:pPr>
        <w:pStyle w:val="BulletedListLevel1"/>
        <w:numPr>
          <w:ilvl w:val="0"/>
          <w:numId w:val="6"/>
        </w:numPr>
        <w:spacing w:after="0" w:line="240" w:lineRule="auto"/>
      </w:pPr>
      <w:r>
        <w:t>Disciplinary action in previous employment check</w:t>
      </w:r>
    </w:p>
    <w:p w:rsidR="00460F08" w:rsidRDefault="00460F08" w:rsidP="003F0FBB">
      <w:pPr>
        <w:pStyle w:val="Heading1"/>
        <w:spacing w:before="240" w:after="140"/>
        <w:ind w:left="0" w:right="89"/>
        <w:jc w:val="both"/>
        <w:rPr>
          <w:spacing w:val="-1"/>
        </w:rPr>
      </w:pPr>
      <w:r>
        <w:rPr>
          <w:spacing w:val="-1"/>
        </w:rPr>
        <w:t>Desirable Requirements:</w:t>
      </w:r>
    </w:p>
    <w:p w:rsidR="00460F08" w:rsidRPr="00460F08" w:rsidRDefault="00460F08" w:rsidP="00511ED8">
      <w:pPr>
        <w:pStyle w:val="BodyText"/>
        <w:numPr>
          <w:ilvl w:val="0"/>
          <w:numId w:val="1"/>
        </w:numPr>
        <w:tabs>
          <w:tab w:val="left" w:pos="546"/>
        </w:tabs>
        <w:spacing w:after="140" w:line="239" w:lineRule="auto"/>
        <w:ind w:left="0" w:right="89" w:firstLine="0"/>
        <w:jc w:val="both"/>
      </w:pPr>
      <w:r w:rsidRPr="00460F08">
        <w:t>At least 24 months of junior medical officer experience.</w:t>
      </w:r>
    </w:p>
    <w:p w:rsidR="00DF4B13" w:rsidRPr="00460F08" w:rsidRDefault="001610C6" w:rsidP="003F0FBB">
      <w:pPr>
        <w:pStyle w:val="Heading1"/>
        <w:spacing w:before="240" w:after="140"/>
        <w:ind w:left="0" w:right="89"/>
        <w:jc w:val="both"/>
        <w:rPr>
          <w:spacing w:val="-1"/>
        </w:rPr>
      </w:pPr>
      <w:r w:rsidRPr="00460F08">
        <w:rPr>
          <w:spacing w:val="-1"/>
        </w:rPr>
        <w:t>Selection Criteria:</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a commitment to a career in Anaesthesia and the capacity to participate in and complete the training program. </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knowledge of, and willingness to comply with, the regulations procedures, and professional documents of the ANZCA, in relation to professional standards, training education and examinations. </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an appropriate academic history and have displayed an aptitude for advanced study and learning. </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an appropriate work experience, as well as the flexibility and readiness to adapt to different work environments. </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good clinical, technical and management skills and the ability to manage patients within the discipline of Anaesthesia. </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an ability to work with a multidisciplinary team of medical, nursing and health professional staff and the ability to function well in stressful situations. </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appropriate interpersonal and communication skills, and the ability to interact effectively with respectfully with all patients and staff in a caring, ethical, and professional manner. </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a commitment to Continuing Medical Education and Quality Assurance. </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knowledge of quality improvement principles and the ability to participate in research activities. </w:t>
      </w:r>
    </w:p>
    <w:p w:rsidR="00511ED8" w:rsidRP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 capacity for undergraduate and postgraduate teaching. </w:t>
      </w:r>
    </w:p>
    <w:p w:rsidR="00511ED8" w:rsidRDefault="00511ED8" w:rsidP="00511ED8">
      <w:pPr>
        <w:keepLines/>
        <w:widowControl/>
        <w:numPr>
          <w:ilvl w:val="0"/>
          <w:numId w:val="8"/>
        </w:numPr>
        <w:spacing w:after="140" w:line="300" w:lineRule="atLeast"/>
        <w:jc w:val="both"/>
        <w:rPr>
          <w:rFonts w:ascii="Gill Sans MT" w:eastAsia="Times New Roman" w:hAnsi="Gill Sans MT" w:cs="Times New Roman"/>
          <w:sz w:val="24"/>
          <w:szCs w:val="23"/>
          <w:lang w:val="en-AU"/>
        </w:rPr>
      </w:pPr>
      <w:r w:rsidRPr="00511ED8">
        <w:rPr>
          <w:rFonts w:ascii="Gill Sans MT" w:eastAsia="Times New Roman" w:hAnsi="Gill Sans MT" w:cs="Times New Roman"/>
          <w:sz w:val="24"/>
          <w:szCs w:val="23"/>
          <w:lang w:val="en-AU"/>
        </w:rPr>
        <w:t xml:space="preserve">Demonstrated insight – the ability to accept feedback about oneself, and to seek help and advice when needed. </w:t>
      </w:r>
    </w:p>
    <w:p w:rsidR="00511ED8" w:rsidRDefault="00511ED8" w:rsidP="00511ED8">
      <w:pPr>
        <w:keepLines/>
        <w:widowControl/>
        <w:spacing w:after="140" w:line="300" w:lineRule="atLeast"/>
        <w:ind w:left="567"/>
        <w:jc w:val="both"/>
        <w:rPr>
          <w:rFonts w:ascii="Gill Sans MT" w:eastAsia="Times New Roman" w:hAnsi="Gill Sans MT" w:cs="Times New Roman"/>
          <w:sz w:val="24"/>
          <w:szCs w:val="23"/>
          <w:lang w:val="en-AU"/>
        </w:rPr>
      </w:pPr>
    </w:p>
    <w:p w:rsidR="00511ED8" w:rsidRPr="00511ED8" w:rsidRDefault="00511ED8" w:rsidP="00511ED8">
      <w:pPr>
        <w:keepLines/>
        <w:widowControl/>
        <w:spacing w:after="140" w:line="300" w:lineRule="atLeast"/>
        <w:ind w:left="567"/>
        <w:jc w:val="both"/>
        <w:rPr>
          <w:rFonts w:ascii="Gill Sans MT" w:eastAsia="Times New Roman" w:hAnsi="Gill Sans MT" w:cs="Times New Roman"/>
          <w:sz w:val="24"/>
          <w:szCs w:val="23"/>
          <w:lang w:val="en-AU"/>
        </w:rPr>
      </w:pPr>
    </w:p>
    <w:p w:rsidR="00DF4B13" w:rsidRPr="00460F08" w:rsidRDefault="001610C6" w:rsidP="003F0FBB">
      <w:pPr>
        <w:pStyle w:val="Heading1"/>
        <w:spacing w:after="140"/>
        <w:ind w:left="0"/>
        <w:jc w:val="both"/>
        <w:rPr>
          <w:b w:val="0"/>
          <w:bCs w:val="0"/>
        </w:rPr>
      </w:pPr>
      <w:r w:rsidRPr="00460F08">
        <w:lastRenderedPageBreak/>
        <w:t>Worki</w:t>
      </w:r>
      <w:r w:rsidRPr="00460F08">
        <w:rPr>
          <w:spacing w:val="-2"/>
        </w:rPr>
        <w:t>n</w:t>
      </w:r>
      <w:r w:rsidRPr="00460F08">
        <w:t>g</w:t>
      </w:r>
      <w:r w:rsidRPr="00460F08">
        <w:rPr>
          <w:spacing w:val="-10"/>
        </w:rPr>
        <w:t xml:space="preserve"> </w:t>
      </w:r>
      <w:r w:rsidRPr="00460F08">
        <w:rPr>
          <w:spacing w:val="-2"/>
        </w:rPr>
        <w:t>E</w:t>
      </w:r>
      <w:r w:rsidRPr="00460F08">
        <w:rPr>
          <w:spacing w:val="-1"/>
        </w:rPr>
        <w:t>n</w:t>
      </w:r>
      <w:r w:rsidRPr="00460F08">
        <w:t>vi</w:t>
      </w:r>
      <w:r w:rsidRPr="00460F08">
        <w:rPr>
          <w:spacing w:val="2"/>
        </w:rPr>
        <w:t>r</w:t>
      </w:r>
      <w:r w:rsidRPr="00460F08">
        <w:rPr>
          <w:spacing w:val="-1"/>
        </w:rPr>
        <w:t>on</w:t>
      </w:r>
      <w:r w:rsidRPr="00460F08">
        <w:t>me</w:t>
      </w:r>
      <w:r w:rsidRPr="00460F08">
        <w:rPr>
          <w:spacing w:val="1"/>
        </w:rPr>
        <w:t>n</w:t>
      </w:r>
      <w:r w:rsidRPr="00460F08">
        <w:t>t:</w:t>
      </w:r>
    </w:p>
    <w:p w:rsidR="00511ED8" w:rsidRPr="00511ED8" w:rsidRDefault="00511ED8" w:rsidP="00511ED8">
      <w:pPr>
        <w:keepLines/>
        <w:widowControl/>
        <w:tabs>
          <w:tab w:val="left" w:pos="567"/>
        </w:tabs>
        <w:spacing w:after="140" w:line="280" w:lineRule="atLeast"/>
        <w:jc w:val="both"/>
        <w:rPr>
          <w:rFonts w:ascii="Gill Sans MT" w:eastAsia="Times New Roman" w:hAnsi="Gill Sans MT" w:cs="Times New Roman"/>
          <w:bCs/>
          <w:sz w:val="24"/>
          <w:lang w:val="en-AU"/>
        </w:rPr>
      </w:pPr>
      <w:r w:rsidRPr="00511ED8">
        <w:rPr>
          <w:rFonts w:ascii="Gill Sans MT" w:eastAsia="Times New Roman" w:hAnsi="Gill Sans MT" w:cs="Times New Roman"/>
          <w:bCs/>
          <w:sz w:val="24"/>
          <w:lang w:val="en-AU"/>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511ED8" w:rsidRPr="00511ED8" w:rsidRDefault="00511ED8" w:rsidP="00511ED8">
      <w:pPr>
        <w:keepLines/>
        <w:widowControl/>
        <w:tabs>
          <w:tab w:val="left" w:pos="567"/>
        </w:tabs>
        <w:spacing w:after="140" w:line="280" w:lineRule="atLeast"/>
        <w:jc w:val="both"/>
        <w:rPr>
          <w:rFonts w:ascii="Gill Sans MT" w:eastAsia="Times New Roman" w:hAnsi="Gill Sans MT" w:cs="Times New Roman"/>
          <w:bCs/>
          <w:sz w:val="24"/>
          <w:lang w:val="en-AU"/>
        </w:rPr>
      </w:pPr>
      <w:r w:rsidRPr="00511ED8">
        <w:rPr>
          <w:rFonts w:ascii="Gill Sans MT" w:eastAsia="Times New Roman" w:hAnsi="Gill Sans MT" w:cs="Times New Roman"/>
          <w:bCs/>
          <w:i/>
          <w:sz w:val="24"/>
          <w:lang w:val="en-AU"/>
        </w:rPr>
        <w:t>State Service Principles and Code of Conduct:</w:t>
      </w:r>
      <w:r w:rsidRPr="00511ED8">
        <w:rPr>
          <w:rFonts w:ascii="Gill Sans MT" w:eastAsia="Times New Roman" w:hAnsi="Gill Sans MT" w:cs="Times New Roman"/>
          <w:bCs/>
          <w:sz w:val="24"/>
          <w:lang w:val="en-AU"/>
        </w:rPr>
        <w:t xml:space="preserve"> The minimum responsibilities required of officers and employees of the State Service are contained in the </w:t>
      </w:r>
      <w:r w:rsidRPr="00511ED8">
        <w:rPr>
          <w:rFonts w:ascii="Gill Sans MT" w:eastAsia="Times New Roman" w:hAnsi="Gill Sans MT" w:cs="Times New Roman"/>
          <w:bCs/>
          <w:i/>
          <w:iCs/>
          <w:sz w:val="24"/>
          <w:lang w:val="en-AU"/>
        </w:rPr>
        <w:t>State Service Act 2000</w:t>
      </w:r>
      <w:r w:rsidRPr="00511ED8">
        <w:rPr>
          <w:rFonts w:ascii="Gill Sans MT" w:eastAsia="Times New Roman" w:hAnsi="Gill Sans MT" w:cs="Times New Roman"/>
          <w:bCs/>
          <w:sz w:val="24"/>
          <w:lang w:val="en-AU"/>
        </w:rPr>
        <w:t xml:space="preserve">.  The State Service Principles at Sections 7 and 8 </w:t>
      </w:r>
      <w:proofErr w:type="gramStart"/>
      <w:r w:rsidRPr="00511ED8">
        <w:rPr>
          <w:rFonts w:ascii="Gill Sans MT" w:eastAsia="Times New Roman" w:hAnsi="Gill Sans MT" w:cs="Times New Roman"/>
          <w:bCs/>
          <w:sz w:val="24"/>
          <w:lang w:val="en-AU"/>
        </w:rPr>
        <w:t>outline</w:t>
      </w:r>
      <w:proofErr w:type="gramEnd"/>
      <w:r w:rsidRPr="00511ED8">
        <w:rPr>
          <w:rFonts w:ascii="Gill Sans MT" w:eastAsia="Times New Roman" w:hAnsi="Gill Sans MT" w:cs="Times New Roman"/>
          <w:bCs/>
          <w:sz w:val="24"/>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511ED8" w:rsidRPr="00511ED8" w:rsidRDefault="00511ED8" w:rsidP="00511ED8">
      <w:pPr>
        <w:keepLines/>
        <w:widowControl/>
        <w:tabs>
          <w:tab w:val="left" w:pos="567"/>
        </w:tabs>
        <w:spacing w:after="140" w:line="280" w:lineRule="atLeast"/>
        <w:jc w:val="both"/>
        <w:rPr>
          <w:rFonts w:ascii="Gill Sans MT" w:eastAsia="Times New Roman" w:hAnsi="Gill Sans MT" w:cs="Times New Roman"/>
          <w:bCs/>
          <w:sz w:val="24"/>
          <w:lang w:val="en-AU"/>
        </w:rPr>
      </w:pPr>
      <w:r w:rsidRPr="00511ED8">
        <w:rPr>
          <w:rFonts w:ascii="Gill Sans MT" w:eastAsia="Times New Roman" w:hAnsi="Gill Sans MT" w:cs="Times New Roman"/>
          <w:bCs/>
          <w:sz w:val="24"/>
          <w:lang w:val="en-GB"/>
        </w:rPr>
        <w:t xml:space="preserve">The </w:t>
      </w:r>
      <w:r w:rsidRPr="00511ED8">
        <w:rPr>
          <w:rFonts w:ascii="Gill Sans MT" w:eastAsia="Times New Roman" w:hAnsi="Gill Sans MT" w:cs="Times New Roman"/>
          <w:bCs/>
          <w:i/>
          <w:iCs/>
          <w:sz w:val="24"/>
          <w:lang w:val="en-GB"/>
        </w:rPr>
        <w:t>State Service Act</w:t>
      </w:r>
      <w:r w:rsidRPr="00511ED8">
        <w:rPr>
          <w:rFonts w:ascii="Gill Sans MT" w:eastAsia="Times New Roman" w:hAnsi="Gill Sans MT" w:cs="Times New Roman"/>
          <w:bCs/>
          <w:sz w:val="24"/>
          <w:lang w:val="en-GB"/>
        </w:rPr>
        <w:t xml:space="preserve"> </w:t>
      </w:r>
      <w:r w:rsidRPr="00511ED8">
        <w:rPr>
          <w:rFonts w:ascii="Gill Sans MT" w:eastAsia="Times New Roman" w:hAnsi="Gill Sans MT" w:cs="Times New Roman"/>
          <w:bCs/>
          <w:i/>
          <w:iCs/>
          <w:sz w:val="24"/>
          <w:lang w:val="en-GB"/>
        </w:rPr>
        <w:t>2000</w:t>
      </w:r>
      <w:r w:rsidRPr="00511ED8">
        <w:rPr>
          <w:rFonts w:ascii="Gill Sans MT" w:eastAsia="Times New Roman" w:hAnsi="Gill Sans MT" w:cs="Times New Roman"/>
          <w:bCs/>
          <w:sz w:val="24"/>
          <w:lang w:val="en-GB"/>
        </w:rPr>
        <w:t xml:space="preserve"> and the Employment Directions can be found on the State Service Management Office’s website at </w:t>
      </w:r>
      <w:hyperlink r:id="rId8" w:history="1">
        <w:r w:rsidRPr="00511ED8">
          <w:rPr>
            <w:rFonts w:ascii="Gill Sans MT" w:eastAsia="Times New Roman" w:hAnsi="Gill Sans MT" w:cs="Times New Roman"/>
            <w:bCs/>
            <w:color w:val="0000FF"/>
            <w:sz w:val="24"/>
            <w:u w:val="single"/>
            <w:lang w:val="en-GB"/>
          </w:rPr>
          <w:t>http://www.dpac.tas.gov.au/divisions/ssmo</w:t>
        </w:r>
      </w:hyperlink>
      <w:r w:rsidRPr="00511ED8">
        <w:rPr>
          <w:rFonts w:ascii="Gill Sans MT" w:eastAsia="Times New Roman" w:hAnsi="Gill Sans MT" w:cs="Times New Roman"/>
          <w:bCs/>
          <w:sz w:val="24"/>
          <w:lang w:val="en-AU"/>
        </w:rPr>
        <w:t xml:space="preserve"> </w:t>
      </w:r>
    </w:p>
    <w:p w:rsidR="00511ED8" w:rsidRPr="00511ED8" w:rsidRDefault="00511ED8" w:rsidP="00511ED8">
      <w:pPr>
        <w:keepLines/>
        <w:widowControl/>
        <w:tabs>
          <w:tab w:val="left" w:pos="567"/>
        </w:tabs>
        <w:spacing w:after="140" w:line="280" w:lineRule="atLeast"/>
        <w:jc w:val="both"/>
        <w:rPr>
          <w:rFonts w:ascii="Gill Sans MT" w:eastAsia="Times New Roman" w:hAnsi="Gill Sans MT" w:cs="Times New Roman"/>
          <w:bCs/>
          <w:i/>
          <w:sz w:val="24"/>
          <w:lang w:val="en-AU"/>
        </w:rPr>
      </w:pPr>
      <w:r w:rsidRPr="00511ED8">
        <w:rPr>
          <w:rFonts w:ascii="Gill Sans MT" w:eastAsia="Times New Roman" w:hAnsi="Gill Sans MT" w:cs="Times New Roman"/>
          <w:bCs/>
          <w:i/>
          <w:sz w:val="24"/>
          <w:lang w:val="en-AU"/>
        </w:rPr>
        <w:t>Fraud Management</w:t>
      </w:r>
      <w:r w:rsidRPr="00511ED8">
        <w:rPr>
          <w:rFonts w:ascii="Gill Sans MT" w:eastAsia="Times New Roman" w:hAnsi="Gill Sans MT" w:cs="Times New Roman"/>
          <w:bCs/>
          <w:sz w:val="24"/>
          <w:lang w:val="en-AU"/>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11ED8">
        <w:rPr>
          <w:rFonts w:ascii="Gill Sans MT" w:eastAsia="Times New Roman" w:hAnsi="Gill Sans MT" w:cs="Times New Roman"/>
          <w:bCs/>
          <w:i/>
          <w:sz w:val="24"/>
          <w:lang w:val="en-AU"/>
        </w:rPr>
        <w:t>Public Interest Disclosure Act 2002</w:t>
      </w:r>
      <w:r w:rsidRPr="00511ED8">
        <w:rPr>
          <w:rFonts w:ascii="Gill Sans MT" w:eastAsia="Times New Roman" w:hAnsi="Gill Sans MT" w:cs="Times New Roman"/>
          <w:bCs/>
          <w:sz w:val="24"/>
          <w:lang w:val="en-AU"/>
        </w:rPr>
        <w:t xml:space="preserve">.  Any matter determined to be of a fraudulent nature will be followed up and appropriate action will be taken. This may include having sanctions imposed under the </w:t>
      </w:r>
      <w:r w:rsidRPr="00511ED8">
        <w:rPr>
          <w:rFonts w:ascii="Gill Sans MT" w:eastAsia="Times New Roman" w:hAnsi="Gill Sans MT" w:cs="Times New Roman"/>
          <w:bCs/>
          <w:i/>
          <w:sz w:val="24"/>
          <w:lang w:val="en-AU"/>
        </w:rPr>
        <w:t xml:space="preserve">State Service Act 2000. </w:t>
      </w:r>
    </w:p>
    <w:p w:rsidR="00511ED8" w:rsidRPr="00511ED8" w:rsidRDefault="00511ED8" w:rsidP="00511ED8">
      <w:pPr>
        <w:keepLines/>
        <w:widowControl/>
        <w:tabs>
          <w:tab w:val="left" w:pos="567"/>
        </w:tabs>
        <w:spacing w:after="140" w:line="280" w:lineRule="atLeast"/>
        <w:jc w:val="both"/>
        <w:rPr>
          <w:rFonts w:ascii="Gill Sans MT" w:eastAsia="Times New Roman" w:hAnsi="Gill Sans MT" w:cs="Times New Roman"/>
          <w:bCs/>
          <w:sz w:val="24"/>
          <w:lang w:val="en-AU"/>
        </w:rPr>
      </w:pPr>
      <w:r w:rsidRPr="00511ED8">
        <w:rPr>
          <w:rFonts w:ascii="Gill Sans MT" w:eastAsia="Times New Roman" w:hAnsi="Gill Sans MT" w:cs="Times New Roman"/>
          <w:bCs/>
          <w:i/>
          <w:sz w:val="24"/>
          <w:lang w:val="en-AU"/>
        </w:rPr>
        <w:t>Delegations:</w:t>
      </w:r>
      <w:r w:rsidRPr="00511ED8">
        <w:rPr>
          <w:rFonts w:ascii="Gill Sans MT" w:eastAsia="Times New Roman" w:hAnsi="Gill Sans MT" w:cs="Times New Roman"/>
          <w:bCs/>
          <w:sz w:val="24"/>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DoH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511ED8" w:rsidRPr="00511ED8" w:rsidRDefault="00511ED8" w:rsidP="00511ED8">
      <w:pPr>
        <w:keepLines/>
        <w:widowControl/>
        <w:tabs>
          <w:tab w:val="left" w:pos="567"/>
        </w:tabs>
        <w:spacing w:after="140" w:line="280" w:lineRule="atLeast"/>
        <w:jc w:val="both"/>
        <w:rPr>
          <w:rFonts w:ascii="Gill Sans MT" w:eastAsia="Times New Roman" w:hAnsi="Gill Sans MT" w:cs="Times New Roman"/>
          <w:bCs/>
          <w:sz w:val="24"/>
          <w:lang w:val="en-AU"/>
        </w:rPr>
      </w:pPr>
      <w:r w:rsidRPr="00511ED8">
        <w:rPr>
          <w:rFonts w:ascii="Gill Sans MT" w:eastAsia="Times New Roman" w:hAnsi="Gill Sans MT" w:cs="Times New Roman"/>
          <w:bCs/>
          <w:i/>
          <w:sz w:val="24"/>
          <w:lang w:val="en-AU"/>
        </w:rPr>
        <w:t xml:space="preserve">Blood borne viruses and immunisation: </w:t>
      </w:r>
      <w:r w:rsidRPr="00511ED8">
        <w:rPr>
          <w:rFonts w:ascii="Gill Sans MT" w:eastAsia="Times New Roman" w:hAnsi="Gill Sans MT" w:cs="Times New Roman"/>
          <w:bCs/>
          <w:sz w:val="24"/>
          <w:lang w:val="en-AU"/>
        </w:rPr>
        <w:t xml:space="preserve">Health Care Workers (as defined by DoH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511ED8" w:rsidRPr="00511ED8" w:rsidRDefault="00511ED8" w:rsidP="00511ED8">
      <w:pPr>
        <w:keepLines/>
        <w:widowControl/>
        <w:tabs>
          <w:tab w:val="left" w:pos="567"/>
        </w:tabs>
        <w:spacing w:after="140" w:line="280" w:lineRule="atLeast"/>
        <w:jc w:val="both"/>
        <w:rPr>
          <w:rFonts w:ascii="Gill Sans MT" w:eastAsia="Times New Roman" w:hAnsi="Gill Sans MT" w:cs="Times New Roman"/>
          <w:bCs/>
          <w:sz w:val="24"/>
          <w:lang w:val="en-AU"/>
        </w:rPr>
      </w:pPr>
      <w:r w:rsidRPr="00511ED8">
        <w:rPr>
          <w:rFonts w:ascii="Gill Sans MT" w:eastAsia="Times New Roman" w:hAnsi="Gill Sans MT" w:cs="Times New Roman"/>
          <w:bCs/>
          <w:i/>
          <w:sz w:val="24"/>
          <w:lang w:val="en-AU"/>
        </w:rPr>
        <w:t>Records and Confidentiality:</w:t>
      </w:r>
      <w:r w:rsidRPr="00511ED8">
        <w:rPr>
          <w:rFonts w:ascii="Gill Sans MT" w:eastAsia="Times New Roman" w:hAnsi="Gill Sans MT" w:cs="Times New Roman"/>
          <w:bCs/>
          <w:sz w:val="24"/>
          <w:lang w:val="en-AU"/>
        </w:rPr>
        <w:t xml:space="preserve"> Officers and employees of the Department of Health and the Tasmanian Health Service are responsible and accountable for making proper records.  Confidentiality </w:t>
      </w:r>
      <w:proofErr w:type="gramStart"/>
      <w:r w:rsidRPr="00511ED8">
        <w:rPr>
          <w:rFonts w:ascii="Gill Sans MT" w:eastAsia="Times New Roman" w:hAnsi="Gill Sans MT" w:cs="Times New Roman"/>
          <w:bCs/>
          <w:sz w:val="24"/>
          <w:lang w:val="en-AU"/>
        </w:rPr>
        <w:t>must be maintained at all times</w:t>
      </w:r>
      <w:proofErr w:type="gramEnd"/>
      <w:r w:rsidRPr="00511ED8">
        <w:rPr>
          <w:rFonts w:ascii="Gill Sans MT" w:eastAsia="Times New Roman" w:hAnsi="Gill Sans MT" w:cs="Times New Roman"/>
          <w:bCs/>
          <w:sz w:val="24"/>
          <w:lang w:val="en-AU"/>
        </w:rPr>
        <w:t xml:space="preserve"> and information must not be accessed or destroyed without proper authority.</w:t>
      </w:r>
    </w:p>
    <w:p w:rsidR="00DF4B13" w:rsidRPr="00511ED8" w:rsidRDefault="00511ED8" w:rsidP="00511ED8">
      <w:pPr>
        <w:keepLines/>
        <w:widowControl/>
        <w:tabs>
          <w:tab w:val="left" w:pos="567"/>
        </w:tabs>
        <w:spacing w:after="140" w:line="280" w:lineRule="atLeast"/>
        <w:jc w:val="both"/>
        <w:rPr>
          <w:rFonts w:ascii="Gill Sans MT" w:eastAsia="Times New Roman" w:hAnsi="Gill Sans MT" w:cs="Times New Roman"/>
          <w:bCs/>
          <w:sz w:val="24"/>
        </w:rPr>
      </w:pPr>
      <w:r w:rsidRPr="00511ED8">
        <w:rPr>
          <w:rFonts w:ascii="Gill Sans MT" w:eastAsia="Times New Roman" w:hAnsi="Gill Sans MT" w:cs="Times New Roman"/>
          <w:bCs/>
          <w:i/>
          <w:sz w:val="24"/>
        </w:rPr>
        <w:t>Smoke-free:</w:t>
      </w:r>
      <w:r w:rsidRPr="00511ED8">
        <w:rPr>
          <w:rFonts w:ascii="Gill Sans MT" w:eastAsia="Times New Roman" w:hAnsi="Gill Sans MT" w:cs="Times New Roman"/>
          <w:bCs/>
          <w:sz w:val="24"/>
        </w:rPr>
        <w:t xml:space="preserve"> The </w:t>
      </w:r>
      <w:r w:rsidRPr="00511ED8">
        <w:rPr>
          <w:rFonts w:ascii="Gill Sans MT" w:eastAsia="Times New Roman" w:hAnsi="Gill Sans MT" w:cs="Times New Roman"/>
          <w:bCs/>
          <w:sz w:val="24"/>
          <w:lang w:val="en-AU"/>
        </w:rPr>
        <w:t xml:space="preserve">Department of Health and the Tasmanian Health Service </w:t>
      </w:r>
      <w:r w:rsidRPr="00511ED8">
        <w:rPr>
          <w:rFonts w:ascii="Gill Sans MT" w:eastAsia="Times New Roman" w:hAnsi="Gill Sans MT" w:cs="Times New Roman"/>
          <w:bCs/>
          <w:sz w:val="24"/>
        </w:rPr>
        <w:t>are smoke-free work environments.  Smoking is prohibited in all State Government workplaces, including vehicles and vessels.</w:t>
      </w:r>
    </w:p>
    <w:sectPr w:rsidR="00DF4B13" w:rsidRPr="00511ED8" w:rsidSect="00511ED8">
      <w:footerReference w:type="default" r:id="rId9"/>
      <w:type w:val="continuous"/>
      <w:pgSz w:w="11907" w:h="16860"/>
      <w:pgMar w:top="840" w:right="1417" w:bottom="900" w:left="1418"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FBF" w:rsidRDefault="001610C6">
      <w:r>
        <w:separator/>
      </w:r>
    </w:p>
  </w:endnote>
  <w:endnote w:type="continuationSeparator" w:id="0">
    <w:p w:rsidR="00C65FBF" w:rsidRDefault="001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13" w:rsidRDefault="00BE21F8">
    <w:pPr>
      <w:spacing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6374130</wp:posOffset>
              </wp:positionH>
              <wp:positionV relativeFrom="page">
                <wp:posOffset>10108565</wp:posOffset>
              </wp:positionV>
              <wp:extent cx="481965" cy="127635"/>
              <wp:effectExtent l="1905" t="254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13" w:rsidRDefault="001610C6">
                          <w:pPr>
                            <w:ind w:left="20"/>
                            <w:rPr>
                              <w:rFonts w:ascii="Gill Sans MT" w:eastAsia="Gill Sans MT" w:hAnsi="Gill Sans MT" w:cs="Gill Sans MT"/>
                              <w:sz w:val="16"/>
                              <w:szCs w:val="16"/>
                            </w:rPr>
                          </w:pPr>
                          <w:r>
                            <w:rPr>
                              <w:rFonts w:ascii="Gill Sans MT" w:eastAsia="Gill Sans MT" w:hAnsi="Gill Sans MT" w:cs="Gill Sans MT"/>
                              <w:sz w:val="16"/>
                              <w:szCs w:val="16"/>
                            </w:rPr>
                            <w:t>Page</w:t>
                          </w:r>
                          <w:r>
                            <w:rPr>
                              <w:rFonts w:ascii="Gill Sans MT" w:eastAsia="Gill Sans MT" w:hAnsi="Gill Sans MT" w:cs="Gill Sans MT"/>
                              <w:spacing w:val="-2"/>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sidR="00BE21F8">
                            <w:rPr>
                              <w:rFonts w:ascii="Gill Sans MT" w:eastAsia="Gill Sans MT" w:hAnsi="Gill Sans MT" w:cs="Gill Sans MT"/>
                              <w:noProof/>
                              <w:sz w:val="16"/>
                              <w:szCs w:val="16"/>
                            </w:rPr>
                            <w:t>2</w:t>
                          </w:r>
                          <w:r>
                            <w:fldChar w:fldCharType="end"/>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9pt;margin-top:795.95pt;width:37.9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QnqwIAAKg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" filled="f" stroked="f">
              <v:textbox inset="0,0,0,0">
                <w:txbxContent>
                  <w:p w:rsidR="00DF4B13" w:rsidRDefault="001610C6">
                    <w:pPr>
                      <w:ind w:left="20"/>
                      <w:rPr>
                        <w:rFonts w:ascii="Gill Sans MT" w:eastAsia="Gill Sans MT" w:hAnsi="Gill Sans MT" w:cs="Gill Sans MT"/>
                        <w:sz w:val="16"/>
                        <w:szCs w:val="16"/>
                      </w:rPr>
                    </w:pPr>
                    <w:r>
                      <w:rPr>
                        <w:rFonts w:ascii="Gill Sans MT" w:eastAsia="Gill Sans MT" w:hAnsi="Gill Sans MT" w:cs="Gill Sans MT"/>
                        <w:sz w:val="16"/>
                        <w:szCs w:val="16"/>
                      </w:rPr>
                      <w:t>Page</w:t>
                    </w:r>
                    <w:r>
                      <w:rPr>
                        <w:rFonts w:ascii="Gill Sans MT" w:eastAsia="Gill Sans MT" w:hAnsi="Gill Sans MT" w:cs="Gill Sans MT"/>
                        <w:spacing w:val="-2"/>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sidR="00BE21F8">
                      <w:rPr>
                        <w:rFonts w:ascii="Gill Sans MT" w:eastAsia="Gill Sans MT" w:hAnsi="Gill Sans MT" w:cs="Gill Sans MT"/>
                        <w:noProof/>
                        <w:sz w:val="16"/>
                        <w:szCs w:val="16"/>
                      </w:rPr>
                      <w:t>2</w:t>
                    </w:r>
                    <w:r>
                      <w:fldChar w:fldCharType="end"/>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FBF" w:rsidRDefault="001610C6">
      <w:r>
        <w:separator/>
      </w:r>
    </w:p>
  </w:footnote>
  <w:footnote w:type="continuationSeparator" w:id="0">
    <w:p w:rsidR="00C65FBF" w:rsidRDefault="00161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20A052CA"/>
    <w:multiLevelType w:val="hybridMultilevel"/>
    <w:tmpl w:val="30E8B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8643A7"/>
    <w:multiLevelType w:val="hybridMultilevel"/>
    <w:tmpl w:val="2C3EB808"/>
    <w:lvl w:ilvl="0" w:tplc="B0FC3666">
      <w:start w:val="1"/>
      <w:numFmt w:val="bullet"/>
      <w:lvlText w:val=""/>
      <w:lvlJc w:val="left"/>
      <w:pPr>
        <w:ind w:hanging="428"/>
      </w:pPr>
      <w:rPr>
        <w:rFonts w:ascii="Symbol" w:eastAsia="Symbol" w:hAnsi="Symbol" w:hint="default"/>
        <w:sz w:val="24"/>
        <w:szCs w:val="24"/>
      </w:rPr>
    </w:lvl>
    <w:lvl w:ilvl="1" w:tplc="528296EA">
      <w:start w:val="1"/>
      <w:numFmt w:val="bullet"/>
      <w:lvlText w:val="•"/>
      <w:lvlJc w:val="left"/>
      <w:rPr>
        <w:rFonts w:hint="default"/>
      </w:rPr>
    </w:lvl>
    <w:lvl w:ilvl="2" w:tplc="3210EFE8">
      <w:start w:val="1"/>
      <w:numFmt w:val="bullet"/>
      <w:lvlText w:val="•"/>
      <w:lvlJc w:val="left"/>
      <w:rPr>
        <w:rFonts w:hint="default"/>
      </w:rPr>
    </w:lvl>
    <w:lvl w:ilvl="3" w:tplc="154EA5BE">
      <w:start w:val="1"/>
      <w:numFmt w:val="bullet"/>
      <w:lvlText w:val="•"/>
      <w:lvlJc w:val="left"/>
      <w:rPr>
        <w:rFonts w:hint="default"/>
      </w:rPr>
    </w:lvl>
    <w:lvl w:ilvl="4" w:tplc="F9C240CE">
      <w:start w:val="1"/>
      <w:numFmt w:val="bullet"/>
      <w:lvlText w:val="•"/>
      <w:lvlJc w:val="left"/>
      <w:rPr>
        <w:rFonts w:hint="default"/>
      </w:rPr>
    </w:lvl>
    <w:lvl w:ilvl="5" w:tplc="B058A3D2">
      <w:start w:val="1"/>
      <w:numFmt w:val="bullet"/>
      <w:lvlText w:val="•"/>
      <w:lvlJc w:val="left"/>
      <w:rPr>
        <w:rFonts w:hint="default"/>
      </w:rPr>
    </w:lvl>
    <w:lvl w:ilvl="6" w:tplc="42E0EA16">
      <w:start w:val="1"/>
      <w:numFmt w:val="bullet"/>
      <w:lvlText w:val="•"/>
      <w:lvlJc w:val="left"/>
      <w:rPr>
        <w:rFonts w:hint="default"/>
      </w:rPr>
    </w:lvl>
    <w:lvl w:ilvl="7" w:tplc="05B0A828">
      <w:start w:val="1"/>
      <w:numFmt w:val="bullet"/>
      <w:lvlText w:val="•"/>
      <w:lvlJc w:val="left"/>
      <w:rPr>
        <w:rFonts w:hint="default"/>
      </w:rPr>
    </w:lvl>
    <w:lvl w:ilvl="8" w:tplc="A3441B16">
      <w:start w:val="1"/>
      <w:numFmt w:val="bullet"/>
      <w:lvlText w:val="•"/>
      <w:lvlJc w:val="left"/>
      <w:rPr>
        <w:rFonts w:hint="default"/>
      </w:rPr>
    </w:lvl>
  </w:abstractNum>
  <w:abstractNum w:abstractNumId="4" w15:restartNumberingAfterBreak="0">
    <w:nsid w:val="40D4363C"/>
    <w:multiLevelType w:val="multilevel"/>
    <w:tmpl w:val="0C09001D"/>
    <w:numStyleLink w:val="1ai"/>
  </w:abstractNum>
  <w:abstractNum w:abstractNumId="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B13"/>
    <w:rsid w:val="001610C6"/>
    <w:rsid w:val="001623B1"/>
    <w:rsid w:val="003F0FBB"/>
    <w:rsid w:val="00460F08"/>
    <w:rsid w:val="00511ED8"/>
    <w:rsid w:val="00573067"/>
    <w:rsid w:val="0079304C"/>
    <w:rsid w:val="00901BB4"/>
    <w:rsid w:val="0093296F"/>
    <w:rsid w:val="00BE21F8"/>
    <w:rsid w:val="00C65FBF"/>
    <w:rsid w:val="00C930BD"/>
    <w:rsid w:val="00D53CEE"/>
    <w:rsid w:val="00DF4B13"/>
    <w:rsid w:val="00F82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BC981"/>
  <w15:docId w15:val="{50544F55-F7E1-4CFD-8B6D-7A541257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qFormat/>
    <w:pPr>
      <w:ind w:left="118"/>
      <w:outlineLvl w:val="0"/>
    </w:pPr>
    <w:rPr>
      <w:rFonts w:ascii="Gill Sans MT" w:eastAsia="Gill Sans MT" w:hAnsi="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hanging="567"/>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53CEE"/>
    <w:rPr>
      <w:sz w:val="16"/>
      <w:szCs w:val="16"/>
    </w:rPr>
  </w:style>
  <w:style w:type="paragraph" w:styleId="CommentText">
    <w:name w:val="annotation text"/>
    <w:basedOn w:val="Normal"/>
    <w:link w:val="CommentTextChar"/>
    <w:uiPriority w:val="99"/>
    <w:semiHidden/>
    <w:unhideWhenUsed/>
    <w:rsid w:val="00D53CEE"/>
    <w:rPr>
      <w:sz w:val="20"/>
      <w:szCs w:val="20"/>
    </w:rPr>
  </w:style>
  <w:style w:type="character" w:customStyle="1" w:styleId="CommentTextChar">
    <w:name w:val="Comment Text Char"/>
    <w:basedOn w:val="DefaultParagraphFont"/>
    <w:link w:val="CommentText"/>
    <w:uiPriority w:val="99"/>
    <w:semiHidden/>
    <w:rsid w:val="00D53CEE"/>
    <w:rPr>
      <w:sz w:val="20"/>
      <w:szCs w:val="20"/>
    </w:rPr>
  </w:style>
  <w:style w:type="paragraph" w:styleId="CommentSubject">
    <w:name w:val="annotation subject"/>
    <w:basedOn w:val="CommentText"/>
    <w:next w:val="CommentText"/>
    <w:link w:val="CommentSubjectChar"/>
    <w:uiPriority w:val="99"/>
    <w:semiHidden/>
    <w:unhideWhenUsed/>
    <w:rsid w:val="00D53CEE"/>
    <w:rPr>
      <w:b/>
      <w:bCs/>
    </w:rPr>
  </w:style>
  <w:style w:type="character" w:customStyle="1" w:styleId="CommentSubjectChar">
    <w:name w:val="Comment Subject Char"/>
    <w:basedOn w:val="CommentTextChar"/>
    <w:link w:val="CommentSubject"/>
    <w:uiPriority w:val="99"/>
    <w:semiHidden/>
    <w:rsid w:val="00D53CEE"/>
    <w:rPr>
      <w:b/>
      <w:bCs/>
      <w:sz w:val="20"/>
      <w:szCs w:val="20"/>
    </w:rPr>
  </w:style>
  <w:style w:type="paragraph" w:styleId="BalloonText">
    <w:name w:val="Balloon Text"/>
    <w:basedOn w:val="Normal"/>
    <w:link w:val="BalloonTextChar"/>
    <w:uiPriority w:val="99"/>
    <w:semiHidden/>
    <w:unhideWhenUsed/>
    <w:rsid w:val="00D53CEE"/>
    <w:rPr>
      <w:rFonts w:ascii="Tahoma" w:hAnsi="Tahoma" w:cs="Tahoma"/>
      <w:sz w:val="16"/>
      <w:szCs w:val="16"/>
    </w:rPr>
  </w:style>
  <w:style w:type="character" w:customStyle="1" w:styleId="BalloonTextChar">
    <w:name w:val="Balloon Text Char"/>
    <w:basedOn w:val="DefaultParagraphFont"/>
    <w:link w:val="BalloonText"/>
    <w:uiPriority w:val="99"/>
    <w:semiHidden/>
    <w:rsid w:val="00D53CEE"/>
    <w:rPr>
      <w:rFonts w:ascii="Tahoma" w:hAnsi="Tahoma" w:cs="Tahoma"/>
      <w:sz w:val="16"/>
      <w:szCs w:val="16"/>
    </w:rPr>
  </w:style>
  <w:style w:type="paragraph" w:styleId="Header">
    <w:name w:val="header"/>
    <w:basedOn w:val="Normal"/>
    <w:link w:val="HeaderChar"/>
    <w:uiPriority w:val="99"/>
    <w:unhideWhenUsed/>
    <w:rsid w:val="0079304C"/>
    <w:pPr>
      <w:tabs>
        <w:tab w:val="center" w:pos="4513"/>
        <w:tab w:val="right" w:pos="9026"/>
      </w:tabs>
    </w:pPr>
  </w:style>
  <w:style w:type="character" w:customStyle="1" w:styleId="HeaderChar">
    <w:name w:val="Header Char"/>
    <w:basedOn w:val="DefaultParagraphFont"/>
    <w:link w:val="Header"/>
    <w:uiPriority w:val="99"/>
    <w:rsid w:val="0079304C"/>
  </w:style>
  <w:style w:type="paragraph" w:styleId="Footer">
    <w:name w:val="footer"/>
    <w:basedOn w:val="Normal"/>
    <w:link w:val="FooterChar"/>
    <w:uiPriority w:val="99"/>
    <w:unhideWhenUsed/>
    <w:rsid w:val="0079304C"/>
    <w:pPr>
      <w:tabs>
        <w:tab w:val="center" w:pos="4513"/>
        <w:tab w:val="right" w:pos="9026"/>
      </w:tabs>
    </w:pPr>
  </w:style>
  <w:style w:type="character" w:customStyle="1" w:styleId="FooterChar">
    <w:name w:val="Footer Char"/>
    <w:basedOn w:val="DefaultParagraphFont"/>
    <w:link w:val="Footer"/>
    <w:uiPriority w:val="99"/>
    <w:rsid w:val="0079304C"/>
  </w:style>
  <w:style w:type="paragraph" w:styleId="NormalWeb">
    <w:name w:val="Normal (Web)"/>
    <w:basedOn w:val="Normal"/>
    <w:rsid w:val="003F0FBB"/>
    <w:pPr>
      <w:widowControl/>
      <w:spacing w:before="100" w:beforeAutospacing="1" w:after="100" w:afterAutospacing="1"/>
    </w:pPr>
    <w:rPr>
      <w:rFonts w:ascii="Verdana" w:eastAsia="Times New Roman" w:hAnsi="Verdana" w:cs="Times New Roman"/>
      <w:color w:val="000000"/>
      <w:sz w:val="20"/>
      <w:szCs w:val="20"/>
      <w:lang w:val="en-AU" w:eastAsia="en-AU"/>
    </w:rPr>
  </w:style>
  <w:style w:type="paragraph" w:customStyle="1" w:styleId="InformationBlock">
    <w:name w:val="Information Block"/>
    <w:link w:val="InformationBlockChar"/>
    <w:semiHidden/>
    <w:rsid w:val="003F0FBB"/>
    <w:pPr>
      <w:widowControl/>
      <w:spacing w:before="40" w:after="40"/>
    </w:pPr>
    <w:rPr>
      <w:rFonts w:ascii="Gill Sans MT" w:eastAsia="Times New Roman" w:hAnsi="Gill Sans MT" w:cs="Times New Roman"/>
      <w:b/>
      <w:lang w:val="en-AU"/>
    </w:rPr>
  </w:style>
  <w:style w:type="paragraph" w:customStyle="1" w:styleId="InformationBlockfillin">
    <w:name w:val="Information Block (fill in)"/>
    <w:basedOn w:val="InformationBlock"/>
    <w:link w:val="InformationBlockfillinChar"/>
    <w:semiHidden/>
    <w:rsid w:val="003F0FBB"/>
    <w:rPr>
      <w:b w:val="0"/>
    </w:rPr>
  </w:style>
  <w:style w:type="character" w:customStyle="1" w:styleId="InformationBlockChar">
    <w:name w:val="Information Block Char"/>
    <w:link w:val="InformationBlock"/>
    <w:semiHidden/>
    <w:locked/>
    <w:rsid w:val="003F0FBB"/>
    <w:rPr>
      <w:rFonts w:ascii="Gill Sans MT" w:eastAsia="Times New Roman" w:hAnsi="Gill Sans MT" w:cs="Times New Roman"/>
      <w:b/>
      <w:lang w:val="en-AU"/>
    </w:rPr>
  </w:style>
  <w:style w:type="character" w:customStyle="1" w:styleId="InformationBlockfillinChar">
    <w:name w:val="Information Block (fill in) Char"/>
    <w:basedOn w:val="InformationBlockChar"/>
    <w:link w:val="InformationBlockfillin"/>
    <w:locked/>
    <w:rsid w:val="003F0FBB"/>
    <w:rPr>
      <w:rFonts w:ascii="Gill Sans MT" w:eastAsia="Times New Roman" w:hAnsi="Gill Sans MT" w:cs="Times New Roman"/>
      <w:b w:val="0"/>
      <w:lang w:val="en-AU"/>
    </w:rPr>
  </w:style>
  <w:style w:type="paragraph" w:customStyle="1" w:styleId="Logo">
    <w:name w:val="Logo"/>
    <w:semiHidden/>
    <w:rsid w:val="00573067"/>
    <w:pPr>
      <w:widowControl/>
      <w:spacing w:line="300" w:lineRule="atLeast"/>
      <w:ind w:right="-28"/>
      <w:jc w:val="right"/>
    </w:pPr>
    <w:rPr>
      <w:rFonts w:ascii="Gill Sans MT" w:eastAsia="Times New Roman" w:hAnsi="Gill Sans MT" w:cs="Times New Roman"/>
      <w:sz w:val="20"/>
      <w:szCs w:val="24"/>
      <w:lang w:val="en-AU"/>
    </w:rPr>
  </w:style>
  <w:style w:type="paragraph" w:customStyle="1" w:styleId="DepartmentTitle">
    <w:name w:val="Department Title"/>
    <w:semiHidden/>
    <w:rsid w:val="00573067"/>
    <w:pPr>
      <w:widowControl/>
      <w:tabs>
        <w:tab w:val="left" w:pos="720"/>
      </w:tabs>
    </w:pPr>
    <w:rPr>
      <w:rFonts w:ascii="Gill Sans MT" w:eastAsia="Times New Roman" w:hAnsi="Gill Sans MT" w:cs="Times New Roman"/>
      <w:sz w:val="28"/>
      <w:szCs w:val="24"/>
      <w:lang w:val="en-AU"/>
    </w:rPr>
  </w:style>
  <w:style w:type="paragraph" w:customStyle="1" w:styleId="Sub-branch">
    <w:name w:val="Sub-branch"/>
    <w:basedOn w:val="Normal"/>
    <w:semiHidden/>
    <w:rsid w:val="00573067"/>
    <w:pPr>
      <w:keepLines/>
      <w:widowControl/>
      <w:tabs>
        <w:tab w:val="left" w:pos="567"/>
      </w:tabs>
      <w:spacing w:before="80" w:after="140" w:line="24" w:lineRule="atLeast"/>
      <w:jc w:val="both"/>
    </w:pPr>
    <w:rPr>
      <w:rFonts w:ascii="Gill Sans MT" w:eastAsia="Times New Roman" w:hAnsi="Gill Sans MT" w:cs="Times New Roman"/>
      <w:caps/>
      <w:w w:val="95"/>
      <w:sz w:val="18"/>
      <w:szCs w:val="20"/>
      <w:lang w:val="en-AU"/>
    </w:rPr>
  </w:style>
  <w:style w:type="character" w:customStyle="1" w:styleId="Heading1Char">
    <w:name w:val="Heading 1 Char"/>
    <w:link w:val="Heading1"/>
    <w:rsid w:val="00573067"/>
    <w:rPr>
      <w:rFonts w:ascii="Gill Sans MT" w:eastAsia="Gill Sans MT" w:hAnsi="Gill Sans MT"/>
      <w:b/>
      <w:bCs/>
      <w:sz w:val="24"/>
      <w:szCs w:val="24"/>
    </w:rPr>
  </w:style>
  <w:style w:type="paragraph" w:customStyle="1" w:styleId="NumberedList">
    <w:name w:val="Numbered List"/>
    <w:link w:val="NumberedListChar"/>
    <w:semiHidden/>
    <w:rsid w:val="0093296F"/>
    <w:pPr>
      <w:keepLines/>
      <w:widowControl/>
      <w:numPr>
        <w:numId w:val="2"/>
      </w:numPr>
      <w:spacing w:after="140" w:line="300" w:lineRule="atLeast"/>
      <w:jc w:val="both"/>
    </w:pPr>
    <w:rPr>
      <w:rFonts w:ascii="Gill Sans MT" w:eastAsia="Times New Roman" w:hAnsi="Gill Sans MT" w:cs="Times New Roman"/>
      <w:sz w:val="24"/>
      <w:szCs w:val="20"/>
      <w:lang w:val="en-AU"/>
    </w:rPr>
  </w:style>
  <w:style w:type="character" w:customStyle="1" w:styleId="NumberedListChar">
    <w:name w:val="Numbered List Char"/>
    <w:link w:val="NumberedList"/>
    <w:semiHidden/>
    <w:locked/>
    <w:rsid w:val="0093296F"/>
    <w:rPr>
      <w:rFonts w:ascii="Gill Sans MT" w:eastAsia="Times New Roman" w:hAnsi="Gill Sans MT" w:cs="Times New Roman"/>
      <w:sz w:val="24"/>
      <w:szCs w:val="20"/>
      <w:lang w:val="en-AU"/>
    </w:rPr>
  </w:style>
  <w:style w:type="paragraph" w:customStyle="1" w:styleId="BulletedListLevel1">
    <w:name w:val="Bulleted List Level 1"/>
    <w:semiHidden/>
    <w:rsid w:val="0093296F"/>
    <w:pPr>
      <w:keepLines/>
      <w:widowControl/>
      <w:numPr>
        <w:numId w:val="3"/>
      </w:numPr>
      <w:tabs>
        <w:tab w:val="left" w:pos="1134"/>
      </w:tabs>
      <w:spacing w:after="140" w:line="300" w:lineRule="atLeast"/>
      <w:jc w:val="both"/>
    </w:pPr>
    <w:rPr>
      <w:rFonts w:ascii="Gill Sans MT" w:eastAsia="Times New Roman" w:hAnsi="Gill Sans MT" w:cs="Times New Roman"/>
      <w:sz w:val="24"/>
      <w:szCs w:val="24"/>
      <w:lang w:val="en-AU"/>
    </w:rPr>
  </w:style>
  <w:style w:type="numbering" w:styleId="1ai">
    <w:name w:val="Outline List 1"/>
    <w:basedOn w:val="NoList"/>
    <w:semiHidden/>
    <w:rsid w:val="0093296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Mathers, Lucy</dc:creator>
  <cp:lastModifiedBy>Butterworth, Emily S</cp:lastModifiedBy>
  <cp:revision>2</cp:revision>
  <dcterms:created xsi:type="dcterms:W3CDTF">2019-05-15T01:27:00Z</dcterms:created>
  <dcterms:modified xsi:type="dcterms:W3CDTF">2019-05-15T01:27:00Z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2018-03-27T00:00:00Z</vt:filetime>
  </property>
</Properties>
</file>