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56B2" w14:textId="77777777" w:rsidR="0011791D" w:rsidRDefault="00855B50">
      <w:pPr>
        <w:pStyle w:val="DocumentTitle"/>
      </w:pPr>
      <w:r>
        <w:rPr>
          <w:noProof/>
        </w:rPr>
        <mc:AlternateContent>
          <mc:Choice Requires="wps">
            <w:drawing>
              <wp:anchor distT="0" distB="0" distL="0" distR="0" simplePos="0" relativeHeight="2" behindDoc="0" locked="0" layoutInCell="1" allowOverlap="1" wp14:anchorId="6C3F771D" wp14:editId="59C996BC">
                <wp:simplePos x="0" y="0"/>
                <wp:positionH relativeFrom="column">
                  <wp:posOffset>4695825</wp:posOffset>
                </wp:positionH>
                <wp:positionV relativeFrom="paragraph">
                  <wp:posOffset>-742950</wp:posOffset>
                </wp:positionV>
                <wp:extent cx="1591945" cy="1674495"/>
                <wp:effectExtent l="3810" t="0" r="0" b="1270"/>
                <wp:wrapNone/>
                <wp:docPr id="1" name="Text Box 9"/>
                <wp:cNvGraphicFramePr/>
                <a:graphic xmlns:a="http://schemas.openxmlformats.org/drawingml/2006/main">
                  <a:graphicData uri="http://schemas.microsoft.com/office/word/2010/wordprocessingShape">
                    <wps:wsp>
                      <wps:cNvSpPr/>
                      <wps:spPr>
                        <a:xfrm>
                          <a:off x="0" y="0"/>
                          <a:ext cx="1591200" cy="1674000"/>
                        </a:xfrm>
                        <a:prstGeom prst="rect">
                          <a:avLst/>
                        </a:prstGeom>
                        <a:solidFill>
                          <a:srgbClr val="003366"/>
                        </a:solidFill>
                        <a:ln>
                          <a:noFill/>
                        </a:ln>
                      </wps:spPr>
                      <wps:style>
                        <a:lnRef idx="0">
                          <a:scrgbClr r="0" g="0" b="0"/>
                        </a:lnRef>
                        <a:fillRef idx="0">
                          <a:scrgbClr r="0" g="0" b="0"/>
                        </a:fillRef>
                        <a:effectRef idx="0">
                          <a:scrgbClr r="0" g="0" b="0"/>
                        </a:effectRef>
                        <a:fontRef idx="minor"/>
                      </wps:style>
                      <wps:txbx>
                        <w:txbxContent>
                          <w:p w14:paraId="0CE4AFFB" w14:textId="77777777" w:rsidR="0011791D" w:rsidRDefault="00855B50">
                            <w:pPr>
                              <w:pStyle w:val="FrameContents"/>
                              <w:jc w:val="right"/>
                              <w:rPr>
                                <w:color w:val="000000"/>
                              </w:rPr>
                            </w:pPr>
                            <w:r>
                              <w:rPr>
                                <w:noProof/>
                                <w:color w:val="000000"/>
                              </w:rPr>
                              <w:drawing>
                                <wp:inline distT="0" distB="0" distL="0" distR="0" wp14:anchorId="2159F3D7" wp14:editId="12EC53ED">
                                  <wp:extent cx="904240" cy="914400"/>
                                  <wp:effectExtent l="0" t="0" r="0" b="0"/>
                                  <wp:docPr id="3"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he University of Melbourne &#10;(logo)"/>
                                          <pic:cNvPicPr>
                                            <a:picLocks noChangeAspect="1" noChangeArrowheads="1"/>
                                          </pic:cNvPicPr>
                                        </pic:nvPicPr>
                                        <pic:blipFill>
                                          <a:blip r:embed="rId8"/>
                                          <a:stretch>
                                            <a:fillRect/>
                                          </a:stretch>
                                        </pic:blipFill>
                                        <pic:spPr bwMode="auto">
                                          <a:xfrm>
                                            <a:off x="0" y="0"/>
                                            <a:ext cx="904240" cy="914400"/>
                                          </a:xfrm>
                                          <a:prstGeom prst="rect">
                                            <a:avLst/>
                                          </a:prstGeom>
                                        </pic:spPr>
                                      </pic:pic>
                                    </a:graphicData>
                                  </a:graphic>
                                </wp:inline>
                              </w:drawing>
                            </w:r>
                          </w:p>
                        </w:txbxContent>
                      </wps:txbx>
                      <wps:bodyPr lIns="234360" tIns="334800" rIns="450360">
                        <a:spAutoFit/>
                      </wps:bodyPr>
                    </wps:wsp>
                  </a:graphicData>
                </a:graphic>
              </wp:anchor>
            </w:drawing>
          </mc:Choice>
          <mc:Fallback>
            <w:pict>
              <v:rect w14:anchorId="6C3F771D" id="Text Box 9" o:spid="_x0000_s1026" style="position:absolute;margin-left:369.75pt;margin-top:-58.5pt;width:125.35pt;height:131.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" fillcolor="#036" stroked="f">
                <v:textbox style="mso-fit-shape-to-text:t" inset="6.51mm,9.3mm,12.51mm">
                  <w:txbxContent>
                    <w:p w14:paraId="0CE4AFFB" w14:textId="77777777" w:rsidR="0011791D" w:rsidRDefault="00855B50">
                      <w:pPr>
                        <w:pStyle w:val="FrameContents"/>
                        <w:jc w:val="right"/>
                        <w:rPr>
                          <w:color w:val="000000"/>
                        </w:rPr>
                      </w:pPr>
                      <w:r>
                        <w:rPr>
                          <w:noProof/>
                          <w:color w:val="000000"/>
                        </w:rPr>
                        <w:drawing>
                          <wp:inline distT="0" distB="0" distL="0" distR="0" wp14:anchorId="2159F3D7" wp14:editId="12EC53ED">
                            <wp:extent cx="904240" cy="914400"/>
                            <wp:effectExtent l="0" t="0" r="0" b="0"/>
                            <wp:docPr id="3"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he University of Melbourne &#10;(logo)"/>
                                    <pic:cNvPicPr>
                                      <a:picLocks noChangeAspect="1" noChangeArrowheads="1"/>
                                    </pic:cNvPicPr>
                                  </pic:nvPicPr>
                                  <pic:blipFill>
                                    <a:blip r:embed="rId9"/>
                                    <a:stretch>
                                      <a:fillRect/>
                                    </a:stretch>
                                  </pic:blipFill>
                                  <pic:spPr bwMode="auto">
                                    <a:xfrm>
                                      <a:off x="0" y="0"/>
                                      <a:ext cx="904240" cy="914400"/>
                                    </a:xfrm>
                                    <a:prstGeom prst="rect">
                                      <a:avLst/>
                                    </a:prstGeom>
                                  </pic:spPr>
                                </pic:pic>
                              </a:graphicData>
                            </a:graphic>
                          </wp:inline>
                        </w:drawing>
                      </w:r>
                    </w:p>
                  </w:txbxContent>
                </v:textbox>
              </v:rect>
            </w:pict>
          </mc:Fallback>
        </mc:AlternateContent>
      </w:r>
      <w:r>
        <w:rPr>
          <w:noProof/>
        </w:rPr>
        <mc:AlternateContent>
          <mc:Choice Requires="wps">
            <w:drawing>
              <wp:anchor distT="0" distB="0" distL="0" distR="0" simplePos="0" relativeHeight="3" behindDoc="0" locked="0" layoutInCell="1" allowOverlap="1" wp14:anchorId="25A8863C" wp14:editId="4D3280C4">
                <wp:simplePos x="0" y="0"/>
                <wp:positionH relativeFrom="column">
                  <wp:posOffset>-95250</wp:posOffset>
                </wp:positionH>
                <wp:positionV relativeFrom="paragraph">
                  <wp:posOffset>-114300</wp:posOffset>
                </wp:positionV>
                <wp:extent cx="4300855" cy="915670"/>
                <wp:effectExtent l="3810" t="0" r="1905" b="1270"/>
                <wp:wrapNone/>
                <wp:docPr id="5" name="Text Box 10"/>
                <wp:cNvGraphicFramePr/>
                <a:graphic xmlns:a="http://schemas.openxmlformats.org/drawingml/2006/main">
                  <a:graphicData uri="http://schemas.microsoft.com/office/word/2010/wordprocessingShape">
                    <wps:wsp>
                      <wps:cNvSpPr/>
                      <wps:spPr>
                        <a:xfrm>
                          <a:off x="0" y="0"/>
                          <a:ext cx="4300200" cy="915120"/>
                        </a:xfrm>
                        <a:prstGeom prst="rect">
                          <a:avLst/>
                        </a:prstGeom>
                        <a:noFill/>
                        <a:ln>
                          <a:noFill/>
                        </a:ln>
                      </wps:spPr>
                      <wps:style>
                        <a:lnRef idx="0">
                          <a:scrgbClr r="0" g="0" b="0"/>
                        </a:lnRef>
                        <a:fillRef idx="0">
                          <a:scrgbClr r="0" g="0" b="0"/>
                        </a:fillRef>
                        <a:effectRef idx="0">
                          <a:scrgbClr r="0" g="0" b="0"/>
                        </a:effectRef>
                        <a:fontRef idx="minor"/>
                      </wps:style>
                      <wps:txbx>
                        <w:txbxContent>
                          <w:p w14:paraId="7CD0BC40" w14:textId="77777777" w:rsidR="0011791D" w:rsidRDefault="0011791D">
                            <w:pPr>
                              <w:pStyle w:val="DocumentTitle"/>
                            </w:pPr>
                          </w:p>
                          <w:p w14:paraId="6ED2D2AA" w14:textId="77777777" w:rsidR="0011791D" w:rsidRDefault="00855B50">
                            <w:pPr>
                              <w:pStyle w:val="DocumentTitle"/>
                            </w:pPr>
                            <w:r>
                              <w:t>POSITION DESCRIPTION</w:t>
                            </w:r>
                            <w:r>
                              <w:br/>
                            </w:r>
                          </w:p>
                          <w:p w14:paraId="28E8C7DC" w14:textId="77777777" w:rsidR="0011791D" w:rsidRDefault="0011791D">
                            <w:pPr>
                              <w:pStyle w:val="FrameContents"/>
                            </w:pPr>
                          </w:p>
                        </w:txbxContent>
                      </wps:txbx>
                      <wps:bodyPr>
                        <a:noAutofit/>
                      </wps:bodyPr>
                    </wps:wsp>
                  </a:graphicData>
                </a:graphic>
              </wp:anchor>
            </w:drawing>
          </mc:Choice>
          <mc:Fallback>
            <w:pict>
              <v:rect w14:anchorId="25A8863C" id="Text Box 10" o:spid="_x0000_s1027" style="position:absolute;margin-left:-7.5pt;margin-top:-9pt;width:338.65pt;height:72.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" filled="f" stroked="f">
                <v:textbox>
                  <w:txbxContent>
                    <w:p w14:paraId="7CD0BC40" w14:textId="77777777" w:rsidR="0011791D" w:rsidRDefault="0011791D">
                      <w:pPr>
                        <w:pStyle w:val="DocumentTitle"/>
                      </w:pPr>
                    </w:p>
                    <w:p w14:paraId="6ED2D2AA" w14:textId="77777777" w:rsidR="0011791D" w:rsidRDefault="00855B50">
                      <w:pPr>
                        <w:pStyle w:val="DocumentTitle"/>
                      </w:pPr>
                      <w:r>
                        <w:t>POSITION DESCRIPTION</w:t>
                      </w:r>
                      <w:r>
                        <w:br/>
                      </w:r>
                    </w:p>
                    <w:p w14:paraId="28E8C7DC" w14:textId="77777777" w:rsidR="0011791D" w:rsidRDefault="0011791D">
                      <w:pPr>
                        <w:pStyle w:val="FrameContents"/>
                      </w:pPr>
                    </w:p>
                  </w:txbxContent>
                </v:textbox>
              </v:rect>
            </w:pict>
          </mc:Fallback>
        </mc:AlternateContent>
      </w:r>
      <w:r>
        <w:rPr>
          <w:noProof/>
        </w:rPr>
        <mc:AlternateContent>
          <mc:Choice Requires="wps">
            <w:drawing>
              <wp:anchor distT="0" distB="0" distL="0" distR="0" simplePos="0" relativeHeight="4" behindDoc="1" locked="0" layoutInCell="1" allowOverlap="1" wp14:anchorId="2582B84B" wp14:editId="22E4EDF7">
                <wp:simplePos x="0" y="0"/>
                <wp:positionH relativeFrom="column">
                  <wp:posOffset>-1143000</wp:posOffset>
                </wp:positionH>
                <wp:positionV relativeFrom="paragraph">
                  <wp:posOffset>-800100</wp:posOffset>
                </wp:positionV>
                <wp:extent cx="7659370" cy="1729105"/>
                <wp:effectExtent l="3810" t="0" r="0" b="0"/>
                <wp:wrapNone/>
                <wp:docPr id="7" name="Rectangle 11"/>
                <wp:cNvGraphicFramePr/>
                <a:graphic xmlns:a="http://schemas.openxmlformats.org/drawingml/2006/main">
                  <a:graphicData uri="http://schemas.microsoft.com/office/word/2010/wordprocessingShape">
                    <wps:wsp>
                      <wps:cNvSpPr/>
                      <wps:spPr>
                        <a:xfrm>
                          <a:off x="0" y="0"/>
                          <a:ext cx="7658640" cy="1728360"/>
                        </a:xfrm>
                        <a:prstGeom prst="rect">
                          <a:avLst/>
                        </a:prstGeom>
                        <a:solidFill>
                          <a:srgbClr val="003366"/>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003366" stroked="f" style="position:absolute;margin-left:-90pt;margin-top:-63pt;width:603pt;height:136.05pt" wp14:anchorId="3FC03189">
                <w10:wrap type="none"/>
                <v:fill o:detectmouseclick="t" type="solid" color2="#ffcc99"/>
                <v:stroke color="#3465a4" joinstyle="round" endcap="flat"/>
              </v:rect>
            </w:pict>
          </mc:Fallback>
        </mc:AlternateContent>
      </w:r>
    </w:p>
    <w:p w14:paraId="5490C301" w14:textId="77777777" w:rsidR="0011791D" w:rsidRDefault="0011791D">
      <w:pPr>
        <w:pStyle w:val="DocumentTitle"/>
      </w:pPr>
    </w:p>
    <w:p w14:paraId="5095DD1F" w14:textId="364B481A" w:rsidR="0011791D" w:rsidRDefault="00855B50" w:rsidP="007E0992">
      <w:pPr>
        <w:pStyle w:val="OrgUnit"/>
      </w:pPr>
      <w:r>
        <w:t>Department of Microbiology and Immunology</w:t>
      </w:r>
      <w:r w:rsidR="00EE3144">
        <w:br/>
        <w:t>School of Biomedical Sciences</w:t>
      </w:r>
    </w:p>
    <w:p w14:paraId="2050CD59" w14:textId="77777777" w:rsidR="0011791D" w:rsidRDefault="00855B50" w:rsidP="007E0992">
      <w:pPr>
        <w:pStyle w:val="BudgetDivision"/>
      </w:pPr>
      <w:r>
        <w:t>Faculty of Medicine, Dentistry and Health Sciences</w:t>
      </w:r>
    </w:p>
    <w:p w14:paraId="56E29610" w14:textId="77777777" w:rsidR="0011791D" w:rsidRDefault="00855B50" w:rsidP="00EE3144">
      <w:pPr>
        <w:pStyle w:val="PositionTitle"/>
        <w:ind w:left="426"/>
      </w:pPr>
      <w:r>
        <w:t>Bioinformatician (COVID-19) – MDU PHL</w:t>
      </w:r>
    </w:p>
    <w:p w14:paraId="4DA3CFA2" w14:textId="77777777" w:rsidR="0011791D" w:rsidRDefault="0011791D">
      <w:pPr>
        <w:pStyle w:val="Internalapplicantsnotice"/>
      </w:pPr>
    </w:p>
    <w:tbl>
      <w:tblPr>
        <w:tblW w:w="8612" w:type="dxa"/>
        <w:tblLook w:val="01E0" w:firstRow="1" w:lastRow="1" w:firstColumn="1" w:lastColumn="1" w:noHBand="0" w:noVBand="0"/>
      </w:tblPr>
      <w:tblGrid>
        <w:gridCol w:w="2309"/>
        <w:gridCol w:w="6303"/>
      </w:tblGrid>
      <w:tr w:rsidR="0011791D" w14:paraId="02BA9888" w14:textId="77777777">
        <w:tc>
          <w:tcPr>
            <w:tcW w:w="2266" w:type="dxa"/>
            <w:tcBorders>
              <w:bottom w:val="dotted" w:sz="4" w:space="0" w:color="C0C0C0"/>
            </w:tcBorders>
          </w:tcPr>
          <w:p w14:paraId="2061624E" w14:textId="77777777" w:rsidR="0011791D" w:rsidRDefault="00855B50" w:rsidP="007E0992">
            <w:pPr>
              <w:pStyle w:val="Positionmetadata"/>
            </w:pPr>
            <w:r>
              <w:t>Position No</w:t>
            </w:r>
          </w:p>
        </w:tc>
        <w:tc>
          <w:tcPr>
            <w:tcW w:w="6345" w:type="dxa"/>
            <w:tcBorders>
              <w:bottom w:val="dotted" w:sz="4" w:space="0" w:color="C0C0C0"/>
            </w:tcBorders>
          </w:tcPr>
          <w:p w14:paraId="530505C1" w14:textId="04E01176" w:rsidR="0011791D" w:rsidRDefault="00633362" w:rsidP="007E0992">
            <w:pPr>
              <w:pStyle w:val="BodyText"/>
            </w:pPr>
            <w:r w:rsidRPr="00633362">
              <w:t>0055725</w:t>
            </w:r>
          </w:p>
        </w:tc>
      </w:tr>
      <w:tr w:rsidR="0011791D" w14:paraId="4A1F79A0" w14:textId="77777777">
        <w:tc>
          <w:tcPr>
            <w:tcW w:w="2266" w:type="dxa"/>
            <w:tcBorders>
              <w:top w:val="dotted" w:sz="4" w:space="0" w:color="C0C0C0"/>
              <w:bottom w:val="dotted" w:sz="4" w:space="0" w:color="C0C0C0"/>
            </w:tcBorders>
          </w:tcPr>
          <w:p w14:paraId="4B7A3D99" w14:textId="77777777" w:rsidR="0011791D" w:rsidRDefault="00855B50" w:rsidP="007E0992">
            <w:pPr>
              <w:pStyle w:val="Positionmetadata"/>
            </w:pPr>
            <w:r>
              <w:t>Classification</w:t>
            </w:r>
          </w:p>
        </w:tc>
        <w:tc>
          <w:tcPr>
            <w:tcW w:w="6345" w:type="dxa"/>
            <w:tcBorders>
              <w:top w:val="dotted" w:sz="4" w:space="0" w:color="C0C0C0"/>
              <w:bottom w:val="dotted" w:sz="4" w:space="0" w:color="C0C0C0"/>
            </w:tcBorders>
          </w:tcPr>
          <w:p w14:paraId="2B99E629" w14:textId="5240F4B6" w:rsidR="0011791D" w:rsidRDefault="007F10CA" w:rsidP="007E0992">
            <w:pPr>
              <w:pStyle w:val="BodyText"/>
            </w:pPr>
            <w:r>
              <w:t xml:space="preserve">Academic </w:t>
            </w:r>
            <w:r w:rsidR="00C75BB3">
              <w:t xml:space="preserve">Specialist </w:t>
            </w:r>
            <w:r>
              <w:t xml:space="preserve">Level A </w:t>
            </w:r>
          </w:p>
        </w:tc>
      </w:tr>
      <w:tr w:rsidR="0011791D" w14:paraId="74ADF790" w14:textId="77777777">
        <w:tc>
          <w:tcPr>
            <w:tcW w:w="2266" w:type="dxa"/>
            <w:tcBorders>
              <w:top w:val="dotted" w:sz="4" w:space="0" w:color="C0C0C0"/>
              <w:bottom w:val="dotted" w:sz="4" w:space="0" w:color="C0C0C0"/>
            </w:tcBorders>
          </w:tcPr>
          <w:p w14:paraId="3489DAF3" w14:textId="77777777" w:rsidR="0011791D" w:rsidRDefault="00855B50" w:rsidP="007E0992">
            <w:pPr>
              <w:pStyle w:val="Positionmetadata"/>
            </w:pPr>
            <w:r>
              <w:t>Salary</w:t>
            </w:r>
          </w:p>
        </w:tc>
        <w:tc>
          <w:tcPr>
            <w:tcW w:w="6345" w:type="dxa"/>
            <w:tcBorders>
              <w:top w:val="dotted" w:sz="4" w:space="0" w:color="C0C0C0"/>
              <w:bottom w:val="dotted" w:sz="4" w:space="0" w:color="C0C0C0"/>
            </w:tcBorders>
          </w:tcPr>
          <w:p w14:paraId="27A15E5E" w14:textId="193EB567" w:rsidR="0011791D" w:rsidRDefault="00855B50" w:rsidP="007E0992">
            <w:pPr>
              <w:pStyle w:val="BodyText"/>
            </w:pPr>
            <w:r>
              <w:t>$</w:t>
            </w:r>
            <w:r w:rsidR="007F10CA">
              <w:t>75</w:t>
            </w:r>
            <w:r>
              <w:t>,</w:t>
            </w:r>
            <w:r w:rsidR="007F10CA">
              <w:t>289</w:t>
            </w:r>
            <w:r>
              <w:t xml:space="preserve"> - $10</w:t>
            </w:r>
            <w:r w:rsidR="00DA60BF">
              <w:t>2,163</w:t>
            </w:r>
          </w:p>
        </w:tc>
      </w:tr>
      <w:tr w:rsidR="0011791D" w14:paraId="5F411F38" w14:textId="77777777">
        <w:tc>
          <w:tcPr>
            <w:tcW w:w="2266" w:type="dxa"/>
            <w:tcBorders>
              <w:top w:val="dotted" w:sz="4" w:space="0" w:color="C0C0C0"/>
              <w:bottom w:val="dotted" w:sz="4" w:space="0" w:color="C0C0C0"/>
            </w:tcBorders>
          </w:tcPr>
          <w:p w14:paraId="50FF5116" w14:textId="77777777" w:rsidR="0011791D" w:rsidRDefault="00855B50" w:rsidP="007E0992">
            <w:pPr>
              <w:pStyle w:val="Positionmetadata"/>
            </w:pPr>
            <w:r>
              <w:t>Superannuation</w:t>
            </w:r>
          </w:p>
        </w:tc>
        <w:tc>
          <w:tcPr>
            <w:tcW w:w="6345" w:type="dxa"/>
            <w:tcBorders>
              <w:top w:val="dotted" w:sz="4" w:space="0" w:color="C0C0C0"/>
              <w:bottom w:val="dotted" w:sz="4" w:space="0" w:color="C0C0C0"/>
            </w:tcBorders>
          </w:tcPr>
          <w:p w14:paraId="6DD6A9E8" w14:textId="15C20098" w:rsidR="0011791D" w:rsidRDefault="00855B50" w:rsidP="007E0992">
            <w:pPr>
              <w:pStyle w:val="BodyText"/>
            </w:pPr>
            <w:r>
              <w:t xml:space="preserve">Employer contribution of </w:t>
            </w:r>
            <w:r w:rsidR="00C907D5">
              <w:t>17</w:t>
            </w:r>
            <w:r>
              <w:t>%</w:t>
            </w:r>
          </w:p>
        </w:tc>
      </w:tr>
      <w:tr w:rsidR="0011791D" w14:paraId="34C5D306" w14:textId="77777777">
        <w:tc>
          <w:tcPr>
            <w:tcW w:w="2266" w:type="dxa"/>
            <w:tcBorders>
              <w:top w:val="dotted" w:sz="4" w:space="0" w:color="C0C0C0"/>
              <w:bottom w:val="dotted" w:sz="4" w:space="0" w:color="C0C0C0"/>
            </w:tcBorders>
          </w:tcPr>
          <w:p w14:paraId="60577D96" w14:textId="77777777" w:rsidR="0011791D" w:rsidRDefault="00855B50" w:rsidP="007E0992">
            <w:pPr>
              <w:pStyle w:val="Positionmetadata"/>
            </w:pPr>
            <w:r>
              <w:t>WORKING HOURS</w:t>
            </w:r>
          </w:p>
        </w:tc>
        <w:tc>
          <w:tcPr>
            <w:tcW w:w="6345" w:type="dxa"/>
            <w:tcBorders>
              <w:top w:val="dotted" w:sz="4" w:space="0" w:color="C0C0C0"/>
              <w:bottom w:val="dotted" w:sz="4" w:space="0" w:color="C0C0C0"/>
            </w:tcBorders>
          </w:tcPr>
          <w:p w14:paraId="1779BFF5" w14:textId="77777777" w:rsidR="0011791D" w:rsidRDefault="00855B50" w:rsidP="007E0992">
            <w:pPr>
              <w:pStyle w:val="BodyText"/>
            </w:pPr>
            <w:r>
              <w:t xml:space="preserve">Full-time  </w:t>
            </w:r>
          </w:p>
        </w:tc>
      </w:tr>
      <w:tr w:rsidR="0011791D" w14:paraId="7B028601" w14:textId="77777777">
        <w:tc>
          <w:tcPr>
            <w:tcW w:w="2266" w:type="dxa"/>
            <w:tcBorders>
              <w:top w:val="dotted" w:sz="4" w:space="0" w:color="C0C0C0"/>
              <w:bottom w:val="dotted" w:sz="4" w:space="0" w:color="C0C0C0"/>
            </w:tcBorders>
          </w:tcPr>
          <w:p w14:paraId="243D6FCA" w14:textId="77777777" w:rsidR="0011791D" w:rsidRDefault="00855B50" w:rsidP="007E0992">
            <w:pPr>
              <w:pStyle w:val="Positionmetadata"/>
            </w:pPr>
            <w:r>
              <w:t>BASIS OF EMPLOYMENT</w:t>
            </w:r>
          </w:p>
        </w:tc>
        <w:tc>
          <w:tcPr>
            <w:tcW w:w="6345" w:type="dxa"/>
            <w:tcBorders>
              <w:top w:val="dotted" w:sz="4" w:space="0" w:color="C0C0C0"/>
              <w:bottom w:val="dotted" w:sz="4" w:space="0" w:color="C0C0C0"/>
            </w:tcBorders>
          </w:tcPr>
          <w:p w14:paraId="63F64D5B" w14:textId="4177BF81" w:rsidR="0011791D" w:rsidRDefault="00EE3144" w:rsidP="007E0992">
            <w:pPr>
              <w:pStyle w:val="BodyText"/>
            </w:pPr>
            <w:r>
              <w:t>Fixed term</w:t>
            </w:r>
            <w:r w:rsidR="00855B50">
              <w:t xml:space="preserve"> for 2 years</w:t>
            </w:r>
            <w:r w:rsidR="00855B50">
              <w:br/>
              <w:t xml:space="preserve">Fixed term contract type: Externally funded contract employment </w:t>
            </w:r>
          </w:p>
        </w:tc>
      </w:tr>
      <w:tr w:rsidR="0011791D" w14:paraId="6301748E" w14:textId="77777777">
        <w:tc>
          <w:tcPr>
            <w:tcW w:w="2266" w:type="dxa"/>
            <w:tcBorders>
              <w:top w:val="dotted" w:sz="4" w:space="0" w:color="C0C0C0"/>
              <w:bottom w:val="dotted" w:sz="4" w:space="0" w:color="C0C0C0"/>
            </w:tcBorders>
          </w:tcPr>
          <w:p w14:paraId="2ADBCE6C" w14:textId="77777777" w:rsidR="0011791D" w:rsidRDefault="00855B50" w:rsidP="007E0992">
            <w:pPr>
              <w:pStyle w:val="Positionmetadata"/>
            </w:pPr>
            <w:r>
              <w:t>Other Benefits</w:t>
            </w:r>
          </w:p>
        </w:tc>
        <w:tc>
          <w:tcPr>
            <w:tcW w:w="6345" w:type="dxa"/>
            <w:tcBorders>
              <w:top w:val="dotted" w:sz="4" w:space="0" w:color="C0C0C0"/>
              <w:bottom w:val="dotted" w:sz="4" w:space="0" w:color="C0C0C0"/>
            </w:tcBorders>
          </w:tcPr>
          <w:p w14:paraId="4D8ADB07" w14:textId="77777777" w:rsidR="0011791D" w:rsidRDefault="00207819" w:rsidP="007E0992">
            <w:pPr>
              <w:pStyle w:val="BodyText"/>
            </w:pPr>
            <w:hyperlink r:id="rId10">
              <w:r w:rsidR="00855B50">
                <w:rPr>
                  <w:rStyle w:val="Hyperlink"/>
                </w:rPr>
                <w:t>http://about.unimelb.edu.au/careers/working/benefits</w:t>
              </w:r>
            </w:hyperlink>
          </w:p>
        </w:tc>
      </w:tr>
      <w:tr w:rsidR="0011791D" w14:paraId="1C67A449" w14:textId="77777777">
        <w:tc>
          <w:tcPr>
            <w:tcW w:w="2266" w:type="dxa"/>
            <w:tcBorders>
              <w:top w:val="dotted" w:sz="4" w:space="0" w:color="C0C0C0"/>
              <w:bottom w:val="dotted" w:sz="4" w:space="0" w:color="C0C0C0"/>
            </w:tcBorders>
          </w:tcPr>
          <w:p w14:paraId="49E163B2" w14:textId="77777777" w:rsidR="0011791D" w:rsidRDefault="00855B50" w:rsidP="007E0992">
            <w:pPr>
              <w:pStyle w:val="Positionmetadata"/>
            </w:pPr>
            <w:r>
              <w:t>How to Apply</w:t>
            </w:r>
          </w:p>
        </w:tc>
        <w:tc>
          <w:tcPr>
            <w:tcW w:w="6345" w:type="dxa"/>
            <w:tcBorders>
              <w:top w:val="dotted" w:sz="4" w:space="0" w:color="C0C0C0"/>
              <w:bottom w:val="dotted" w:sz="4" w:space="0" w:color="C0C0C0"/>
            </w:tcBorders>
          </w:tcPr>
          <w:p w14:paraId="66BA8405" w14:textId="77777777" w:rsidR="0011791D" w:rsidRDefault="00855B50" w:rsidP="007E0992">
            <w:pPr>
              <w:pStyle w:val="BodyText"/>
            </w:pPr>
            <w:r>
              <w:t xml:space="preserve">Online applications are preferred. Go to </w:t>
            </w:r>
            <w:hyperlink r:id="rId11">
              <w:r>
                <w:rPr>
                  <w:rStyle w:val="Hyperlink"/>
                </w:rPr>
                <w:t>http://about.unimelb.edu.au/careers</w:t>
              </w:r>
            </w:hyperlink>
            <w:r>
              <w:t>, select the relevant option (‘Current Staff’ or ‘Prospective Staff’), then find the position by title or number.</w:t>
            </w:r>
          </w:p>
        </w:tc>
      </w:tr>
      <w:tr w:rsidR="0011791D" w14:paraId="159B9E4B" w14:textId="77777777">
        <w:tc>
          <w:tcPr>
            <w:tcW w:w="2266" w:type="dxa"/>
            <w:tcBorders>
              <w:top w:val="dotted" w:sz="4" w:space="0" w:color="C0C0C0"/>
            </w:tcBorders>
          </w:tcPr>
          <w:p w14:paraId="4F1650A5" w14:textId="77777777" w:rsidR="0011791D" w:rsidRDefault="00855B50" w:rsidP="007E0992">
            <w:pPr>
              <w:pStyle w:val="Positionmetadata"/>
            </w:pPr>
            <w:r>
              <w:t>contact</w:t>
            </w:r>
            <w:r>
              <w:br/>
              <w:t>For enquiries only</w:t>
            </w:r>
          </w:p>
        </w:tc>
        <w:tc>
          <w:tcPr>
            <w:tcW w:w="6345" w:type="dxa"/>
            <w:tcBorders>
              <w:top w:val="dotted" w:sz="4" w:space="0" w:color="C0C0C0"/>
            </w:tcBorders>
          </w:tcPr>
          <w:p w14:paraId="2620B8C3" w14:textId="0D38B21E" w:rsidR="0011791D" w:rsidRDefault="00EE3144" w:rsidP="007E0992">
            <w:pPr>
              <w:pStyle w:val="Contact"/>
            </w:pPr>
            <w:r>
              <w:t>A/</w:t>
            </w:r>
            <w:r w:rsidR="00557275">
              <w:t>Prof Torsten Seemann</w:t>
            </w:r>
            <w:r w:rsidR="00855B50">
              <w:br/>
              <w:t xml:space="preserve">Email </w:t>
            </w:r>
            <w:r w:rsidR="00557275">
              <w:t>tseemann</w:t>
            </w:r>
            <w:r w:rsidR="00855B50">
              <w:t>@unimelb.edu.au</w:t>
            </w:r>
          </w:p>
          <w:p w14:paraId="505CDD1E" w14:textId="77777777" w:rsidR="0011791D" w:rsidRDefault="00855B50" w:rsidP="007E0992">
            <w:pPr>
              <w:pStyle w:val="BodyText"/>
              <w:rPr>
                <w:rStyle w:val="Inlineitalic"/>
              </w:rPr>
            </w:pPr>
            <w:r>
              <w:rPr>
                <w:rStyle w:val="Inlineitalic"/>
              </w:rPr>
              <w:t>Please do not send your application to this contact</w:t>
            </w:r>
          </w:p>
        </w:tc>
      </w:tr>
    </w:tbl>
    <w:p w14:paraId="0E146749" w14:textId="77777777" w:rsidR="0011791D" w:rsidRDefault="00855B50">
      <w:pPr>
        <w:pStyle w:val="URLboxsmall"/>
        <w:spacing w:line="280" w:lineRule="exact"/>
      </w:pPr>
      <w:r>
        <w:t xml:space="preserve">For information about working for the University of Melbourne, visit our website: </w:t>
      </w:r>
      <w:r>
        <w:br/>
      </w:r>
      <w:r>
        <w:rPr>
          <w:color w:val="336699"/>
        </w:rPr>
        <w:t xml:space="preserve">about.unimelb.edu.au/careers </w:t>
      </w:r>
      <w:r>
        <w:br w:type="page"/>
      </w:r>
    </w:p>
    <w:p w14:paraId="3FCB0C4C" w14:textId="77777777" w:rsidR="0011791D" w:rsidRDefault="00855B50">
      <w:pPr>
        <w:pStyle w:val="PositionSummary"/>
      </w:pPr>
      <w:r>
        <w:lastRenderedPageBreak/>
        <w:t>Position Summary</w:t>
      </w:r>
    </w:p>
    <w:p w14:paraId="6BA3A2F6" w14:textId="77777777" w:rsidR="0011791D" w:rsidRDefault="00855B50" w:rsidP="007E0992">
      <w:pPr>
        <w:pStyle w:val="BodyText"/>
      </w:pPr>
      <w:r>
        <w:t>The Microbiological Diagnostic Unit Public Health Laboratory (MDU PHL) provides a comprehensive microbiological investigation and advisory service for the public health community. This is supported by strong molecular biology, a substantial bacterial culture collection, and, expertise in infectious disease epidemiology and infection control. One of the major focuses of MDU PHL is transitioning existing technologies onto genomic platforms. We are committed to providing an efficient, effective, legally robust and timely public health laboratory service in the biological, medical and veterinary fields, including forensic operations. These activities incorporate the principles of ISO/IEC 17025, ISO 15189, and ISO 14001 in a Quarantine Approved Premises fulfilling the requirements of The National Health Security Act.</w:t>
      </w:r>
    </w:p>
    <w:p w14:paraId="7FAFB205" w14:textId="77777777" w:rsidR="0011791D" w:rsidRDefault="00855B50" w:rsidP="007E0992">
      <w:pPr>
        <w:pStyle w:val="BodyText"/>
      </w:pPr>
      <w:r>
        <w:t xml:space="preserve">This Bioinformatics position sits within the MDU Bioinformatics team and provides support to the section leader in the analysis of sequence data across multiple disciplines at the MDU PHL. The appointee will have the opportunity to join a productive Bioinformatics team in a supportive and exciting work environment focused on MDU PHLs COVID-19 public health pathogen genomics activities. </w:t>
      </w:r>
    </w:p>
    <w:p w14:paraId="124D775C" w14:textId="4D275634" w:rsidR="0011791D" w:rsidRDefault="00855B50" w:rsidP="007E0992">
      <w:pPr>
        <w:pStyle w:val="BodyText"/>
      </w:pPr>
      <w:r>
        <w:t xml:space="preserve">The position of Bioinformatician (COVID-19) will focus on the bioinformatic analysis of pathogen genomics data for MDU PHL, </w:t>
      </w:r>
      <w:r w:rsidR="00934D29">
        <w:t xml:space="preserve">leading and </w:t>
      </w:r>
      <w:r>
        <w:t>supporting COVID-19 translational research activities and maintenance or modification of existing pipelines, for public health service delivery</w:t>
      </w:r>
      <w:r w:rsidR="00934D29">
        <w:t xml:space="preserve"> and research outputs</w:t>
      </w:r>
      <w:r>
        <w:t>. This position involves working closely with</w:t>
      </w:r>
      <w:r w:rsidR="00AC3B2E">
        <w:t xml:space="preserve"> bioinformaticians, phylodynamic modellers and researchers across the Doherty Institute, and </w:t>
      </w:r>
      <w:r>
        <w:t>laboratory scientists and epidemiologists at MDU PHL</w:t>
      </w:r>
      <w:r w:rsidR="00AC3B2E">
        <w:t>.</w:t>
      </w:r>
    </w:p>
    <w:p w14:paraId="710748ED" w14:textId="1B17614E" w:rsidR="00C46598" w:rsidRDefault="00855B50" w:rsidP="007E0992">
      <w:pPr>
        <w:pStyle w:val="BodyTextIndent-afterheading1"/>
        <w:ind w:left="426" w:firstLine="0"/>
      </w:pPr>
      <w:r w:rsidRPr="00C46598">
        <w:t xml:space="preserve">In addition to service provision, there will be opportunity for involvement in research activities, such as contributing or leading peer-reviewed articles and conference presentations. A desire to learn and implement new techniques is essential. The position, together with senior bioinformaticians, has the added duties of providing support to the Section Leader and deputising in their absence. The individual will be skilled in Python and/or R and be comfortable in the organization and analysis of genome sequence data in a Unix software environment. The individual should have strong troubleshooting skills, have an interest in microbial genomics and public health, be a team player, and be prepared to work in </w:t>
      </w:r>
      <w:r w:rsidR="00AC3B2E" w:rsidRPr="00533897">
        <w:t xml:space="preserve">across research and implementation. </w:t>
      </w:r>
    </w:p>
    <w:p w14:paraId="7B24C10A" w14:textId="77777777" w:rsidR="00EE3144" w:rsidRDefault="00EE3144" w:rsidP="00EE3144">
      <w:pPr>
        <w:pStyle w:val="BodyText"/>
      </w:pPr>
      <w:r>
        <w:t>The School of Biomedical Sciences and its Departments foster a values-based culture of innovation and creativity to enhance the research performance of the University and to achieve excellence in teaching and research outcomes.</w:t>
      </w:r>
    </w:p>
    <w:p w14:paraId="4C0E8C5A" w14:textId="77777777" w:rsidR="00EE3144" w:rsidRDefault="00EE3144" w:rsidP="00EE3144">
      <w:pPr>
        <w:pStyle w:val="BodyText"/>
      </w:pPr>
      <w:r>
        <w:t>We invest in developing the careers and wellbeing of our students and staff and expect all to live by our Faculty Values of:</w:t>
      </w:r>
    </w:p>
    <w:p w14:paraId="652B2BF0" w14:textId="77777777" w:rsidR="00EE3144" w:rsidRDefault="00EE3144" w:rsidP="00EE3144">
      <w:pPr>
        <w:pStyle w:val="BodyText"/>
      </w:pPr>
      <w:r>
        <w:t>•</w:t>
      </w:r>
      <w:r>
        <w:tab/>
        <w:t>Collaboration</w:t>
      </w:r>
    </w:p>
    <w:p w14:paraId="44418ED2" w14:textId="77777777" w:rsidR="00EE3144" w:rsidRDefault="00EE3144" w:rsidP="00EE3144">
      <w:pPr>
        <w:pStyle w:val="BodyText"/>
      </w:pPr>
      <w:r>
        <w:t>•</w:t>
      </w:r>
      <w:r>
        <w:tab/>
        <w:t>Compassion</w:t>
      </w:r>
    </w:p>
    <w:p w14:paraId="2210F910" w14:textId="77777777" w:rsidR="00EE3144" w:rsidRDefault="00EE3144" w:rsidP="00EE3144">
      <w:pPr>
        <w:pStyle w:val="BodyText"/>
      </w:pPr>
      <w:r>
        <w:t>•</w:t>
      </w:r>
      <w:r>
        <w:tab/>
        <w:t>Respect</w:t>
      </w:r>
    </w:p>
    <w:p w14:paraId="002FAE70" w14:textId="77777777" w:rsidR="00EE3144" w:rsidRDefault="00EE3144" w:rsidP="00EE3144">
      <w:pPr>
        <w:pStyle w:val="BodyText"/>
      </w:pPr>
      <w:r>
        <w:t>•</w:t>
      </w:r>
      <w:r>
        <w:tab/>
        <w:t>Integrity</w:t>
      </w:r>
    </w:p>
    <w:p w14:paraId="6AFCB125" w14:textId="7E6D5A11" w:rsidR="00EE3144" w:rsidRDefault="00EE3144" w:rsidP="00EE3144">
      <w:pPr>
        <w:pStyle w:val="BodyTextIndent-afterheading1"/>
        <w:ind w:left="426" w:firstLine="0"/>
      </w:pPr>
      <w:r>
        <w:t>•</w:t>
      </w:r>
      <w:r>
        <w:tab/>
        <w:t>Accountability</w:t>
      </w:r>
    </w:p>
    <w:p w14:paraId="4425486B" w14:textId="65580FA7" w:rsidR="00EE3144" w:rsidRDefault="00EE3144" w:rsidP="00EE3144">
      <w:pPr>
        <w:pStyle w:val="BodyTextIndent-afterheading1"/>
        <w:ind w:left="426" w:firstLine="0"/>
      </w:pPr>
    </w:p>
    <w:p w14:paraId="7E5D7140" w14:textId="77777777" w:rsidR="00EE3144" w:rsidRPr="00C46598" w:rsidRDefault="00EE3144" w:rsidP="00EE3144">
      <w:pPr>
        <w:pStyle w:val="BodyTextIndent-afterheading1"/>
        <w:ind w:left="426" w:firstLine="0"/>
      </w:pPr>
    </w:p>
    <w:p w14:paraId="3B95FC35" w14:textId="77777777" w:rsidR="0011791D" w:rsidRDefault="00855B50" w:rsidP="007E0992">
      <w:pPr>
        <w:pStyle w:val="Heading1"/>
      </w:pPr>
      <w:r>
        <w:lastRenderedPageBreak/>
        <w:t>Key Responsibilities</w:t>
      </w:r>
    </w:p>
    <w:p w14:paraId="03F963AF" w14:textId="0B29FE0D" w:rsidR="0011791D" w:rsidRDefault="00855B50">
      <w:pPr>
        <w:pStyle w:val="ListBullet"/>
        <w:numPr>
          <w:ilvl w:val="0"/>
          <w:numId w:val="3"/>
        </w:numPr>
      </w:pPr>
      <w:r>
        <w:t xml:space="preserve">Contribute to MDU PHLs COVID-19 bioinformatics capacity and support to translational research programs such as the Victorian Department of Health Innovative Testing Program. </w:t>
      </w:r>
    </w:p>
    <w:p w14:paraId="7774AC8E" w14:textId="12223743" w:rsidR="00AC3B2E" w:rsidRDefault="00AC3B2E" w:rsidP="00AC3B2E">
      <w:pPr>
        <w:pStyle w:val="ListBullet"/>
        <w:numPr>
          <w:ilvl w:val="0"/>
          <w:numId w:val="3"/>
        </w:numPr>
      </w:pPr>
      <w:r>
        <w:t>Work collaboratively with research, public health and clinical partners to design research projects to better understand the prevalence, transmission and public health and clinical impact of COVID-19.</w:t>
      </w:r>
    </w:p>
    <w:p w14:paraId="5ADF6D16" w14:textId="77777777" w:rsidR="00AC3B2E" w:rsidRDefault="00AC3B2E" w:rsidP="00AC3B2E">
      <w:pPr>
        <w:pStyle w:val="ListBullet"/>
        <w:numPr>
          <w:ilvl w:val="0"/>
          <w:numId w:val="3"/>
        </w:numPr>
      </w:pPr>
      <w:r>
        <w:t>Work collaboratively with public health laboratory staff to ensure research outcomes inform enhanced public health laboratory activities</w:t>
      </w:r>
    </w:p>
    <w:p w14:paraId="6503FB68" w14:textId="63324D84" w:rsidR="00AC3B2E" w:rsidRDefault="00AC3B2E" w:rsidP="006365B6">
      <w:pPr>
        <w:pStyle w:val="ListBullet"/>
        <w:numPr>
          <w:ilvl w:val="0"/>
          <w:numId w:val="3"/>
        </w:numPr>
      </w:pPr>
      <w:r>
        <w:t>Prepare written and oral reports for reporting to public health, clinical and regional partners, and for peer-reviewed research publications.</w:t>
      </w:r>
    </w:p>
    <w:p w14:paraId="1171EFAB" w14:textId="77777777" w:rsidR="0011791D" w:rsidRDefault="00855B50">
      <w:pPr>
        <w:pStyle w:val="ListBullet"/>
        <w:numPr>
          <w:ilvl w:val="0"/>
          <w:numId w:val="3"/>
        </w:numPr>
      </w:pPr>
      <w:r>
        <w:t xml:space="preserve">Perform in-depth bioinformatics analysis in collaboration with other sections of MDU PHL and broadly across the Peter Doherty </w:t>
      </w:r>
      <w:proofErr w:type="gramStart"/>
      <w:r>
        <w:t>Institute, and</w:t>
      </w:r>
      <w:proofErr w:type="gramEnd"/>
      <w:r>
        <w:t xml:space="preserve"> contribute to the development and implementation of COVID-19 research programs. </w:t>
      </w:r>
    </w:p>
    <w:p w14:paraId="5B042459" w14:textId="77777777" w:rsidR="0011791D" w:rsidRDefault="00855B50">
      <w:pPr>
        <w:pStyle w:val="ListBullet"/>
        <w:numPr>
          <w:ilvl w:val="0"/>
          <w:numId w:val="3"/>
        </w:numPr>
      </w:pPr>
      <w:r>
        <w:t xml:space="preserve">Independently plan and carry out routine and </w:t>
      </w:r>
      <w:r>
        <w:rPr>
          <w:i/>
          <w:iCs/>
        </w:rPr>
        <w:t>ad hoc</w:t>
      </w:r>
      <w:r>
        <w:t xml:space="preserve"> data analyses required for the fulfilment of MDU PHL’s obligations to the Department of Health and Human Services of Victoria, and other external clients</w:t>
      </w:r>
    </w:p>
    <w:p w14:paraId="397C6749" w14:textId="77777777" w:rsidR="0011791D" w:rsidRDefault="00855B50">
      <w:pPr>
        <w:pStyle w:val="ListBullet"/>
        <w:numPr>
          <w:ilvl w:val="0"/>
          <w:numId w:val="3"/>
        </w:numPr>
      </w:pPr>
      <w:r>
        <w:t xml:space="preserve">Under the supervision of the Section Leader and Director, engage, collaborate and consult with other sections of MDU PHL and groups within the Peter Doherty Institute and externally including government, institutional and industry partners where appropriate. </w:t>
      </w:r>
    </w:p>
    <w:p w14:paraId="74931E81" w14:textId="77777777" w:rsidR="0011791D" w:rsidRDefault="00855B50">
      <w:pPr>
        <w:pStyle w:val="ListBullet"/>
        <w:numPr>
          <w:ilvl w:val="0"/>
          <w:numId w:val="3"/>
        </w:numPr>
      </w:pPr>
      <w:r>
        <w:t>Develop and maintain a continued understanding in the fields of pathogen genomics and bioinformatics, including phylogenetic analysis</w:t>
      </w:r>
    </w:p>
    <w:p w14:paraId="4B06238A" w14:textId="77777777" w:rsidR="0011791D" w:rsidRDefault="00855B50">
      <w:pPr>
        <w:pStyle w:val="ListBullet"/>
        <w:numPr>
          <w:ilvl w:val="0"/>
          <w:numId w:val="3"/>
        </w:numPr>
      </w:pPr>
      <w:r>
        <w:t>Independently apply theoretical principles and techniques to solve problems in consultation with the Section Leader, other senior staff and provide possible solutions and remedies for test failures</w:t>
      </w:r>
    </w:p>
    <w:p w14:paraId="458E3588" w14:textId="77777777" w:rsidR="0011791D" w:rsidRDefault="00855B50">
      <w:pPr>
        <w:pStyle w:val="ListBullet"/>
        <w:numPr>
          <w:ilvl w:val="0"/>
          <w:numId w:val="3"/>
        </w:numPr>
      </w:pPr>
      <w:r>
        <w:t>Ensure all work is completed in a timely manner and meets required turnaround times</w:t>
      </w:r>
    </w:p>
    <w:p w14:paraId="7BA8786C" w14:textId="77777777" w:rsidR="0011791D" w:rsidRDefault="00855B50">
      <w:pPr>
        <w:pStyle w:val="ListBullet"/>
        <w:numPr>
          <w:ilvl w:val="0"/>
          <w:numId w:val="3"/>
        </w:numPr>
      </w:pPr>
      <w:r>
        <w:t>Perform other duties as requested by the appointee’s immediate supervisors</w:t>
      </w:r>
    </w:p>
    <w:p w14:paraId="0920B528" w14:textId="77777777" w:rsidR="0011791D" w:rsidRDefault="00855B50">
      <w:pPr>
        <w:pStyle w:val="ListBullet"/>
        <w:numPr>
          <w:ilvl w:val="0"/>
          <w:numId w:val="3"/>
        </w:numPr>
      </w:pPr>
      <w:r>
        <w:t>Actively participate in the Quality system utilised at MDU PHL including preparation of new SOPs and ensuring current practices are reflective of SOPs.</w:t>
      </w:r>
    </w:p>
    <w:p w14:paraId="46D284FD" w14:textId="77777777" w:rsidR="0011791D" w:rsidRDefault="00855B50">
      <w:pPr>
        <w:pStyle w:val="ListBullet"/>
        <w:numPr>
          <w:ilvl w:val="0"/>
          <w:numId w:val="3"/>
        </w:numPr>
      </w:pPr>
      <w:r>
        <w:t>Observe confidentiality and safety precautions and procedures.</w:t>
      </w:r>
    </w:p>
    <w:p w14:paraId="1544C65D" w14:textId="77777777" w:rsidR="0011791D" w:rsidRDefault="00855B50">
      <w:pPr>
        <w:pStyle w:val="ListBullet"/>
        <w:numPr>
          <w:ilvl w:val="0"/>
          <w:numId w:val="3"/>
        </w:numPr>
      </w:pPr>
      <w:r>
        <w:t>Undertake responsibility for select MDU PHL-wide activities or other tasks as required by the Principal Scientist, Section Leader, and/or the Director/Deputy Director.</w:t>
      </w:r>
    </w:p>
    <w:p w14:paraId="0A7A9935" w14:textId="77777777" w:rsidR="0011791D" w:rsidRDefault="00855B50">
      <w:pPr>
        <w:pStyle w:val="ListBullet"/>
        <w:numPr>
          <w:ilvl w:val="0"/>
          <w:numId w:val="3"/>
        </w:numPr>
      </w:pPr>
      <w:r>
        <w:t>Meet and maintain Occupational Health and Safety (OH&amp;S) and Environmental Health and Safety (EH&amp;S) responsibilities as outlined in section 5 below</w:t>
      </w:r>
    </w:p>
    <w:p w14:paraId="1C543B4E" w14:textId="77777777" w:rsidR="0011791D" w:rsidRDefault="00855B50" w:rsidP="007E0992">
      <w:pPr>
        <w:pStyle w:val="Heading1"/>
        <w:numPr>
          <w:ilvl w:val="0"/>
          <w:numId w:val="2"/>
        </w:numPr>
      </w:pPr>
      <w:r>
        <w:t>Selection Criteria</w:t>
      </w:r>
    </w:p>
    <w:p w14:paraId="6673E9E3" w14:textId="77777777" w:rsidR="0011791D" w:rsidRDefault="00855B50" w:rsidP="007E0992">
      <w:pPr>
        <w:pStyle w:val="Heading2"/>
        <w:numPr>
          <w:ilvl w:val="1"/>
          <w:numId w:val="2"/>
        </w:numPr>
      </w:pPr>
      <w:r>
        <w:t>Essential</w:t>
      </w:r>
    </w:p>
    <w:p w14:paraId="07E09F68" w14:textId="77777777" w:rsidR="0011791D" w:rsidRDefault="00855B50">
      <w:pPr>
        <w:pStyle w:val="ListBullet"/>
        <w:numPr>
          <w:ilvl w:val="0"/>
          <w:numId w:val="3"/>
        </w:numPr>
      </w:pPr>
      <w:r>
        <w:t>A postgraduate qualification in Bioinformatics, Computational Biology or a related field (either MSc or PhD)</w:t>
      </w:r>
    </w:p>
    <w:p w14:paraId="4F500883" w14:textId="77777777" w:rsidR="0011791D" w:rsidRDefault="00855B50">
      <w:pPr>
        <w:pStyle w:val="ListBullet"/>
        <w:numPr>
          <w:ilvl w:val="0"/>
          <w:numId w:val="3"/>
        </w:numPr>
      </w:pPr>
      <w:r>
        <w:t>Demonstrable working knowledge of Python and/or R</w:t>
      </w:r>
    </w:p>
    <w:p w14:paraId="4C63581D" w14:textId="77777777" w:rsidR="0011791D" w:rsidRDefault="00855B50">
      <w:pPr>
        <w:pStyle w:val="ListBullet"/>
        <w:numPr>
          <w:ilvl w:val="0"/>
          <w:numId w:val="3"/>
        </w:numPr>
      </w:pPr>
      <w:r>
        <w:t>Demonstrable experience</w:t>
      </w:r>
      <w:r>
        <w:rPr>
          <w:spacing w:val="8"/>
        </w:rPr>
        <w:t xml:space="preserve"> </w:t>
      </w:r>
      <w:r>
        <w:t>working in a UNIX environment</w:t>
      </w:r>
    </w:p>
    <w:p w14:paraId="1A38382A" w14:textId="77777777" w:rsidR="0011791D" w:rsidRDefault="00855B50">
      <w:pPr>
        <w:pStyle w:val="ListBullet"/>
        <w:numPr>
          <w:ilvl w:val="0"/>
          <w:numId w:val="3"/>
        </w:numPr>
      </w:pPr>
      <w:r>
        <w:t xml:space="preserve">Good knowledge of microbiology and/or pathogen genomics </w:t>
      </w:r>
    </w:p>
    <w:p w14:paraId="79CF5EBF" w14:textId="77777777" w:rsidR="0011791D" w:rsidRDefault="00855B50">
      <w:pPr>
        <w:pStyle w:val="ListBullet"/>
        <w:numPr>
          <w:ilvl w:val="0"/>
          <w:numId w:val="3"/>
        </w:numPr>
      </w:pPr>
      <w:r>
        <w:lastRenderedPageBreak/>
        <w:t>Excellent troubleshooting skills</w:t>
      </w:r>
    </w:p>
    <w:p w14:paraId="2372CE22" w14:textId="77777777" w:rsidR="0011791D" w:rsidRDefault="00855B50">
      <w:pPr>
        <w:pStyle w:val="ListBullet"/>
        <w:numPr>
          <w:ilvl w:val="0"/>
          <w:numId w:val="3"/>
        </w:numPr>
      </w:pPr>
      <w:r>
        <w:rPr>
          <w:spacing w:val="1"/>
        </w:rPr>
        <w:t xml:space="preserve">Demonstrable </w:t>
      </w:r>
      <w:r>
        <w:rPr>
          <w:spacing w:val="-1"/>
        </w:rPr>
        <w:t xml:space="preserve">understanding and experience working with standard bioinformatics tools such as </w:t>
      </w:r>
      <w:proofErr w:type="spellStart"/>
      <w:r>
        <w:t>samtools</w:t>
      </w:r>
      <w:proofErr w:type="spellEnd"/>
      <w:r>
        <w:t xml:space="preserve">, bwa, </w:t>
      </w:r>
      <w:proofErr w:type="spellStart"/>
      <w:r>
        <w:t>bedtools</w:t>
      </w:r>
      <w:proofErr w:type="spellEnd"/>
      <w:r>
        <w:t xml:space="preserve">, blast, </w:t>
      </w:r>
      <w:proofErr w:type="spellStart"/>
      <w:r>
        <w:t>clustalo</w:t>
      </w:r>
      <w:proofErr w:type="spellEnd"/>
      <w:r>
        <w:t xml:space="preserve"> and EMBOSS, using large genome datasets </w:t>
      </w:r>
      <w:r>
        <w:rPr>
          <w:spacing w:val="-1"/>
        </w:rPr>
        <w:t>including</w:t>
      </w:r>
      <w:r>
        <w:rPr>
          <w:spacing w:val="-9"/>
        </w:rPr>
        <w:t xml:space="preserve"> </w:t>
      </w:r>
      <w:r>
        <w:t>capacity</w:t>
      </w:r>
      <w:r>
        <w:rPr>
          <w:spacing w:val="-10"/>
        </w:rPr>
        <w:t xml:space="preserve"> </w:t>
      </w:r>
      <w:r>
        <w:rPr>
          <w:spacing w:val="1"/>
        </w:rPr>
        <w:t>to</w:t>
      </w:r>
      <w:r>
        <w:rPr>
          <w:spacing w:val="-8"/>
        </w:rPr>
        <w:t xml:space="preserve"> </w:t>
      </w:r>
      <w:r>
        <w:t>manage</w:t>
      </w:r>
      <w:r>
        <w:rPr>
          <w:spacing w:val="-8"/>
        </w:rPr>
        <w:t xml:space="preserve"> </w:t>
      </w:r>
      <w:r>
        <w:t>and</w:t>
      </w:r>
      <w:r>
        <w:rPr>
          <w:spacing w:val="-9"/>
        </w:rPr>
        <w:t xml:space="preserve"> </w:t>
      </w:r>
      <w:r>
        <w:t>troubleshoot</w:t>
      </w:r>
      <w:r>
        <w:rPr>
          <w:spacing w:val="-8"/>
        </w:rPr>
        <w:t xml:space="preserve"> </w:t>
      </w:r>
      <w:r>
        <w:rPr>
          <w:spacing w:val="1"/>
        </w:rPr>
        <w:t>on</w:t>
      </w:r>
      <w:r>
        <w:rPr>
          <w:spacing w:val="-8"/>
        </w:rPr>
        <w:t xml:space="preserve"> </w:t>
      </w:r>
      <w:r>
        <w:t>multiple</w:t>
      </w:r>
      <w:r>
        <w:rPr>
          <w:spacing w:val="-8"/>
        </w:rPr>
        <w:t xml:space="preserve"> </w:t>
      </w:r>
      <w:r>
        <w:t>platforms</w:t>
      </w:r>
    </w:p>
    <w:p w14:paraId="065AB4DD" w14:textId="77777777" w:rsidR="0011791D" w:rsidRDefault="00855B50">
      <w:pPr>
        <w:pStyle w:val="ListBullet"/>
        <w:numPr>
          <w:ilvl w:val="0"/>
          <w:numId w:val="3"/>
        </w:numPr>
      </w:pPr>
      <w:r>
        <w:t>Demonstrated leadership and teamwork skills and ability to manage workgroups or projects</w:t>
      </w:r>
      <w:r>
        <w:rPr>
          <w:spacing w:val="-1"/>
        </w:rPr>
        <w:t xml:space="preserve"> </w:t>
      </w:r>
    </w:p>
    <w:p w14:paraId="60D932D6" w14:textId="77777777" w:rsidR="0011791D" w:rsidRDefault="00855B50">
      <w:pPr>
        <w:pStyle w:val="ListBullet"/>
        <w:numPr>
          <w:ilvl w:val="0"/>
          <w:numId w:val="3"/>
        </w:numPr>
      </w:pPr>
      <w:r>
        <w:t xml:space="preserve">Strong interpersonal and written and oral communication skills and demonstrated ability to interact with and work effectively as part of a team. Ability to engage with government, industry or other professional colleagues. </w:t>
      </w:r>
    </w:p>
    <w:p w14:paraId="0780308F" w14:textId="77777777" w:rsidR="0011791D" w:rsidRDefault="00855B50">
      <w:pPr>
        <w:pStyle w:val="ListBullet"/>
        <w:numPr>
          <w:ilvl w:val="0"/>
          <w:numId w:val="3"/>
        </w:numPr>
      </w:pPr>
      <w:r>
        <w:rPr>
          <w:spacing w:val="-1"/>
        </w:rPr>
        <w:t>Superior</w:t>
      </w:r>
      <w:r>
        <w:rPr>
          <w:spacing w:val="45"/>
        </w:rPr>
        <w:t xml:space="preserve"> </w:t>
      </w:r>
      <w:r>
        <w:t>time</w:t>
      </w:r>
      <w:r>
        <w:rPr>
          <w:spacing w:val="43"/>
        </w:rPr>
        <w:t xml:space="preserve"> </w:t>
      </w:r>
      <w:r>
        <w:t>management,</w:t>
      </w:r>
      <w:r>
        <w:rPr>
          <w:spacing w:val="45"/>
        </w:rPr>
        <w:t xml:space="preserve"> </w:t>
      </w:r>
      <w:r>
        <w:t>analytical</w:t>
      </w:r>
      <w:r>
        <w:rPr>
          <w:spacing w:val="45"/>
        </w:rPr>
        <w:t xml:space="preserve"> </w:t>
      </w:r>
      <w:r>
        <w:t>and</w:t>
      </w:r>
      <w:r>
        <w:rPr>
          <w:spacing w:val="45"/>
        </w:rPr>
        <w:t xml:space="preserve"> </w:t>
      </w:r>
      <w:r>
        <w:t>organisational</w:t>
      </w:r>
      <w:r>
        <w:rPr>
          <w:spacing w:val="44"/>
        </w:rPr>
        <w:t xml:space="preserve"> </w:t>
      </w:r>
      <w:r>
        <w:t>skills</w:t>
      </w:r>
      <w:r>
        <w:rPr>
          <w:spacing w:val="47"/>
        </w:rPr>
        <w:t xml:space="preserve"> </w:t>
      </w:r>
      <w:r>
        <w:t>allowing</w:t>
      </w:r>
      <w:r>
        <w:rPr>
          <w:spacing w:val="45"/>
        </w:rPr>
        <w:t xml:space="preserve"> </w:t>
      </w:r>
      <w:r>
        <w:rPr>
          <w:spacing w:val="-1"/>
        </w:rPr>
        <w:t>prioritisation,</w:t>
      </w:r>
      <w:r>
        <w:rPr>
          <w:spacing w:val="40"/>
          <w:w w:val="99"/>
        </w:rPr>
        <w:t xml:space="preserve"> </w:t>
      </w:r>
      <w:r>
        <w:rPr>
          <w:spacing w:val="-1"/>
        </w:rPr>
        <w:t>problem</w:t>
      </w:r>
      <w:r>
        <w:rPr>
          <w:spacing w:val="-5"/>
        </w:rPr>
        <w:t xml:space="preserve"> </w:t>
      </w:r>
      <w:r>
        <w:rPr>
          <w:spacing w:val="-1"/>
        </w:rPr>
        <w:t>solving</w:t>
      </w:r>
      <w:r>
        <w:rPr>
          <w:spacing w:val="-7"/>
        </w:rPr>
        <w:t xml:space="preserve"> </w:t>
      </w:r>
      <w:r>
        <w:t>and</w:t>
      </w:r>
      <w:r>
        <w:rPr>
          <w:spacing w:val="-8"/>
        </w:rPr>
        <w:t xml:space="preserve"> </w:t>
      </w:r>
      <w:r>
        <w:t>timely,</w:t>
      </w:r>
      <w:r>
        <w:rPr>
          <w:spacing w:val="-5"/>
        </w:rPr>
        <w:t xml:space="preserve"> </w:t>
      </w:r>
      <w:r>
        <w:rPr>
          <w:spacing w:val="-1"/>
        </w:rPr>
        <w:t>accurate</w:t>
      </w:r>
      <w:r>
        <w:rPr>
          <w:spacing w:val="-8"/>
        </w:rPr>
        <w:t xml:space="preserve"> </w:t>
      </w:r>
      <w:r>
        <w:t>completion</w:t>
      </w:r>
      <w:r>
        <w:rPr>
          <w:spacing w:val="-7"/>
        </w:rPr>
        <w:t xml:space="preserve"> </w:t>
      </w:r>
      <w:r>
        <w:rPr>
          <w:spacing w:val="-1"/>
        </w:rPr>
        <w:t>of</w:t>
      </w:r>
      <w:r>
        <w:rPr>
          <w:spacing w:val="-6"/>
        </w:rPr>
        <w:t xml:space="preserve"> </w:t>
      </w:r>
      <w:r>
        <w:t>tasks</w:t>
      </w:r>
    </w:p>
    <w:p w14:paraId="5BD3983E" w14:textId="77777777" w:rsidR="0011791D" w:rsidRDefault="00855B50">
      <w:pPr>
        <w:pStyle w:val="ListBullet"/>
        <w:numPr>
          <w:ilvl w:val="0"/>
          <w:numId w:val="3"/>
        </w:numPr>
      </w:pPr>
      <w:r>
        <w:t>Capability</w:t>
      </w:r>
      <w:r>
        <w:rPr>
          <w:spacing w:val="1"/>
        </w:rPr>
        <w:t xml:space="preserve"> </w:t>
      </w:r>
      <w:r>
        <w:rPr>
          <w:spacing w:val="-1"/>
        </w:rPr>
        <w:t>to</w:t>
      </w:r>
      <w:r>
        <w:rPr>
          <w:spacing w:val="5"/>
        </w:rPr>
        <w:t xml:space="preserve"> </w:t>
      </w:r>
      <w:r>
        <w:rPr>
          <w:spacing w:val="-1"/>
        </w:rPr>
        <w:t>record</w:t>
      </w:r>
      <w:r>
        <w:rPr>
          <w:spacing w:val="5"/>
        </w:rPr>
        <w:t xml:space="preserve"> </w:t>
      </w:r>
      <w:r>
        <w:t>scientific</w:t>
      </w:r>
      <w:r>
        <w:rPr>
          <w:spacing w:val="6"/>
        </w:rPr>
        <w:t xml:space="preserve"> </w:t>
      </w:r>
      <w:r>
        <w:rPr>
          <w:spacing w:val="-1"/>
        </w:rPr>
        <w:t>data</w:t>
      </w:r>
      <w:r>
        <w:rPr>
          <w:spacing w:val="5"/>
        </w:rPr>
        <w:t xml:space="preserve"> </w:t>
      </w:r>
      <w:r>
        <w:t>and</w:t>
      </w:r>
      <w:r>
        <w:rPr>
          <w:spacing w:val="5"/>
        </w:rPr>
        <w:t xml:space="preserve"> </w:t>
      </w:r>
      <w:r>
        <w:rPr>
          <w:spacing w:val="-1"/>
        </w:rPr>
        <w:t>results</w:t>
      </w:r>
      <w:r>
        <w:rPr>
          <w:spacing w:val="6"/>
        </w:rPr>
        <w:t xml:space="preserve"> </w:t>
      </w:r>
      <w:r>
        <w:rPr>
          <w:spacing w:val="-1"/>
        </w:rPr>
        <w:t>of</w:t>
      </w:r>
      <w:r>
        <w:rPr>
          <w:spacing w:val="7"/>
        </w:rPr>
        <w:t xml:space="preserve"> </w:t>
      </w:r>
      <w:r>
        <w:rPr>
          <w:spacing w:val="-1"/>
        </w:rPr>
        <w:t>analyses</w:t>
      </w:r>
      <w:r>
        <w:rPr>
          <w:spacing w:val="6"/>
        </w:rPr>
        <w:t xml:space="preserve"> </w:t>
      </w:r>
      <w:r>
        <w:rPr>
          <w:spacing w:val="-1"/>
        </w:rPr>
        <w:t>electronic</w:t>
      </w:r>
      <w:r>
        <w:rPr>
          <w:spacing w:val="-9"/>
        </w:rPr>
        <w:t xml:space="preserve"> </w:t>
      </w:r>
      <w:r>
        <w:t>forms</w:t>
      </w:r>
    </w:p>
    <w:p w14:paraId="5F846880" w14:textId="77777777" w:rsidR="0011791D" w:rsidRDefault="00855B50">
      <w:pPr>
        <w:pStyle w:val="ListBullet"/>
        <w:numPr>
          <w:ilvl w:val="0"/>
          <w:numId w:val="3"/>
        </w:numPr>
      </w:pPr>
      <w:r>
        <w:t>Ability to adapt to periodic pressures of the workplace, where large numbers of analyses need to be performed rapidly with a high degree of analytical precision</w:t>
      </w:r>
    </w:p>
    <w:p w14:paraId="75A9D881" w14:textId="77777777" w:rsidR="0011791D" w:rsidRDefault="00855B50">
      <w:pPr>
        <w:pStyle w:val="ListBullet"/>
        <w:numPr>
          <w:ilvl w:val="0"/>
          <w:numId w:val="3"/>
        </w:numPr>
      </w:pPr>
      <w:r>
        <w:t>An understanding of the need to commit to a workplace culture that is cognisant of the on-going requirements of third-party audits. Commitment to observe MDU PHL’s: confidentiality, safety and security requirements, procedures, and ethos</w:t>
      </w:r>
    </w:p>
    <w:p w14:paraId="0FE3BD2F" w14:textId="77777777" w:rsidR="0011791D" w:rsidRDefault="00855B50">
      <w:pPr>
        <w:pStyle w:val="ListBullet"/>
        <w:numPr>
          <w:ilvl w:val="0"/>
          <w:numId w:val="3"/>
        </w:numPr>
      </w:pPr>
      <w:r>
        <w:t>Demonstrate a flexible attitude to work, as tasks vary</w:t>
      </w:r>
    </w:p>
    <w:p w14:paraId="2EDD7257" w14:textId="77777777" w:rsidR="0011791D" w:rsidRDefault="00855B50" w:rsidP="007E0992">
      <w:pPr>
        <w:pStyle w:val="Heading2"/>
        <w:numPr>
          <w:ilvl w:val="1"/>
          <w:numId w:val="2"/>
        </w:numPr>
      </w:pPr>
      <w:r>
        <w:t>Desirable</w:t>
      </w:r>
    </w:p>
    <w:p w14:paraId="0558751E" w14:textId="4EE1D655" w:rsidR="006365B6" w:rsidRDefault="006365B6" w:rsidP="006365B6">
      <w:pPr>
        <w:pStyle w:val="ListBullet"/>
        <w:numPr>
          <w:ilvl w:val="0"/>
          <w:numId w:val="3"/>
        </w:numPr>
      </w:pPr>
      <w:r>
        <w:t>Track record contributing to peer-reviewed publications and oral presentations.</w:t>
      </w:r>
    </w:p>
    <w:p w14:paraId="00784B47" w14:textId="43253469" w:rsidR="0011791D" w:rsidRDefault="00855B50">
      <w:pPr>
        <w:pStyle w:val="ListBullet"/>
        <w:numPr>
          <w:ilvl w:val="0"/>
          <w:numId w:val="3"/>
        </w:numPr>
      </w:pPr>
      <w:r>
        <w:t xml:space="preserve">Experience working with Next Generation Sequencing data and </w:t>
      </w:r>
      <w:proofErr w:type="spellStart"/>
      <w:r>
        <w:t>phylogenomics</w:t>
      </w:r>
      <w:proofErr w:type="spellEnd"/>
      <w:r>
        <w:t>, preferably in a public health setting</w:t>
      </w:r>
    </w:p>
    <w:p w14:paraId="21EC83D7" w14:textId="77777777" w:rsidR="0011791D" w:rsidRDefault="00855B50">
      <w:pPr>
        <w:pStyle w:val="ListBullet"/>
        <w:numPr>
          <w:ilvl w:val="0"/>
          <w:numId w:val="3"/>
        </w:numPr>
      </w:pPr>
      <w:r>
        <w:t>Experience working with Nanopore data</w:t>
      </w:r>
    </w:p>
    <w:p w14:paraId="098A868F" w14:textId="77777777" w:rsidR="0011791D" w:rsidRDefault="00855B50">
      <w:pPr>
        <w:pStyle w:val="ListBullet"/>
        <w:numPr>
          <w:ilvl w:val="0"/>
          <w:numId w:val="3"/>
        </w:numPr>
      </w:pPr>
      <w:r>
        <w:t>Experience with workflow engines</w:t>
      </w:r>
      <w:proofErr w:type="gramStart"/>
      <w:r>
        <w:t xml:space="preserve">, in particular, </w:t>
      </w:r>
      <w:proofErr w:type="spellStart"/>
      <w:r>
        <w:t>Snakemake</w:t>
      </w:r>
      <w:proofErr w:type="spellEnd"/>
      <w:proofErr w:type="gramEnd"/>
      <w:r>
        <w:t xml:space="preserve"> or </w:t>
      </w:r>
      <w:proofErr w:type="spellStart"/>
      <w:r>
        <w:t>Nextflow</w:t>
      </w:r>
      <w:proofErr w:type="spellEnd"/>
    </w:p>
    <w:p w14:paraId="2258C473" w14:textId="77777777" w:rsidR="0011791D" w:rsidRDefault="00855B50">
      <w:pPr>
        <w:pStyle w:val="ListBullet"/>
        <w:numPr>
          <w:ilvl w:val="0"/>
          <w:numId w:val="3"/>
        </w:numPr>
      </w:pPr>
      <w:r>
        <w:t>Experience with container technologies</w:t>
      </w:r>
      <w:proofErr w:type="gramStart"/>
      <w:r>
        <w:t>, in particular, Singularity</w:t>
      </w:r>
      <w:proofErr w:type="gramEnd"/>
    </w:p>
    <w:p w14:paraId="42753D37" w14:textId="77777777" w:rsidR="0011791D" w:rsidRDefault="00855B50">
      <w:pPr>
        <w:pStyle w:val="ListBullet"/>
        <w:numPr>
          <w:ilvl w:val="0"/>
          <w:numId w:val="3"/>
        </w:numPr>
      </w:pPr>
      <w:r>
        <w:t>Strong analytical and statistical skills</w:t>
      </w:r>
    </w:p>
    <w:p w14:paraId="26BA497A" w14:textId="77777777" w:rsidR="0011791D" w:rsidRDefault="00855B50">
      <w:pPr>
        <w:pStyle w:val="ListBullet"/>
        <w:numPr>
          <w:ilvl w:val="0"/>
          <w:numId w:val="3"/>
        </w:numPr>
      </w:pPr>
      <w:r>
        <w:t>A strong interest in microbial genomics as applied to public health</w:t>
      </w:r>
    </w:p>
    <w:p w14:paraId="53A18B0F" w14:textId="77777777" w:rsidR="0011791D" w:rsidRDefault="00855B50">
      <w:pPr>
        <w:pStyle w:val="ListBullet"/>
        <w:numPr>
          <w:ilvl w:val="0"/>
          <w:numId w:val="3"/>
        </w:numPr>
      </w:pPr>
      <w:r>
        <w:t xml:space="preserve">Relevant knowledge of microbiological standards including NATA, DA (Quarantine Accredited Premises), </w:t>
      </w:r>
      <w:proofErr w:type="spellStart"/>
      <w:r>
        <w:t>DoH</w:t>
      </w:r>
      <w:proofErr w:type="spellEnd"/>
    </w:p>
    <w:p w14:paraId="7760B20F" w14:textId="77777777" w:rsidR="0011791D" w:rsidRDefault="00855B50">
      <w:pPr>
        <w:pStyle w:val="ListBullet"/>
        <w:numPr>
          <w:ilvl w:val="0"/>
          <w:numId w:val="3"/>
        </w:numPr>
      </w:pPr>
      <w:r>
        <w:t>Ability to design and validate bioinformatics pipelines, demonstrating initiative and the ability to work in a self-directed manner</w:t>
      </w:r>
    </w:p>
    <w:p w14:paraId="20EF0B84" w14:textId="77777777" w:rsidR="0011791D" w:rsidRDefault="00855B50" w:rsidP="007E0992">
      <w:pPr>
        <w:pStyle w:val="Heading2"/>
        <w:numPr>
          <w:ilvl w:val="1"/>
          <w:numId w:val="2"/>
        </w:numPr>
      </w:pPr>
      <w:r>
        <w:t>Special Requirements</w:t>
      </w:r>
    </w:p>
    <w:p w14:paraId="0D998A8B" w14:textId="77777777" w:rsidR="0011791D" w:rsidRDefault="00855B50">
      <w:pPr>
        <w:pStyle w:val="ListBullet"/>
        <w:numPr>
          <w:ilvl w:val="0"/>
          <w:numId w:val="3"/>
        </w:numPr>
        <w:tabs>
          <w:tab w:val="clear" w:pos="720"/>
          <w:tab w:val="left" w:pos="540"/>
        </w:tabs>
        <w:ind w:left="540" w:firstLine="0"/>
      </w:pPr>
      <w:r>
        <w:t>Sign and abide by a confidentiality agreement</w:t>
      </w:r>
    </w:p>
    <w:p w14:paraId="5664A3D4" w14:textId="77777777" w:rsidR="0011791D" w:rsidRDefault="00855B50">
      <w:pPr>
        <w:pStyle w:val="ListBullet"/>
        <w:numPr>
          <w:ilvl w:val="0"/>
          <w:numId w:val="3"/>
        </w:numPr>
        <w:tabs>
          <w:tab w:val="clear" w:pos="720"/>
          <w:tab w:val="left" w:pos="540"/>
        </w:tabs>
        <w:ind w:left="540" w:firstLine="0"/>
      </w:pPr>
      <w:r>
        <w:t>Flexibility in work patterns in the face of pressing needs and requirement to perform out of hours work when the need arises</w:t>
      </w:r>
    </w:p>
    <w:p w14:paraId="6DEDD1BB" w14:textId="77777777" w:rsidR="0011791D" w:rsidRDefault="00855B50">
      <w:pPr>
        <w:pStyle w:val="ListBullet"/>
        <w:numPr>
          <w:ilvl w:val="0"/>
          <w:numId w:val="3"/>
        </w:numPr>
        <w:tabs>
          <w:tab w:val="clear" w:pos="720"/>
          <w:tab w:val="left" w:pos="540"/>
        </w:tabs>
        <w:ind w:left="540" w:firstLine="0"/>
      </w:pPr>
      <w:r>
        <w:t>Short-term interstate or international travel may be required</w:t>
      </w:r>
    </w:p>
    <w:p w14:paraId="5793EB58" w14:textId="77777777" w:rsidR="0011791D" w:rsidRDefault="00855B50">
      <w:pPr>
        <w:pStyle w:val="ListBullet"/>
        <w:numPr>
          <w:ilvl w:val="0"/>
          <w:numId w:val="3"/>
        </w:numPr>
        <w:tabs>
          <w:tab w:val="clear" w:pos="720"/>
          <w:tab w:val="left" w:pos="540"/>
        </w:tabs>
        <w:ind w:left="540" w:firstLine="0"/>
      </w:pPr>
      <w:r>
        <w:t>Undergo a police and security check as part of the condition of employment with the University of Melbourne</w:t>
      </w:r>
    </w:p>
    <w:p w14:paraId="3F562EF9" w14:textId="7B545ED7" w:rsidR="0011791D" w:rsidRDefault="00855B50" w:rsidP="00C75BB3">
      <w:pPr>
        <w:pStyle w:val="ListBullet"/>
        <w:numPr>
          <w:ilvl w:val="0"/>
          <w:numId w:val="3"/>
        </w:numPr>
        <w:tabs>
          <w:tab w:val="clear" w:pos="720"/>
          <w:tab w:val="left" w:pos="540"/>
        </w:tabs>
        <w:ind w:left="540" w:firstLine="0"/>
      </w:pPr>
      <w:r>
        <w:t>Vaccination against relevant infectious diseases is recommended and provided</w:t>
      </w:r>
    </w:p>
    <w:p w14:paraId="6854E64A" w14:textId="77777777" w:rsidR="0011791D" w:rsidRDefault="00855B50" w:rsidP="007E0992">
      <w:pPr>
        <w:pStyle w:val="Heading1"/>
        <w:numPr>
          <w:ilvl w:val="0"/>
          <w:numId w:val="2"/>
        </w:numPr>
      </w:pPr>
      <w:r>
        <w:lastRenderedPageBreak/>
        <w:t>Equal Opportunity, Diversity and Inclusion</w:t>
      </w:r>
    </w:p>
    <w:p w14:paraId="1C138AF0" w14:textId="77777777" w:rsidR="0011791D" w:rsidRDefault="00855B50" w:rsidP="007E0992">
      <w:pPr>
        <w:pStyle w:val="BodyTextIndent"/>
      </w:pPr>
      <w:r>
        <w:t xml:space="preserve">The University is an equal opportunity employer and is committed to providing a workplace free from all forms of unlawful discrimination, harassment, bullying, vilification and victimisation. The University makes decisions on employment, </w:t>
      </w:r>
      <w:proofErr w:type="gramStart"/>
      <w:r>
        <w:t>promotion</w:t>
      </w:r>
      <w:proofErr w:type="gramEnd"/>
      <w:r>
        <w:t xml:space="preserve"> and reward on the basis of merit.</w:t>
      </w:r>
    </w:p>
    <w:p w14:paraId="34C5DBCD" w14:textId="77777777" w:rsidR="0011791D" w:rsidRDefault="00855B50" w:rsidP="007E0992">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258E0D4F" w14:textId="77777777" w:rsidR="0011791D" w:rsidRDefault="00855B50" w:rsidP="007E0992">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55A14E43" w14:textId="77777777" w:rsidR="0011791D" w:rsidRDefault="00855B50" w:rsidP="007E0992">
      <w:pPr>
        <w:pStyle w:val="Heading1"/>
        <w:numPr>
          <w:ilvl w:val="0"/>
          <w:numId w:val="2"/>
        </w:numPr>
      </w:pPr>
      <w:r>
        <w:t xml:space="preserve">Occupational Health and Safety (OHS) </w:t>
      </w:r>
    </w:p>
    <w:p w14:paraId="284453E2" w14:textId="77777777" w:rsidR="0011791D" w:rsidRDefault="00855B50" w:rsidP="007E0992">
      <w:pPr>
        <w:pStyle w:val="BodyTextIndent"/>
      </w:pPr>
      <w:r>
        <w:t xml:space="preserve">All staff are required to take reasonable care for their own health and safety and that of other personnel who may be affected by their conduct.  </w:t>
      </w:r>
    </w:p>
    <w:p w14:paraId="6052BC06" w14:textId="77777777" w:rsidR="0011791D" w:rsidRDefault="00855B50" w:rsidP="007E0992">
      <w:pPr>
        <w:pStyle w:val="BodyTextIndent"/>
      </w:pPr>
      <w:r>
        <w:t xml:space="preserve">OHS responsibilities applicable to positions are published at: </w:t>
      </w:r>
    </w:p>
    <w:p w14:paraId="6104117D" w14:textId="77777777" w:rsidR="0011791D" w:rsidRDefault="00207819" w:rsidP="007E0992">
      <w:pPr>
        <w:pStyle w:val="BodyTextIndent"/>
        <w:rPr>
          <w:rFonts w:cs="Arial"/>
          <w:color w:val="336699"/>
        </w:rPr>
      </w:pPr>
      <w:hyperlink r:id="rId12">
        <w:r w:rsidR="00855B50">
          <w:rPr>
            <w:rStyle w:val="Hyperlink"/>
            <w:rFonts w:cs="Arial"/>
          </w:rPr>
          <w:t>http://safety.unimelb.edu.au/topics/responsibilities/</w:t>
        </w:r>
      </w:hyperlink>
    </w:p>
    <w:p w14:paraId="741FC40B" w14:textId="77777777" w:rsidR="0011791D" w:rsidRDefault="00855B50" w:rsidP="007E0992">
      <w:pPr>
        <w:pStyle w:val="BodyTextIndent"/>
      </w:pPr>
      <w:r>
        <w:t>These include general staff responsibilities and those additional responsibilities that apply for Managers and Supervisors and other Personnel.</w:t>
      </w:r>
    </w:p>
    <w:p w14:paraId="01B0DFD2" w14:textId="77777777" w:rsidR="0011791D" w:rsidRDefault="00855B50" w:rsidP="007E0992">
      <w:pPr>
        <w:pStyle w:val="Heading1"/>
        <w:numPr>
          <w:ilvl w:val="0"/>
          <w:numId w:val="2"/>
        </w:numPr>
      </w:pPr>
      <w:r>
        <w:t>Other Information</w:t>
      </w:r>
    </w:p>
    <w:p w14:paraId="79873EA5" w14:textId="77777777" w:rsidR="0011791D" w:rsidRDefault="00855B50" w:rsidP="007E0992">
      <w:pPr>
        <w:pStyle w:val="Heading2"/>
        <w:numPr>
          <w:ilvl w:val="1"/>
          <w:numId w:val="2"/>
        </w:numPr>
      </w:pPr>
      <w:r>
        <w:t>DePartment of Microbiology &amp; Immunology</w:t>
      </w:r>
    </w:p>
    <w:p w14:paraId="547B4B76" w14:textId="77777777" w:rsidR="0011791D" w:rsidRDefault="00855B50" w:rsidP="007E0992">
      <w:pPr>
        <w:pStyle w:val="BodyTextIndent"/>
      </w:pPr>
      <w:r>
        <w:t xml:space="preserve">The Department of Microbiology &amp; Immunology is one of the departments within the School of Biomedical Sciences in the Faculty of Medicine, Dentistry and Health Sciences. Further information is available at </w:t>
      </w:r>
      <w:hyperlink r:id="rId13">
        <w:r>
          <w:t>http://www.microbiol.unimelb.edu.au/</w:t>
        </w:r>
      </w:hyperlink>
      <w:r>
        <w:t xml:space="preserve"> and </w:t>
      </w:r>
      <w:hyperlink r:id="rId14">
        <w:r>
          <w:t>http://bsac.unimelb.edu.au/</w:t>
        </w:r>
      </w:hyperlink>
      <w:r>
        <w:t>.</w:t>
      </w:r>
    </w:p>
    <w:p w14:paraId="190AC0AA" w14:textId="77777777" w:rsidR="0011791D" w:rsidRDefault="00855B50" w:rsidP="007E0992">
      <w:pPr>
        <w:pStyle w:val="Heading2"/>
        <w:numPr>
          <w:ilvl w:val="1"/>
          <w:numId w:val="2"/>
        </w:numPr>
      </w:pPr>
      <w:r>
        <w:t>The Microbiological Diagnostic Unit Public Health Laboratory</w:t>
      </w:r>
    </w:p>
    <w:p w14:paraId="4C8E0895" w14:textId="77777777" w:rsidR="0011791D" w:rsidRDefault="00855B50" w:rsidP="007E0992">
      <w:pPr>
        <w:pStyle w:val="BodyTextIndent"/>
      </w:pPr>
      <w:r>
        <w:t>The Microbiological Diagnostic Unit (MDU PHL) is a public health laboratory for the Department of Health, Victoria situated within the Department of Microbiology and Immunology at the University of Melbourne. The MDU has been established for over 100 years on External State Government funding.</w:t>
      </w:r>
    </w:p>
    <w:p w14:paraId="7FEC1943" w14:textId="77777777" w:rsidR="0011791D" w:rsidRDefault="00855B50" w:rsidP="007E0992">
      <w:pPr>
        <w:pStyle w:val="BodyTextIndent"/>
      </w:pPr>
      <w:r>
        <w:lastRenderedPageBreak/>
        <w:t>The MDU PHL is concerned with provision of services for the laboratory diagnosis of diseases of public health importance, the application of typing methods, use of computer-based data collection systems for epidemiological purposes, and provision of expert opinion. In addition, the Unit undertakes the microbiological examination of foods and water for compliance with regulatory and voluntary codes and standards. MDU PHL is NATA accredited for Biological testing, including Forensic Operations, NATA/RCPA accredited for Medical testing and performs selected Veterinary testing.</w:t>
      </w:r>
    </w:p>
    <w:p w14:paraId="1F921714" w14:textId="77777777" w:rsidR="0011791D" w:rsidRDefault="00855B50" w:rsidP="007E0992">
      <w:pPr>
        <w:pStyle w:val="Heading2"/>
        <w:numPr>
          <w:ilvl w:val="1"/>
          <w:numId w:val="2"/>
        </w:numPr>
      </w:pPr>
      <w:r>
        <w:t>THE PETER DOHERTY INSTITUTE FOR INFECTION AND IMMUNITY</w:t>
      </w:r>
    </w:p>
    <w:p w14:paraId="428C17EF" w14:textId="77777777" w:rsidR="0011791D" w:rsidRDefault="00855B50" w:rsidP="007E0992">
      <w:pPr>
        <w:pStyle w:val="BodyTextIndent"/>
      </w:pPr>
      <w:r>
        <w:t>The Doherty Institute is a world-class institute combining research in infectious disease and immunity with teaching excellence, reference laboratory diagnostic services, epidemiology and clinical services. It is a joint venture between the University of Melbourne and Melbourne Health.</w:t>
      </w:r>
    </w:p>
    <w:p w14:paraId="137EF21C" w14:textId="77777777" w:rsidR="0011791D" w:rsidRDefault="00855B50" w:rsidP="007E0992">
      <w:pPr>
        <w:pStyle w:val="BodyTextIndent"/>
      </w:pPr>
      <w:r>
        <w:t>A new, purpose-built building for the Doherty Institute was completed in early 2014. The members of the Doherty include the Department of Microbiology and Immunology and the Microbiological Diagnostic Unit Public Health Laboratory of the University of Melbourne, the Victorian Nosocomial Infection Surveillance System, The Victorian Infectious Diseases Reference Laboratory, The Victorian Infectious Diseases Service, and The World Health Organisation Collaborating Centre for Reference and Research on Influenza.</w:t>
      </w:r>
    </w:p>
    <w:p w14:paraId="081ADE30" w14:textId="77777777" w:rsidR="0011791D" w:rsidRDefault="00855B50" w:rsidP="007E0992">
      <w:pPr>
        <w:pStyle w:val="BodyTextIndent"/>
        <w:rPr>
          <w:rStyle w:val="Hyperlink"/>
          <w:color w:val="000000" w:themeColor="text1"/>
        </w:rPr>
      </w:pPr>
      <w:r>
        <w:t xml:space="preserve">Further information about the Doherty Institute is available at: </w:t>
      </w:r>
      <w:hyperlink r:id="rId15">
        <w:r>
          <w:rPr>
            <w:rStyle w:val="Hyperlink"/>
            <w:color w:val="000000" w:themeColor="text1"/>
          </w:rPr>
          <w:t>http://www.doherty.unimelb.edu.au</w:t>
        </w:r>
      </w:hyperlink>
    </w:p>
    <w:p w14:paraId="09CA8BE4" w14:textId="77777777" w:rsidR="0011791D" w:rsidRDefault="00855B50" w:rsidP="007E0992">
      <w:pPr>
        <w:pStyle w:val="Heading2"/>
        <w:numPr>
          <w:ilvl w:val="1"/>
          <w:numId w:val="2"/>
        </w:numPr>
      </w:pPr>
      <w:r>
        <w:t>School of biomedical sciences</w:t>
      </w:r>
    </w:p>
    <w:p w14:paraId="3A656300" w14:textId="77777777" w:rsidR="0011791D" w:rsidRDefault="00207819" w:rsidP="007E0992">
      <w:pPr>
        <w:pStyle w:val="BodyTextIndent"/>
        <w:rPr>
          <w:rStyle w:val="Hyperlink"/>
        </w:rPr>
      </w:pPr>
      <w:hyperlink r:id="rId16">
        <w:r w:rsidR="00855B50">
          <w:rPr>
            <w:rStyle w:val="Hyperlink"/>
          </w:rPr>
          <w:t>www.biomedicalsciences.unimelb.edu.au</w:t>
        </w:r>
      </w:hyperlink>
    </w:p>
    <w:p w14:paraId="3722A4A1" w14:textId="77777777" w:rsidR="00EE3144" w:rsidRDefault="00EE3144" w:rsidP="00EE3144">
      <w:pPr>
        <w:pStyle w:val="BodyTextIndent"/>
      </w:pPr>
      <w:r>
        <w:t>The School of Biomedical Sciences is one of the most prominent and diverse Schools in the Faculty of Medicine, Dentistry &amp; Health Sciences and is comprised of three Departments - Anatomy and Physiology, Biochemistry and Pharmacology, and Microbiology and Immunology.</w:t>
      </w:r>
    </w:p>
    <w:p w14:paraId="47129286" w14:textId="77777777" w:rsidR="00EE3144" w:rsidRDefault="00EE3144" w:rsidP="00EE3144">
      <w:pPr>
        <w:pStyle w:val="BodyTextIndent"/>
      </w:pPr>
      <w:r>
        <w:t>The School is situated on the University’s Parkville Campus and is part of the largest biomedical precinct in the southern hemisphere, providing access to world class research facilities for staff and students.</w:t>
      </w:r>
    </w:p>
    <w:p w14:paraId="5E93C12D" w14:textId="2E8BF6F2" w:rsidR="0011791D" w:rsidRDefault="00EE3144" w:rsidP="00EE3144">
      <w:pPr>
        <w:pStyle w:val="BodyTextIndent"/>
        <w:rPr>
          <w:rStyle w:val="Hyperlink"/>
          <w:color w:val="auto"/>
        </w:rPr>
      </w:pPr>
      <w:r>
        <w:t>The School fosters a values-based culture of innovation and creativity to achieve research and teaching excellence.</w:t>
      </w:r>
    </w:p>
    <w:p w14:paraId="6566D4CE" w14:textId="77777777" w:rsidR="0011791D" w:rsidRDefault="00855B50" w:rsidP="007E0992">
      <w:pPr>
        <w:pStyle w:val="Heading2"/>
        <w:numPr>
          <w:ilvl w:val="1"/>
          <w:numId w:val="2"/>
        </w:numPr>
      </w:pPr>
      <w:r>
        <w:t xml:space="preserve">Faculty of Medicine, Dentistry and Health Sciences </w:t>
      </w:r>
    </w:p>
    <w:p w14:paraId="34FECD89" w14:textId="77777777" w:rsidR="0011791D" w:rsidRDefault="00207819">
      <w:pPr>
        <w:pStyle w:val="Default"/>
        <w:spacing w:before="120" w:after="120" w:line="280" w:lineRule="exact"/>
        <w:ind w:left="539"/>
        <w:jc w:val="both"/>
        <w:rPr>
          <w:sz w:val="20"/>
          <w:szCs w:val="20"/>
        </w:rPr>
      </w:pPr>
      <w:hyperlink r:id="rId17">
        <w:r w:rsidR="00855B50">
          <w:rPr>
            <w:rStyle w:val="Hyperlink"/>
            <w:sz w:val="20"/>
            <w:szCs w:val="20"/>
          </w:rPr>
          <w:t>www.mdhs.unimelb.edu.au</w:t>
        </w:r>
      </w:hyperlink>
      <w:r w:rsidR="00855B50">
        <w:rPr>
          <w:sz w:val="20"/>
          <w:szCs w:val="20"/>
        </w:rPr>
        <w:t xml:space="preserve">  </w:t>
      </w:r>
    </w:p>
    <w:p w14:paraId="2E1FCD6C" w14:textId="77777777" w:rsidR="0011791D" w:rsidRDefault="00855B50">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15187B1C" w14:textId="77777777" w:rsidR="0011791D" w:rsidRDefault="00855B50">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67379099" w14:textId="77777777" w:rsidR="0011791D" w:rsidRDefault="00855B50" w:rsidP="007E0992">
      <w:pPr>
        <w:pStyle w:val="BodyTextIndent"/>
        <w:rPr>
          <w:rStyle w:val="Hyperlink"/>
          <w:color w:val="auto"/>
        </w:rPr>
      </w:pPr>
      <w:r>
        <w:lastRenderedPageBreak/>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s="Arial"/>
          <w:color w:val="000000"/>
        </w:rPr>
        <w:t>.</w:t>
      </w:r>
      <w:r>
        <w:t xml:space="preserve"> </w:t>
      </w:r>
    </w:p>
    <w:p w14:paraId="59B33CF5" w14:textId="77777777" w:rsidR="0011791D" w:rsidRDefault="00855B50" w:rsidP="007E0992">
      <w:pPr>
        <w:pStyle w:val="Heading2"/>
        <w:numPr>
          <w:ilvl w:val="1"/>
          <w:numId w:val="2"/>
        </w:numPr>
      </w:pPr>
      <w:r>
        <w:t>The University of Melbourne</w:t>
      </w:r>
    </w:p>
    <w:p w14:paraId="4C367B1D" w14:textId="77777777" w:rsidR="0011791D" w:rsidRDefault="00855B50" w:rsidP="007E0992">
      <w:pPr>
        <w:pStyle w:val="BodyTextIndent"/>
        <w:rPr>
          <w:color w:val="336699"/>
        </w:rPr>
      </w:pPr>
      <w:r>
        <w:t>Established in 1853, the University of Melbourne is a leading international university with a tradition of excel</w:t>
      </w:r>
      <w: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611DE7E4" w14:textId="77777777" w:rsidR="0011791D" w:rsidRDefault="00855B50" w:rsidP="007E0992">
      <w:pPr>
        <w:pStyle w:val="BodyTextIndent"/>
      </w:pPr>
      <w:r>
        <w:t xml:space="preserve">The University employs people of outstanding calibre and offers a unique environment where staff are valued and rewarded. </w:t>
      </w:r>
    </w:p>
    <w:p w14:paraId="5356064B" w14:textId="77777777" w:rsidR="0011791D" w:rsidRDefault="00855B50" w:rsidP="007E0992">
      <w:pPr>
        <w:pStyle w:val="BodyTextIndent"/>
      </w:pPr>
      <w:r>
        <w:t>Further information about working at The University of Melbourne is available at</w:t>
      </w:r>
      <w:r>
        <w:rPr>
          <w:color w:val="336699"/>
        </w:rPr>
        <w:t xml:space="preserve"> </w:t>
      </w:r>
      <w:hyperlink r:id="rId18">
        <w:r>
          <w:rPr>
            <w:rStyle w:val="Hyperlink"/>
          </w:rPr>
          <w:t>http://about.unimelb.edu.au/careers</w:t>
        </w:r>
      </w:hyperlink>
      <w:r>
        <w:t>.</w:t>
      </w:r>
    </w:p>
    <w:p w14:paraId="263C5DBD" w14:textId="77777777" w:rsidR="0011791D" w:rsidRDefault="00855B50" w:rsidP="007E0992">
      <w:pPr>
        <w:pStyle w:val="Heading2"/>
        <w:numPr>
          <w:ilvl w:val="1"/>
          <w:numId w:val="2"/>
        </w:numPr>
      </w:pPr>
      <w:r>
        <w:t>Growing Esteem, the Melbourne Curriculum and Research at melbourne: Ensuring excellence and impact to 2025</w:t>
      </w:r>
    </w:p>
    <w:p w14:paraId="74E4E41D" w14:textId="77777777" w:rsidR="0011791D" w:rsidRDefault="00855B50" w:rsidP="007E0992">
      <w:pPr>
        <w:pStyle w:val="BodyTextIndent"/>
      </w:pPr>
      <w:r>
        <w:t xml:space="preserve">Growing Esteem describes Melbourne's strategy to achieve its aspiration to be a public-spirited and </w:t>
      </w:r>
      <w:proofErr w:type="gramStart"/>
      <w:r>
        <w:t>internationally-engaged</w:t>
      </w:r>
      <w:proofErr w:type="gramEnd"/>
      <w:r>
        <w:t xml:space="preserve"> institution, highly regarded for making distinctive contributions to society in research and research training, learning and teaching, and engagement. </w:t>
      </w:r>
      <w:hyperlink r:id="rId19">
        <w:r>
          <w:rPr>
            <w:rStyle w:val="Hyperlink"/>
          </w:rPr>
          <w:t>http://about.unimelb.edu.au/strategy-and-leadership</w:t>
        </w:r>
      </w:hyperlink>
    </w:p>
    <w:p w14:paraId="0C101F2E" w14:textId="77777777" w:rsidR="0011791D" w:rsidRDefault="00855B50" w:rsidP="007E0992">
      <w:pPr>
        <w:pStyle w:val="BodyTextIndent"/>
      </w:pPr>
      <w: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6188D7E3" w14:textId="77777777" w:rsidR="0011791D" w:rsidRDefault="00855B50" w:rsidP="007E0992">
      <w:pPr>
        <w:pStyle w:val="BodyTextIndent"/>
      </w:pPr>
      <w:r>
        <w:rPr>
          <w:color w:val="000000"/>
        </w:rPr>
        <w:t xml:space="preserve">The </w:t>
      </w:r>
      <w:r>
        <w:t>University’s global aspirations seek to make significant contributions to major social, economic and environmental challenges. Accordingly, the University’s research strategy</w:t>
      </w:r>
      <w:r>
        <w:rPr>
          <w:i/>
        </w:rPr>
        <w:t xml:space="preserve"> Research at Melbourne: Ensuring Excellence and Impact to 2025</w:t>
      </w:r>
      <w:r>
        <w:t xml:space="preserve"> aspires to a significant advancement in the excellence and impact of its research outputs. </w:t>
      </w:r>
      <w:hyperlink r:id="rId20">
        <w:r>
          <w:rPr>
            <w:rStyle w:val="Hyperlink"/>
            <w:rFonts w:cs="Arial"/>
            <w:szCs w:val="20"/>
          </w:rPr>
          <w:t>http://research.unimelb.edu.au/our-research/research-at-melbourne</w:t>
        </w:r>
      </w:hyperlink>
    </w:p>
    <w:p w14:paraId="59CF17CC" w14:textId="77777777" w:rsidR="0011791D" w:rsidRDefault="00855B50" w:rsidP="007E0992">
      <w:pPr>
        <w:pStyle w:val="BodyTextIndent"/>
      </w:pPr>
      <w:r>
        <w:t xml:space="preserve">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w:t>
      </w:r>
      <w:r>
        <w:lastRenderedPageBreak/>
        <w:t>adopted three grand challenges aspiring to solve some of the most difficult problems facing our world in the next century. These Grand Challenges include:</w:t>
      </w:r>
    </w:p>
    <w:p w14:paraId="78D0E25E" w14:textId="77777777" w:rsidR="0011791D" w:rsidRDefault="00855B50">
      <w:pPr>
        <w:pStyle w:val="ListBullet2"/>
        <w:numPr>
          <w:ilvl w:val="0"/>
          <w:numId w:val="3"/>
        </w:numPr>
        <w:ind w:left="900" w:firstLine="0"/>
      </w:pPr>
      <w:r>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00893A9F" w14:textId="77777777" w:rsidR="0011791D" w:rsidRDefault="00855B50">
      <w:pPr>
        <w:pStyle w:val="ListBullet2"/>
        <w:numPr>
          <w:ilvl w:val="0"/>
          <w:numId w:val="3"/>
        </w:numPr>
        <w:ind w:left="900" w:firstLine="0"/>
      </w:pPr>
      <w:r>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2B9A8CA7" w14:textId="77777777" w:rsidR="0011791D" w:rsidRDefault="00855B50">
      <w:pPr>
        <w:pStyle w:val="ListBullet2"/>
        <w:numPr>
          <w:ilvl w:val="0"/>
          <w:numId w:val="3"/>
        </w:numPr>
        <w:ind w:left="900" w:firstLine="0"/>
      </w:pPr>
      <w:r>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living patterns and behaviours. </w:t>
      </w:r>
    </w:p>
    <w:p w14:paraId="6312A08F" w14:textId="77777777" w:rsidR="0011791D" w:rsidRDefault="00855B50" w:rsidP="007E0992">
      <w:pPr>
        <w:pStyle w:val="BodyTextIndent"/>
      </w:pPr>
      <w:r>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5CA674A3" w14:textId="77777777" w:rsidR="0011791D" w:rsidRDefault="00855B50" w:rsidP="007E0992">
      <w:pPr>
        <w:pStyle w:val="Heading2"/>
        <w:numPr>
          <w:ilvl w:val="1"/>
          <w:numId w:val="2"/>
        </w:numPr>
      </w:pPr>
      <w:r>
        <w:t>Governance</w:t>
      </w:r>
    </w:p>
    <w:p w14:paraId="78D57BE9" w14:textId="77777777" w:rsidR="0011791D" w:rsidRDefault="00855B50" w:rsidP="007E0992">
      <w:pPr>
        <w:pStyle w:val="BodyTextIndent"/>
      </w:pPr>
      <w:r>
        <w:t>The Vice Chancellor is the Chief Executive Officer of the University and responsible to Council for the good management of the University.</w:t>
      </w:r>
    </w:p>
    <w:p w14:paraId="30FF8CA9" w14:textId="77777777" w:rsidR="0011791D" w:rsidRDefault="00855B50" w:rsidP="007E0992">
      <w:pPr>
        <w:pStyle w:val="BodyTextIndent"/>
        <w:rPr>
          <w:color w:val="336699"/>
        </w:rPr>
      </w:pPr>
      <w:r>
        <w:t xml:space="preserve">Comprehensive information about the University of Melbourne and its governance structure is available at </w:t>
      </w:r>
      <w:hyperlink r:id="rId21">
        <w:r>
          <w:rPr>
            <w:rStyle w:val="Hyperlink"/>
            <w:rFonts w:cs="Arial"/>
            <w:szCs w:val="20"/>
          </w:rPr>
          <w:t>http://www.unimelb.edu.au/governance</w:t>
        </w:r>
      </w:hyperlink>
      <w:r>
        <w:t xml:space="preserve">  </w:t>
      </w:r>
    </w:p>
    <w:p w14:paraId="56C40257" w14:textId="77777777" w:rsidR="0011791D" w:rsidRDefault="0011791D" w:rsidP="007E0992">
      <w:pPr>
        <w:pStyle w:val="BodyTextIndent"/>
      </w:pPr>
    </w:p>
    <w:p w14:paraId="389AA05E" w14:textId="77777777" w:rsidR="0011791D" w:rsidRDefault="0011791D" w:rsidP="007E0992">
      <w:pPr>
        <w:pStyle w:val="BodyTextIndent"/>
      </w:pPr>
    </w:p>
    <w:p w14:paraId="1F070B0B" w14:textId="77777777" w:rsidR="0011791D" w:rsidRDefault="0011791D" w:rsidP="007E0992">
      <w:pPr>
        <w:pStyle w:val="BodyTextIndent"/>
      </w:pPr>
    </w:p>
    <w:sectPr w:rsidR="0011791D">
      <w:headerReference w:type="default" r:id="rId22"/>
      <w:footerReference w:type="default" r:id="rId23"/>
      <w:footerReference w:type="first" r:id="rId24"/>
      <w:pgSz w:w="11906" w:h="16838"/>
      <w:pgMar w:top="1258" w:right="1701" w:bottom="899" w:left="1701" w:header="719" w:footer="27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48ED" w14:textId="77777777" w:rsidR="00207819" w:rsidRDefault="00207819">
      <w:r>
        <w:separator/>
      </w:r>
    </w:p>
  </w:endnote>
  <w:endnote w:type="continuationSeparator" w:id="0">
    <w:p w14:paraId="10720751" w14:textId="77777777" w:rsidR="00207819" w:rsidRDefault="0020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CF9" w14:textId="77777777" w:rsidR="0011791D" w:rsidRDefault="00855B50">
    <w:pPr>
      <w:pStyle w:val="Footer"/>
      <w:tabs>
        <w:tab w:val="clear" w:pos="4153"/>
        <w:tab w:val="clear" w:pos="8306"/>
        <w:tab w:val="center" w:pos="4500"/>
        <w:tab w:val="right" w:pos="8525"/>
      </w:tabs>
    </w:pPr>
    <w:r>
      <w:tab/>
    </w:r>
    <w:r>
      <w:tab/>
      <w:t xml:space="preserve">Page </w:t>
    </w:r>
    <w:r>
      <w:fldChar w:fldCharType="begin"/>
    </w:r>
    <w:r>
      <w:instrText>PAGE</w:instrText>
    </w:r>
    <w:r>
      <w:fldChar w:fldCharType="separate"/>
    </w:r>
    <w:r>
      <w:t>9</w:t>
    </w:r>
    <w:r>
      <w:fldChar w:fldCharType="end"/>
    </w:r>
    <w:r>
      <w:t xml:space="preserve"> of </w:t>
    </w:r>
    <w:r>
      <w:fldChar w:fldCharType="begin"/>
    </w:r>
    <w:r>
      <w:instrText>NUMPAGES</w:instrText>
    </w:r>
    <w:r>
      <w:fldChar w:fldCharType="separate"/>
    </w:r>
    <w:r>
      <w:t>9</w:t>
    </w:r>
    <w:r>
      <w:fldChar w:fldCharType="end"/>
    </w:r>
  </w:p>
  <w:p w14:paraId="7AA044C2" w14:textId="77777777" w:rsidR="0011791D" w:rsidRDefault="00117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A022" w14:textId="77777777" w:rsidR="0011791D" w:rsidRDefault="0011791D">
    <w:pPr>
      <w:pStyle w:val="Footer"/>
      <w:tabs>
        <w:tab w:val="clear" w:pos="4153"/>
        <w:tab w:val="clear" w:pos="8306"/>
        <w:tab w:val="center" w:pos="4500"/>
        <w:tab w:val="right" w:pos="8460"/>
      </w:tabs>
    </w:pPr>
  </w:p>
  <w:tbl>
    <w:tblPr>
      <w:tblW w:w="8505" w:type="dxa"/>
      <w:tblLook w:val="04A0" w:firstRow="1" w:lastRow="0" w:firstColumn="1" w:lastColumn="0" w:noHBand="0" w:noVBand="1"/>
    </w:tblPr>
    <w:tblGrid>
      <w:gridCol w:w="2833"/>
      <w:gridCol w:w="2837"/>
      <w:gridCol w:w="2835"/>
    </w:tblGrid>
    <w:tr w:rsidR="0011791D" w14:paraId="5369E1BA" w14:textId="77777777">
      <w:tc>
        <w:tcPr>
          <w:tcW w:w="2833" w:type="dxa"/>
        </w:tcPr>
        <w:p w14:paraId="2B9CFBB7" w14:textId="77777777" w:rsidR="0011791D" w:rsidRDefault="0011791D">
          <w:pPr>
            <w:pStyle w:val="Footer"/>
            <w:pBdr>
              <w:top w:val="nil"/>
            </w:pBdr>
            <w:tabs>
              <w:tab w:val="clear" w:pos="4153"/>
              <w:tab w:val="clear" w:pos="8306"/>
              <w:tab w:val="center" w:pos="4500"/>
              <w:tab w:val="right" w:pos="8460"/>
            </w:tabs>
          </w:pPr>
        </w:p>
      </w:tc>
      <w:tc>
        <w:tcPr>
          <w:tcW w:w="2837" w:type="dxa"/>
        </w:tcPr>
        <w:p w14:paraId="40715A45" w14:textId="77777777" w:rsidR="0011791D" w:rsidRDefault="0011791D">
          <w:pPr>
            <w:pStyle w:val="Footer"/>
            <w:pBdr>
              <w:top w:val="nil"/>
            </w:pBdr>
            <w:tabs>
              <w:tab w:val="clear" w:pos="4153"/>
              <w:tab w:val="clear" w:pos="8306"/>
              <w:tab w:val="center" w:pos="4500"/>
              <w:tab w:val="right" w:pos="8460"/>
            </w:tabs>
          </w:pPr>
        </w:p>
      </w:tc>
      <w:tc>
        <w:tcPr>
          <w:tcW w:w="2835" w:type="dxa"/>
        </w:tcPr>
        <w:p w14:paraId="57A0EB25" w14:textId="77777777" w:rsidR="0011791D" w:rsidRDefault="0011791D">
          <w:pPr>
            <w:pStyle w:val="Footer"/>
            <w:pBdr>
              <w:top w:val="nil"/>
            </w:pBdr>
            <w:tabs>
              <w:tab w:val="clear" w:pos="4153"/>
              <w:tab w:val="clear" w:pos="8306"/>
              <w:tab w:val="center" w:pos="4500"/>
              <w:tab w:val="right" w:pos="8460"/>
            </w:tabs>
          </w:pPr>
        </w:p>
      </w:tc>
    </w:tr>
  </w:tbl>
  <w:p w14:paraId="20057D01" w14:textId="77777777" w:rsidR="0011791D" w:rsidRDefault="00855B50">
    <w:pPr>
      <w:pStyle w:val="Footer"/>
      <w:tabs>
        <w:tab w:val="clear" w:pos="4153"/>
        <w:tab w:val="clear" w:pos="8306"/>
        <w:tab w:val="center" w:pos="4500"/>
        <w:tab w:val="right" w:pos="8460"/>
      </w:tabs>
    </w:pPr>
    <w:r>
      <w:tab/>
    </w:r>
    <w:r>
      <w:tab/>
    </w:r>
  </w:p>
  <w:p w14:paraId="0D996070" w14:textId="77777777" w:rsidR="0011791D" w:rsidRDefault="00855B50">
    <w:pPr>
      <w:pStyle w:val="Footer"/>
      <w:tabs>
        <w:tab w:val="clear" w:pos="4153"/>
        <w:tab w:val="clear" w:pos="8306"/>
        <w:tab w:val="center" w:pos="4500"/>
        <w:tab w:val="right" w:pos="8460"/>
      </w:tabs>
    </w:pPr>
    <w:r>
      <w:tab/>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9</w:t>
    </w:r>
    <w:r>
      <w:fldChar w:fldCharType="end"/>
    </w:r>
  </w:p>
  <w:p w14:paraId="501570B1" w14:textId="77777777" w:rsidR="0011791D" w:rsidRDefault="00117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E0C6" w14:textId="77777777" w:rsidR="00207819" w:rsidRDefault="00207819">
      <w:r>
        <w:separator/>
      </w:r>
    </w:p>
  </w:footnote>
  <w:footnote w:type="continuationSeparator" w:id="0">
    <w:p w14:paraId="3613173E" w14:textId="77777777" w:rsidR="00207819" w:rsidRDefault="0020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4C65" w14:textId="77777777" w:rsidR="0011791D" w:rsidRDefault="00855B50">
    <w:pPr>
      <w:pStyle w:val="HeaderText"/>
      <w:tabs>
        <w:tab w:val="clear" w:pos="4153"/>
        <w:tab w:val="clear" w:pos="8306"/>
        <w:tab w:val="center" w:pos="4500"/>
        <w:tab w:val="right" w:pos="8460"/>
      </w:tabs>
    </w:pPr>
    <w:r>
      <w:t xml:space="preserve">Position number </w:t>
    </w:r>
    <w:r>
      <w:tab/>
    </w:r>
    <w:r>
      <w:tab/>
      <w:t>The University of Melbourne</w:t>
    </w:r>
  </w:p>
  <w:p w14:paraId="214B8055" w14:textId="77777777" w:rsidR="0011791D" w:rsidRDefault="001179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2582B84B" id="_x0000_i1053" style="width:6pt;height:11pt" coordsize="" o:spt="100" o:bullet="t" adj="0,,0" path="" stroked="f">
        <v:stroke joinstyle="miter"/>
        <v:imagedata r:id="rId1" o:title=""/>
        <v:formulas/>
        <v:path o:connecttype="segments"/>
      </v:shape>
    </w:pict>
  </w:numPicBullet>
  <w:abstractNum w:abstractNumId="0" w15:restartNumberingAfterBreak="0">
    <w:nsid w:val="0CF25F8C"/>
    <w:multiLevelType w:val="multilevel"/>
    <w:tmpl w:val="AD94B086"/>
    <w:lvl w:ilvl="0">
      <w:start w:val="1"/>
      <w:numFmt w:val="decimal"/>
      <w:lvlText w:val="%1."/>
      <w:lvlJc w:val="left"/>
      <w:pPr>
        <w:tabs>
          <w:tab w:val="num" w:pos="360"/>
        </w:tabs>
        <w:ind w:left="360" w:hanging="360"/>
      </w:pPr>
      <w:rPr>
        <w:b/>
        <w:i/>
        <w:color w:val="336699"/>
        <w:sz w:val="28"/>
      </w:rPr>
    </w:lvl>
    <w:lvl w:ilvl="1">
      <w:start w:val="1"/>
      <w:numFmt w:val="decimal"/>
      <w:lvlText w:val="%1.%2"/>
      <w:lvlJc w:val="left"/>
      <w:pPr>
        <w:tabs>
          <w:tab w:val="num" w:pos="113"/>
        </w:tabs>
        <w:ind w:left="113" w:hanging="113"/>
      </w:pPr>
      <w:rPr>
        <w:b/>
        <w:i w:val="0"/>
        <w:color w:val="7393B1"/>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9501831"/>
    <w:multiLevelType w:val="multilevel"/>
    <w:tmpl w:val="7EA8867E"/>
    <w:lvl w:ilvl="0">
      <w:start w:val="1"/>
      <w:numFmt w:val="decimal"/>
      <w:pStyle w:val="Heading1"/>
      <w:lvlText w:val="%1."/>
      <w:lvlJc w:val="left"/>
      <w:pPr>
        <w:tabs>
          <w:tab w:val="num" w:pos="360"/>
        </w:tabs>
        <w:ind w:left="360" w:hanging="360"/>
      </w:pPr>
      <w:rPr>
        <w:b/>
        <w:i/>
        <w:color w:val="336699"/>
        <w:sz w:val="28"/>
      </w:rPr>
    </w:lvl>
    <w:lvl w:ilvl="1">
      <w:start w:val="1"/>
      <w:numFmt w:val="decimal"/>
      <w:pStyle w:val="Heading2"/>
      <w:lvlText w:val="%1.%2"/>
      <w:lvlJc w:val="left"/>
      <w:pPr>
        <w:tabs>
          <w:tab w:val="num" w:pos="113"/>
        </w:tabs>
        <w:ind w:left="113" w:hanging="113"/>
      </w:pPr>
      <w:rPr>
        <w:b/>
        <w:i w:val="0"/>
        <w:color w:val="7393B1"/>
        <w:sz w:val="2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13768E"/>
    <w:multiLevelType w:val="multilevel"/>
    <w:tmpl w:val="D004D69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1D"/>
    <w:rsid w:val="0011791D"/>
    <w:rsid w:val="00207819"/>
    <w:rsid w:val="003C7A98"/>
    <w:rsid w:val="00557275"/>
    <w:rsid w:val="00633362"/>
    <w:rsid w:val="006365B6"/>
    <w:rsid w:val="0079180D"/>
    <w:rsid w:val="007E0992"/>
    <w:rsid w:val="007F10CA"/>
    <w:rsid w:val="00855B50"/>
    <w:rsid w:val="00856777"/>
    <w:rsid w:val="00934D29"/>
    <w:rsid w:val="00962D26"/>
    <w:rsid w:val="00AC3B2E"/>
    <w:rsid w:val="00C0079B"/>
    <w:rsid w:val="00C340D5"/>
    <w:rsid w:val="00C46598"/>
    <w:rsid w:val="00C75BB3"/>
    <w:rsid w:val="00C907D5"/>
    <w:rsid w:val="00DA60BF"/>
    <w:rsid w:val="00E33348"/>
    <w:rsid w:val="00E71593"/>
    <w:rsid w:val="00EE3144"/>
    <w:rsid w:val="00FE4D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0D87"/>
  <w15:docId w15:val="{EF3AD901-3AEC-40FD-99E9-1DC9C39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1"/>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after="14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qFormat/>
    <w:rsid w:val="007E0992"/>
    <w:rPr>
      <w:rFonts w:ascii="Arial" w:hAnsi="Arial"/>
      <w:szCs w:val="24"/>
    </w:rPr>
  </w:style>
  <w:style w:type="character" w:customStyle="1" w:styleId="Heading1Char">
    <w:name w:val="Heading 1 Char"/>
    <w:link w:val="Heading1"/>
    <w:qFormat/>
    <w:rsid w:val="00A45D1E"/>
    <w:rPr>
      <w:rFonts w:ascii="Georgia" w:hAnsi="Georgia"/>
      <w:b/>
      <w:i/>
      <w:color w:val="336699"/>
      <w:sz w:val="28"/>
      <w:szCs w:val="24"/>
    </w:rPr>
  </w:style>
  <w:style w:type="character" w:styleId="Hyperlink">
    <w:name w:val="Hyperlink"/>
    <w:rsid w:val="00793B8D"/>
    <w:rPr>
      <w:color w:val="336699"/>
      <w:u w:val="none"/>
    </w:rPr>
  </w:style>
  <w:style w:type="character" w:customStyle="1" w:styleId="URLonfrontpageChar">
    <w:name w:val="URL on front page Char"/>
    <w:link w:val="URLonfrontpage"/>
    <w:qFormat/>
    <w:rsid w:val="00CB6408"/>
    <w:rPr>
      <w:rFonts w:ascii="Georgia" w:hAnsi="Georgia"/>
      <w:b/>
      <w:i/>
      <w:color w:val="336699"/>
      <w:sz w:val="24"/>
      <w:szCs w:val="28"/>
      <w:shd w:val="clear" w:color="auto" w:fill="E6E6E6"/>
      <w:lang w:val="en-AU" w:eastAsia="en-AU" w:bidi="ar-SA"/>
    </w:rPr>
  </w:style>
  <w:style w:type="character" w:customStyle="1" w:styleId="Inlineitalic">
    <w:name w:val="Inline italic"/>
    <w:qFormat/>
    <w:rsid w:val="009A4ED7"/>
    <w:rPr>
      <w:i/>
    </w:rPr>
  </w:style>
  <w:style w:type="character" w:customStyle="1" w:styleId="Inline-manualnumbers">
    <w:name w:val="Inline - manual numbers"/>
    <w:qFormat/>
    <w:rsid w:val="00167AB6"/>
    <w:rPr>
      <w:color w:val="808080"/>
    </w:rPr>
  </w:style>
  <w:style w:type="character" w:styleId="FollowedHyperlink">
    <w:name w:val="FollowedHyperlink"/>
    <w:rsid w:val="00131A54"/>
    <w:rPr>
      <w:color w:val="800080"/>
      <w:u w:val="single"/>
    </w:rPr>
  </w:style>
  <w:style w:type="character" w:customStyle="1" w:styleId="BodyTextIndentChar">
    <w:name w:val="Body Text Indent Char"/>
    <w:link w:val="BodyTextIndent"/>
    <w:qFormat/>
    <w:rsid w:val="00D734BC"/>
    <w:rPr>
      <w:rFonts w:ascii="Arial" w:hAnsi="Arial"/>
      <w:szCs w:val="24"/>
    </w:rPr>
  </w:style>
  <w:style w:type="character" w:styleId="CommentReference">
    <w:name w:val="annotation reference"/>
    <w:basedOn w:val="DefaultParagraphFont"/>
    <w:qFormat/>
    <w:rsid w:val="006068A1"/>
    <w:rPr>
      <w:sz w:val="16"/>
      <w:szCs w:val="16"/>
    </w:rPr>
  </w:style>
  <w:style w:type="character" w:customStyle="1" w:styleId="CommentTextChar">
    <w:name w:val="Comment Text Char"/>
    <w:basedOn w:val="DefaultParagraphFont"/>
    <w:link w:val="CommentText"/>
    <w:qFormat/>
    <w:rsid w:val="006068A1"/>
  </w:style>
  <w:style w:type="character" w:customStyle="1" w:styleId="CommentSubjectChar">
    <w:name w:val="Comment Subject Char"/>
    <w:basedOn w:val="CommentTextChar"/>
    <w:link w:val="CommentSubject"/>
    <w:qFormat/>
    <w:rsid w:val="006068A1"/>
    <w:rPr>
      <w:b/>
      <w:bCs/>
    </w:rPr>
  </w:style>
  <w:style w:type="character" w:styleId="UnresolvedMention">
    <w:name w:val="Unresolved Mention"/>
    <w:basedOn w:val="DefaultParagraphFont"/>
    <w:uiPriority w:val="99"/>
    <w:unhideWhenUsed/>
    <w:qFormat/>
    <w:rsid w:val="008414BA"/>
    <w:rPr>
      <w:color w:val="605E5C"/>
      <w:shd w:val="clear" w:color="auto" w:fill="E1DFDD"/>
    </w:rPr>
  </w:style>
  <w:style w:type="character" w:styleId="Mention">
    <w:name w:val="Mention"/>
    <w:basedOn w:val="DefaultParagraphFont"/>
    <w:uiPriority w:val="99"/>
    <w:unhideWhenUsed/>
    <w:qFormat/>
    <w:rsid w:val="008414BA"/>
    <w:rPr>
      <w:color w:val="2B579A"/>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autoRedefine/>
    <w:rsid w:val="007E0992"/>
    <w:pPr>
      <w:spacing w:before="120" w:after="120" w:line="280" w:lineRule="exact"/>
      <w:ind w:left="392"/>
    </w:pPr>
    <w:rPr>
      <w:rFonts w:ascii="Arial" w:hAnsi="Arial"/>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paragraph" w:customStyle="1" w:styleId="DocumentTitle">
    <w:name w:val="Document Title"/>
    <w:basedOn w:val="Normal"/>
    <w:next w:val="BodyText"/>
    <w:qFormat/>
    <w:rsid w:val="00E36CF1"/>
    <w:pPr>
      <w:spacing w:after="240"/>
    </w:pPr>
    <w:rPr>
      <w:rFonts w:ascii="Georgia" w:hAnsi="Georgia" w:cs="Arial"/>
      <w:color w:val="C0C0C0"/>
      <w:sz w:val="32"/>
      <w:szCs w:val="32"/>
    </w:rPr>
  </w:style>
  <w:style w:type="paragraph" w:styleId="ListNumber">
    <w:name w:val="List Number"/>
    <w:basedOn w:val="Normal"/>
    <w:qFormat/>
    <w:rsid w:val="00F90547"/>
    <w:pPr>
      <w:spacing w:before="80" w:after="40" w:line="280" w:lineRule="exact"/>
    </w:pPr>
    <w:rPr>
      <w:rFonts w:ascii="Arial" w:hAnsi="Arial" w:cs="Arial"/>
      <w:sz w:val="20"/>
    </w:rPr>
  </w:style>
  <w:style w:type="paragraph" w:customStyle="1" w:styleId="TableBody">
    <w:name w:val="Table Body"/>
    <w:basedOn w:val="BodyText"/>
    <w:qFormat/>
    <w:rsid w:val="00B21122"/>
    <w:pPr>
      <w:spacing w:before="240" w:after="0"/>
    </w:pPr>
  </w:style>
  <w:style w:type="paragraph" w:customStyle="1" w:styleId="TableHeader">
    <w:name w:val="Table Header"/>
    <w:basedOn w:val="TableBody"/>
    <w:qFormat/>
    <w:rsid w:val="009221C9"/>
    <w:rPr>
      <w:b/>
      <w:caps/>
      <w:color w:val="FFFFFF"/>
    </w:rPr>
  </w:style>
  <w:style w:type="paragraph" w:styleId="ListBullet">
    <w:name w:val="List Bullet"/>
    <w:basedOn w:val="Normal"/>
    <w:qFormat/>
    <w:rsid w:val="004F5C9A"/>
    <w:pPr>
      <w:spacing w:before="120" w:after="60" w:line="260" w:lineRule="exact"/>
    </w:pPr>
    <w:rPr>
      <w:rFonts w:ascii="Arial" w:hAnsi="Arial"/>
      <w:sz w:val="20"/>
    </w:rPr>
  </w:style>
  <w:style w:type="paragraph" w:customStyle="1" w:styleId="HeaderText">
    <w:name w:val="HeaderText"/>
    <w:basedOn w:val="Footer"/>
    <w:qFormat/>
    <w:rsid w:val="00F072CF"/>
    <w:pPr>
      <w:pBdr>
        <w:top w:val="nil"/>
        <w:bottom w:val="dotted" w:sz="4" w:space="3" w:color="C0C0C0"/>
      </w:pBdr>
    </w:pPr>
  </w:style>
  <w:style w:type="paragraph" w:customStyle="1" w:styleId="TableTitle">
    <w:name w:val="Table Title"/>
    <w:basedOn w:val="TableHeader"/>
    <w:qFormat/>
    <w:rsid w:val="009221C9"/>
    <w:pPr>
      <w:spacing w:before="180"/>
    </w:pPr>
    <w:rPr>
      <w:rFonts w:ascii="Calibri" w:hAnsi="Calibri"/>
      <w:b w:val="0"/>
      <w:bCs/>
      <w:caps w:val="0"/>
      <w:sz w:val="28"/>
      <w:szCs w:val="20"/>
    </w:rPr>
  </w:style>
  <w:style w:type="paragraph" w:styleId="ListNumber2">
    <w:name w:val="List Number 2"/>
    <w:basedOn w:val="ListNumber"/>
    <w:qFormat/>
    <w:rsid w:val="006052BD"/>
  </w:style>
  <w:style w:type="paragraph" w:styleId="ListNumber3">
    <w:name w:val="List Number 3"/>
    <w:basedOn w:val="ListNumber2"/>
    <w:qFormat/>
    <w:rsid w:val="006052BD"/>
    <w:pPr>
      <w:ind w:hanging="284"/>
    </w:pPr>
  </w:style>
  <w:style w:type="paragraph" w:styleId="ListBullet2">
    <w:name w:val="List Bullet 2"/>
    <w:basedOn w:val="ListBullet"/>
    <w:qFormat/>
    <w:rsid w:val="004F5C9A"/>
    <w:pPr>
      <w:tabs>
        <w:tab w:val="left" w:pos="900"/>
      </w:tabs>
      <w:ind w:left="900"/>
    </w:pPr>
  </w:style>
  <w:style w:type="paragraph" w:styleId="ListBullet3">
    <w:name w:val="List Bullet 3"/>
    <w:basedOn w:val="ListBullet"/>
    <w:qFormat/>
    <w:rsid w:val="004F5C9A"/>
    <w:pPr>
      <w:ind w:left="1260"/>
    </w:pPr>
  </w:style>
  <w:style w:type="paragraph" w:customStyle="1" w:styleId="Heading2afterHeading1">
    <w:name w:val="Heading 2 after Heading 1"/>
    <w:basedOn w:val="Heading2"/>
    <w:qFormat/>
    <w:rsid w:val="00C03412"/>
    <w:pPr>
      <w:numPr>
        <w:ilvl w:val="0"/>
        <w:numId w:val="0"/>
      </w:numPr>
      <w:spacing w:before="120"/>
    </w:pPr>
  </w:style>
  <w:style w:type="paragraph" w:styleId="BalloonText">
    <w:name w:val="Balloon Text"/>
    <w:basedOn w:val="Normal"/>
    <w:semiHidden/>
    <w:qFormat/>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qFormat/>
    <w:rsid w:val="005806D9"/>
    <w:pPr>
      <w:ind w:left="200" w:hanging="200"/>
    </w:pPr>
  </w:style>
  <w:style w:type="paragraph" w:styleId="IndexHeading">
    <w:name w:val="index heading"/>
    <w:basedOn w:val="Normal"/>
    <w:next w:val="Index1"/>
    <w:semiHidden/>
    <w:qFormat/>
    <w:rsid w:val="005806D9"/>
    <w:rPr>
      <w:rFonts w:ascii="Helvetica" w:hAnsi="Helvetica" w:cs="Helvetica"/>
      <w:b/>
      <w:bCs/>
      <w:szCs w:val="20"/>
      <w:lang w:eastAsia="en-US"/>
    </w:rPr>
  </w:style>
  <w:style w:type="paragraph" w:styleId="TOAHeading">
    <w:name w:val="toa heading"/>
    <w:basedOn w:val="Normal"/>
    <w:next w:val="Normal"/>
    <w:semiHidden/>
    <w:qFormat/>
    <w:rsid w:val="005806D9"/>
    <w:pPr>
      <w:spacing w:before="120"/>
    </w:pPr>
    <w:rPr>
      <w:rFonts w:ascii="Helvetica" w:hAnsi="Helvetica" w:cs="Helvetica"/>
      <w:b/>
      <w:bCs/>
      <w:lang w:eastAsia="en-US"/>
    </w:rPr>
  </w:style>
  <w:style w:type="paragraph" w:customStyle="1" w:styleId="Internalapplicantsnotice">
    <w:name w:val="Internal applicants notice"/>
    <w:basedOn w:val="Normal"/>
    <w:qFormat/>
    <w:rsid w:val="00CB6408"/>
    <w:pPr>
      <w:spacing w:after="240"/>
    </w:pPr>
    <w:rPr>
      <w:rFonts w:ascii="Arial" w:hAnsi="Arial"/>
      <w:caps/>
      <w:color w:val="808080"/>
      <w:sz w:val="22"/>
      <w:szCs w:val="36"/>
    </w:rPr>
  </w:style>
  <w:style w:type="paragraph" w:customStyle="1" w:styleId="URLboxsmall">
    <w:name w:val="URL box small"/>
    <w:basedOn w:val="URLonfrontpage"/>
    <w:qFormat/>
    <w:rsid w:val="00CB6408"/>
    <w:pPr>
      <w:spacing w:before="480" w:line="440" w:lineRule="exact"/>
    </w:pPr>
    <w:rPr>
      <w:b w:val="0"/>
      <w:i w:val="0"/>
      <w:color w:val="003366"/>
      <w:sz w:val="22"/>
      <w:szCs w:val="20"/>
    </w:rPr>
  </w:style>
  <w:style w:type="paragraph" w:customStyle="1" w:styleId="URLonfrontpage">
    <w:name w:val="URL on front page"/>
    <w:link w:val="URLonfrontpageChar"/>
    <w:qFormat/>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paragraph" w:customStyle="1" w:styleId="Positionmetadata">
    <w:name w:val="Position metadata"/>
    <w:basedOn w:val="BodyText"/>
    <w:qFormat/>
    <w:rsid w:val="00E36CF1"/>
    <w:rPr>
      <w:b/>
      <w:caps/>
      <w:color w:val="003366"/>
      <w:sz w:val="18"/>
    </w:rPr>
  </w:style>
  <w:style w:type="paragraph" w:customStyle="1" w:styleId="Italic">
    <w:name w:val="Italic"/>
    <w:basedOn w:val="BodyText"/>
    <w:qFormat/>
    <w:rsid w:val="009A4ED7"/>
    <w:pPr>
      <w:spacing w:before="80" w:after="40"/>
    </w:pPr>
    <w:rPr>
      <w:i/>
    </w:rPr>
  </w:style>
  <w:style w:type="paragraph" w:customStyle="1" w:styleId="Contact">
    <w:name w:val="Contact"/>
    <w:basedOn w:val="BodyText"/>
    <w:qFormat/>
    <w:rsid w:val="00167D61"/>
    <w:pPr>
      <w:spacing w:before="180" w:after="40" w:line="240" w:lineRule="exact"/>
    </w:pPr>
  </w:style>
  <w:style w:type="paragraph" w:customStyle="1" w:styleId="List-manualnumbering">
    <w:name w:val="List - manual numbering"/>
    <w:basedOn w:val="List-essentialcriteria"/>
    <w:qFormat/>
    <w:rsid w:val="00167AB6"/>
    <w:pPr>
      <w:ind w:left="1134"/>
    </w:pPr>
  </w:style>
  <w:style w:type="paragraph" w:customStyle="1" w:styleId="Notice">
    <w:name w:val="Notice"/>
    <w:basedOn w:val="BodyText"/>
    <w:qForma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qFormat/>
    <w:rsid w:val="005C2A25"/>
    <w:pPr>
      <w:spacing w:before="1200" w:after="120" w:line="400" w:lineRule="exact"/>
    </w:pPr>
    <w:rPr>
      <w:rFonts w:ascii="Georgia" w:hAnsi="Georgia"/>
      <w:b/>
      <w:color w:val="003366"/>
      <w:sz w:val="36"/>
      <w:szCs w:val="36"/>
    </w:rPr>
  </w:style>
  <w:style w:type="paragraph" w:customStyle="1" w:styleId="PositionSummary">
    <w:name w:val="Position Summary"/>
    <w:qFormat/>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qFormat/>
    <w:rsid w:val="00387B39"/>
  </w:style>
  <w:style w:type="paragraph" w:customStyle="1" w:styleId="Header1">
    <w:name w:val="Header 1"/>
    <w:basedOn w:val="Heading1"/>
    <w:next w:val="BodyTextIndent-afterheading1"/>
    <w:qFormat/>
    <w:rsid w:val="00F57A70"/>
    <w:pPr>
      <w:numPr>
        <w:numId w:val="0"/>
      </w:numPr>
      <w:spacing w:before="240"/>
      <w:ind w:left="357" w:hanging="357"/>
    </w:pPr>
  </w:style>
  <w:style w:type="paragraph" w:customStyle="1" w:styleId="Heading12">
    <w:name w:val="Heading 1.2"/>
    <w:basedOn w:val="Heading1"/>
    <w:next w:val="BodyTextIndent-afterheading1"/>
    <w:qFormat/>
    <w:rsid w:val="0052133C"/>
    <w:pPr>
      <w:numPr>
        <w:numId w:val="0"/>
      </w:numPr>
      <w:spacing w:before="360"/>
      <w:ind w:left="357" w:hanging="357"/>
    </w:pPr>
  </w:style>
  <w:style w:type="paragraph" w:customStyle="1" w:styleId="PositionTitle-extrapadding">
    <w:name w:val="Position Title - extra padding"/>
    <w:basedOn w:val="PositionTitle"/>
    <w:qFormat/>
    <w:rsid w:val="005C2A25"/>
    <w:pPr>
      <w:spacing w:before="1920"/>
    </w:pPr>
    <w:rPr>
      <w:rFonts w:cs="Arial"/>
    </w:rPr>
  </w:style>
  <w:style w:type="paragraph" w:customStyle="1" w:styleId="BodyTextIndent-afterheading1">
    <w:name w:val="Body Text Indent - after heading 1"/>
    <w:basedOn w:val="BodyTextIndent"/>
    <w:qFormat/>
    <w:rsid w:val="00793B8D"/>
    <w:pPr>
      <w:ind w:hanging="148"/>
    </w:pPr>
    <w:rPr>
      <w:szCs w:val="20"/>
    </w:rPr>
  </w:style>
  <w:style w:type="paragraph" w:customStyle="1" w:styleId="List-essentialcriteria">
    <w:name w:val="List - essential criteria"/>
    <w:basedOn w:val="ListNumber"/>
    <w:qFormat/>
    <w:rsid w:val="009C23D2"/>
    <w:pPr>
      <w:spacing w:before="120" w:after="60"/>
      <w:ind w:hanging="595"/>
    </w:pPr>
  </w:style>
  <w:style w:type="paragraph" w:customStyle="1" w:styleId="List-specialrequirements">
    <w:name w:val="List - special requirements"/>
    <w:basedOn w:val="ListBullet"/>
    <w:qFormat/>
    <w:rsid w:val="00387B39"/>
    <w:pPr>
      <w:ind w:hanging="594"/>
    </w:pPr>
  </w:style>
  <w:style w:type="paragraph" w:customStyle="1" w:styleId="List-keyresponsibilities">
    <w:name w:val="List - key responsibilities"/>
    <w:qFormat/>
    <w:rsid w:val="00E01D36"/>
    <w:pPr>
      <w:spacing w:before="120" w:after="60" w:line="280" w:lineRule="exact"/>
      <w:ind w:left="1148" w:hanging="608"/>
    </w:pPr>
    <w:rPr>
      <w:rFonts w:ascii="Arial" w:hAnsi="Arial"/>
      <w:sz w:val="24"/>
      <w:szCs w:val="24"/>
    </w:rPr>
  </w:style>
  <w:style w:type="paragraph" w:customStyle="1" w:styleId="OrgUnit">
    <w:name w:val="OrgUnit"/>
    <w:basedOn w:val="Positionmetadata"/>
    <w:qFormat/>
    <w:rsid w:val="00793B8D"/>
    <w:pPr>
      <w:spacing w:before="1080" w:after="0"/>
    </w:pPr>
    <w:rPr>
      <w:caps w:val="0"/>
      <w:color w:val="4D4D4D"/>
      <w:sz w:val="22"/>
    </w:rPr>
  </w:style>
  <w:style w:type="paragraph" w:customStyle="1" w:styleId="BudgetDivision">
    <w:name w:val="Budget Division"/>
    <w:basedOn w:val="OrgUnit"/>
    <w:qFormat/>
    <w:rsid w:val="00793B8D"/>
    <w:pPr>
      <w:spacing w:before="0"/>
    </w:pPr>
    <w:rPr>
      <w:b w:val="0"/>
      <w:color w:val="333333"/>
      <w:szCs w:val="20"/>
    </w:rPr>
  </w:style>
  <w:style w:type="paragraph" w:customStyle="1" w:styleId="PDallcapsrecruitmentuseonly">
    <w:name w:val="PD all caps (recruitment use only)"/>
    <w:basedOn w:val="PositionTitle"/>
    <w:qFormat/>
    <w:rsid w:val="00EB2571"/>
    <w:rPr>
      <w:rFonts w:cs="Arial"/>
      <w:b w:val="0"/>
      <w:caps/>
      <w:sz w:val="28"/>
      <w:szCs w:val="28"/>
    </w:rPr>
  </w:style>
  <w:style w:type="paragraph" w:customStyle="1" w:styleId="BodyTextIndent-subtlycondensed">
    <w:name w:val="Body Text Indent - subtly condensed"/>
    <w:basedOn w:val="BodyTextIndent"/>
    <w:qFormat/>
    <w:rsid w:val="007E4D16"/>
    <w:rPr>
      <w:spacing w:val="-5"/>
    </w:rPr>
  </w:style>
  <w:style w:type="paragraph" w:customStyle="1" w:styleId="Default">
    <w:name w:val="Default"/>
    <w:qFormat/>
    <w:rsid w:val="00E10F6E"/>
    <w:rPr>
      <w:rFonts w:ascii="Arial" w:hAnsi="Arial" w:cs="Arial"/>
      <w:color w:val="000000"/>
      <w:sz w:val="24"/>
      <w:szCs w:val="24"/>
    </w:rPr>
  </w:style>
  <w:style w:type="paragraph" w:styleId="CommentText">
    <w:name w:val="annotation text"/>
    <w:basedOn w:val="Normal"/>
    <w:link w:val="CommentTextChar"/>
    <w:qFormat/>
    <w:rsid w:val="006068A1"/>
    <w:rPr>
      <w:sz w:val="20"/>
      <w:szCs w:val="20"/>
    </w:rPr>
  </w:style>
  <w:style w:type="paragraph" w:styleId="CommentSubject">
    <w:name w:val="annotation subject"/>
    <w:basedOn w:val="CommentText"/>
    <w:next w:val="CommentText"/>
    <w:link w:val="CommentSubjectChar"/>
    <w:qFormat/>
    <w:rsid w:val="006068A1"/>
    <w:rPr>
      <w:b/>
      <w:bCs/>
    </w:rPr>
  </w:style>
  <w:style w:type="paragraph" w:styleId="Revision">
    <w:name w:val="Revision"/>
    <w:uiPriority w:val="99"/>
    <w:semiHidden/>
    <w:qFormat/>
    <w:rsid w:val="00C2532C"/>
    <w:rPr>
      <w:sz w:val="24"/>
      <w:szCs w:val="24"/>
    </w:rPr>
  </w:style>
  <w:style w:type="paragraph" w:customStyle="1" w:styleId="FrameContents">
    <w:name w:val="Frame Contents"/>
    <w:basedOn w:val="Normal"/>
    <w:qFormat/>
  </w:style>
  <w:style w:type="table" w:styleId="TableGrid">
    <w:name w:val="Table Grid"/>
    <w:basedOn w:val="TableNormal"/>
    <w:rsid w:val="005058E8"/>
    <w:tblPr/>
  </w:style>
  <w:style w:type="table" w:customStyle="1" w:styleId="Tablewithlines">
    <w:name w:val="Table with lines"/>
    <w:basedOn w:val="TableNormal"/>
    <w:rsid w:val="005058E8"/>
    <w:tblPr>
      <w:tblBorders>
        <w:insideH w:val="dotted" w:sz="4" w:space="0" w:color="C0C0C0"/>
      </w:tblBorders>
    </w:tblPr>
  </w:style>
  <w:style w:type="character" w:customStyle="1" w:styleId="ListLabel42">
    <w:name w:val="ListLabel 42"/>
    <w:qFormat/>
    <w:rsid w:val="00EE3144"/>
    <w:rPr>
      <w:sz w:val="20"/>
    </w:rPr>
  </w:style>
  <w:style w:type="character" w:customStyle="1" w:styleId="ListLabel23">
    <w:name w:val="ListLabel 23"/>
    <w:qFormat/>
    <w:rsid w:val="00EE3144"/>
    <w:rPr>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icrobiol.unimelb.edu.au/" TargetMode="External"/><Relationship Id="rId18" Type="http://schemas.openxmlformats.org/officeDocument/2006/relationships/hyperlink" Target="http://about.unimelb.edu.au/care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melb.edu.au/governance" TargetMode="External"/><Relationship Id="rId7" Type="http://schemas.openxmlformats.org/officeDocument/2006/relationships/endnotes" Target="endnotes.xml"/><Relationship Id="rId12" Type="http://schemas.openxmlformats.org/officeDocument/2006/relationships/hyperlink" Target="http://safety.unimelb.edu.au/topics/responsibilities/" TargetMode="External"/><Relationship Id="rId17" Type="http://schemas.openxmlformats.org/officeDocument/2006/relationships/hyperlink" Target="http://www.mdhs.unimelb.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medicalsciences.unimelb.edu.au/" TargetMode="External"/><Relationship Id="rId20" Type="http://schemas.openxmlformats.org/officeDocument/2006/relationships/hyperlink" Target="http://research.unimelb.edu.au/our-research/research-at-melbou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nimelb.edu.au/caree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herty.unimelb.edu.au/" TargetMode="External"/><Relationship Id="rId23" Type="http://schemas.openxmlformats.org/officeDocument/2006/relationships/footer" Target="footer1.xml"/><Relationship Id="rId10" Type="http://schemas.openxmlformats.org/officeDocument/2006/relationships/hyperlink" Target="http://about.unimelb.edu.au/careers/working/benefits" TargetMode="External"/><Relationship Id="rId19" Type="http://schemas.openxmlformats.org/officeDocument/2006/relationships/hyperlink" Target="http://about.unimelb.edu.au/strategy-and-leadership" TargetMode="External"/><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hyperlink" Target="http://bsac.unimelb.edu.au/"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3942F86-3C1F-4CEB-88BC-BAC35BA4BEA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The University of Melbourne</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2015-08-10T23:42:00Z</cp:lastPrinted>
  <dcterms:created xsi:type="dcterms:W3CDTF">2022-03-28T23:04:00Z</dcterms:created>
  <dcterms:modified xsi:type="dcterms:W3CDTF">2022-03-28T23:04:00Z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Melbourne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Nigel Waugh</vt:lpwstr>
  </property>
  <property fmtid="{D5CDD505-2E9C-101B-9397-08002B2CF9AE}" pid="8" name="ScaleCrop">
    <vt:bool>false</vt:bool>
  </property>
  <property fmtid="{D5CDD505-2E9C-101B-9397-08002B2CF9AE}" pid="9" name="ShareDoc">
    <vt:bool>false</vt:bool>
  </property>
</Properties>
</file>