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5C7" w:rsidRDefault="00BB42E5" w:rsidP="00E36CF1">
      <w:pPr>
        <w:pStyle w:val="DocumentTitle"/>
      </w:pPr>
      <w:r>
        <w:rPr>
          <w:noProof/>
        </w:rPr>
        <mc:AlternateContent>
          <mc:Choice Requires="wps">
            <w:drawing>
              <wp:anchor distT="0" distB="0" distL="114300" distR="114300" simplePos="0" relativeHeight="251658752" behindDoc="1" locked="0" layoutInCell="1" allowOverlap="1">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0338" id="Rectangle 11"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s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NyTp&#10;7IACAAD9BAAADgAAAAAAAAAAAAAAAAAuAgAAZHJzL2Uyb0RvYy54bWxQSwECLQAUAAYACAAAACEA&#10;1fABWOEAAAAOAQAADwAAAAAAAAAAAAAAAADaBAAAZHJzL2Rvd25yZXYueG1sUEsFBgAAAAAEAAQA&#10;8wAAAOgFAAAAAA==&#10;" fillcolor="#036" stroked="f"/>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C12" w:rsidRDefault="00304C12" w:rsidP="001C20D7">
                            <w:pPr>
                              <w:pStyle w:val="DocumentTitle"/>
                            </w:pPr>
                          </w:p>
                          <w:p w:rsidR="00304C12" w:rsidRPr="00E36CF1" w:rsidRDefault="00304C12" w:rsidP="001C20D7">
                            <w:pPr>
                              <w:pStyle w:val="DocumentTitle"/>
                            </w:pPr>
                            <w:r w:rsidRPr="00E36CF1">
                              <w:t>POSITION DESCRIPTION</w:t>
                            </w:r>
                            <w:r w:rsidRPr="00E36CF1">
                              <w:br/>
                            </w:r>
                          </w:p>
                          <w:p w:rsidR="00304C12" w:rsidRDefault="00304C12"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nZ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" filled="f" stroked="f">
                <v:textbox>
                  <w:txbxContent>
                    <w:p w:rsidR="00304C12" w:rsidRDefault="00304C12" w:rsidP="001C20D7">
                      <w:pPr>
                        <w:pStyle w:val="DocumentTitle"/>
                      </w:pPr>
                    </w:p>
                    <w:p w:rsidR="00304C12" w:rsidRPr="00E36CF1" w:rsidRDefault="00304C12" w:rsidP="001C20D7">
                      <w:pPr>
                        <w:pStyle w:val="DocumentTitle"/>
                      </w:pPr>
                      <w:r w:rsidRPr="00E36CF1">
                        <w:t>POSITION DESCRIPTION</w:t>
                      </w:r>
                      <w:r w:rsidRPr="00E36CF1">
                        <w:br/>
                      </w:r>
                    </w:p>
                    <w:p w:rsidR="00304C12" w:rsidRDefault="00304C12" w:rsidP="001C20D7"/>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4695825</wp:posOffset>
                </wp:positionH>
                <wp:positionV relativeFrom="paragraph">
                  <wp:posOffset>-742950</wp:posOffset>
                </wp:positionV>
                <wp:extent cx="1590675"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C12" w:rsidRDefault="00BB42E5" w:rsidP="001C20D7">
                            <w:pPr>
                              <w:jc w:val="right"/>
                            </w:pPr>
                            <w:r>
                              <w:rPr>
                                <w:noProof/>
                              </w:rPr>
                              <w:drawing>
                                <wp:inline distT="0" distB="0" distL="0" distR="0">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9.75pt;margin-top:-58.5pt;width:125.25pt;height:10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" fillcolor="#036" stroked="f">
                <v:textbox style="mso-fit-shape-to-text:t" inset="6.5mm,9.3mm,12.5mm">
                  <w:txbxContent>
                    <w:p w:rsidR="00304C12" w:rsidRDefault="00BB42E5" w:rsidP="001C20D7">
                      <w:pPr>
                        <w:jc w:val="right"/>
                      </w:pPr>
                      <w:r>
                        <w:rPr>
                          <w:noProof/>
                        </w:rPr>
                        <w:drawing>
                          <wp:inline distT="0" distB="0" distL="0" distR="0">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rsidR="00AB7707" w:rsidRDefault="00AB7707" w:rsidP="00E36CF1">
      <w:pPr>
        <w:pStyle w:val="DocumentTitle"/>
      </w:pPr>
    </w:p>
    <w:p w:rsidR="002301A9" w:rsidRPr="005C2A25" w:rsidRDefault="002301A9" w:rsidP="002301A9">
      <w:pPr>
        <w:pStyle w:val="OrgUnit"/>
      </w:pPr>
      <w:r>
        <w:t>Phoenix Australia Centre for Posttraumatic Mental Health Inc</w:t>
      </w:r>
    </w:p>
    <w:p w:rsidR="002301A9" w:rsidRDefault="002301A9" w:rsidP="002301A9">
      <w:pPr>
        <w:pStyle w:val="BudgetDivision"/>
      </w:pPr>
      <w:r>
        <w:t>Department of Psychiatry</w:t>
      </w:r>
    </w:p>
    <w:p w:rsidR="002301A9" w:rsidRDefault="002301A9" w:rsidP="002301A9">
      <w:pPr>
        <w:pStyle w:val="BudgetDivision"/>
      </w:pPr>
      <w:r>
        <w:t>Faculty of Medicine, Dentistry and Health Sciences</w:t>
      </w:r>
    </w:p>
    <w:p w:rsidR="00601B18" w:rsidRPr="005C2A25" w:rsidRDefault="00912BFF" w:rsidP="00601B18">
      <w:pPr>
        <w:pStyle w:val="PositionTitle"/>
      </w:pPr>
      <w:r>
        <w:rPr>
          <w:noProof/>
        </w:rPr>
        <w:t>Policy and Practice</w:t>
      </w:r>
      <w:r w:rsidR="008E7E0B">
        <w:rPr>
          <w:noProof/>
        </w:rPr>
        <w:t xml:space="preserve"> </w:t>
      </w:r>
      <w:r w:rsidR="007B2053">
        <w:rPr>
          <w:noProof/>
        </w:rPr>
        <w:t xml:space="preserve">Clinical </w:t>
      </w:r>
      <w:r w:rsidR="002301A9">
        <w:rPr>
          <w:noProof/>
        </w:rPr>
        <w:t>Specialist</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5806D9" w:rsidRPr="00B25A95" w:rsidTr="00B25A95">
        <w:tc>
          <w:tcPr>
            <w:tcW w:w="2268" w:type="dxa"/>
          </w:tcPr>
          <w:p w:rsidR="005806D9" w:rsidRPr="00743F3C" w:rsidRDefault="005806D9" w:rsidP="00F138F2">
            <w:pPr>
              <w:pStyle w:val="Positionmetadata"/>
            </w:pPr>
            <w:r w:rsidRPr="00743F3C">
              <w:t>Position No</w:t>
            </w:r>
          </w:p>
        </w:tc>
        <w:tc>
          <w:tcPr>
            <w:tcW w:w="6345" w:type="dxa"/>
          </w:tcPr>
          <w:p w:rsidR="005806D9" w:rsidRPr="00380201" w:rsidRDefault="00DF59EE" w:rsidP="00F138F2">
            <w:pPr>
              <w:pStyle w:val="BodyText"/>
              <w:rPr>
                <w:highlight w:val="yellow"/>
              </w:rPr>
            </w:pPr>
            <w:bookmarkStart w:id="0" w:name="_GoBack"/>
            <w:r w:rsidRPr="00DF59EE">
              <w:t>0048182</w:t>
            </w:r>
            <w:bookmarkEnd w:id="0"/>
          </w:p>
        </w:tc>
      </w:tr>
      <w:tr w:rsidR="005806D9" w:rsidRPr="00B25A95" w:rsidTr="00B25A95">
        <w:tc>
          <w:tcPr>
            <w:tcW w:w="2268" w:type="dxa"/>
          </w:tcPr>
          <w:p w:rsidR="00304C12" w:rsidRPr="00743F3C" w:rsidRDefault="005806D9" w:rsidP="00F138F2">
            <w:pPr>
              <w:pStyle w:val="Positionmetadata"/>
            </w:pPr>
            <w:r w:rsidRPr="00743F3C">
              <w:t>Classification</w:t>
            </w:r>
          </w:p>
        </w:tc>
        <w:tc>
          <w:tcPr>
            <w:tcW w:w="6345" w:type="dxa"/>
          </w:tcPr>
          <w:p w:rsidR="00304C12" w:rsidRPr="005B6661" w:rsidRDefault="00304C12" w:rsidP="00F138F2">
            <w:pPr>
              <w:pStyle w:val="BodyText"/>
            </w:pPr>
            <w:r>
              <w:t xml:space="preserve">Level B </w:t>
            </w:r>
          </w:p>
        </w:tc>
      </w:tr>
      <w:tr w:rsidR="004A1809" w:rsidRPr="00B25A95" w:rsidTr="00B25A95">
        <w:tc>
          <w:tcPr>
            <w:tcW w:w="2268" w:type="dxa"/>
          </w:tcPr>
          <w:p w:rsidR="004A1809" w:rsidRPr="00743F3C" w:rsidRDefault="004A1809" w:rsidP="00F138F2">
            <w:pPr>
              <w:pStyle w:val="Positionmetadata"/>
            </w:pPr>
            <w:r>
              <w:t>work focus category</w:t>
            </w:r>
          </w:p>
        </w:tc>
        <w:tc>
          <w:tcPr>
            <w:tcW w:w="6345" w:type="dxa"/>
          </w:tcPr>
          <w:p w:rsidR="004A1809" w:rsidRDefault="004A1809" w:rsidP="00F138F2">
            <w:pPr>
              <w:pStyle w:val="BodyText"/>
            </w:pPr>
            <w:r w:rsidRPr="00B35E40">
              <w:t>Academic Specialist</w:t>
            </w:r>
          </w:p>
        </w:tc>
      </w:tr>
      <w:tr w:rsidR="005806D9" w:rsidRPr="00B25A95" w:rsidTr="00B25A95">
        <w:tc>
          <w:tcPr>
            <w:tcW w:w="2268" w:type="dxa"/>
          </w:tcPr>
          <w:p w:rsidR="005806D9" w:rsidRPr="00743F3C" w:rsidRDefault="005806D9" w:rsidP="00F138F2">
            <w:pPr>
              <w:pStyle w:val="Positionmetadata"/>
            </w:pPr>
            <w:r w:rsidRPr="00743F3C">
              <w:t>Salary</w:t>
            </w:r>
          </w:p>
        </w:tc>
        <w:tc>
          <w:tcPr>
            <w:tcW w:w="6345" w:type="dxa"/>
          </w:tcPr>
          <w:p w:rsidR="005806D9" w:rsidRPr="005B6661" w:rsidRDefault="001D59C4" w:rsidP="002301A9">
            <w:pPr>
              <w:pStyle w:val="BodyText"/>
            </w:pPr>
            <w:r>
              <w:t>$</w:t>
            </w:r>
            <w:r w:rsidR="00D510D8">
              <w:t>102,967</w:t>
            </w:r>
            <w:r>
              <w:t xml:space="preserve"> - $</w:t>
            </w:r>
            <w:r w:rsidR="00D510D8">
              <w:t>122,268</w:t>
            </w:r>
            <w:r>
              <w:t xml:space="preserve"> p.a.</w:t>
            </w:r>
            <w:r w:rsidRPr="005B6661">
              <w:t xml:space="preserve"> </w:t>
            </w:r>
            <w:r w:rsidR="00A5477F">
              <w:t>(pro-rata)</w:t>
            </w:r>
          </w:p>
        </w:tc>
      </w:tr>
      <w:tr w:rsidR="005806D9" w:rsidRPr="00B25A95" w:rsidTr="00B25A95">
        <w:tc>
          <w:tcPr>
            <w:tcW w:w="2268" w:type="dxa"/>
          </w:tcPr>
          <w:p w:rsidR="005806D9" w:rsidRPr="00743F3C" w:rsidRDefault="005806D9" w:rsidP="00F138F2">
            <w:pPr>
              <w:pStyle w:val="Positionmetadata"/>
            </w:pPr>
            <w:r w:rsidRPr="00743F3C">
              <w:t>Superannuation</w:t>
            </w:r>
          </w:p>
        </w:tc>
        <w:tc>
          <w:tcPr>
            <w:tcW w:w="6345" w:type="dxa"/>
          </w:tcPr>
          <w:p w:rsidR="005806D9" w:rsidRPr="005B6661" w:rsidRDefault="00605D33" w:rsidP="00F138F2">
            <w:pPr>
              <w:pStyle w:val="BodyText"/>
            </w:pPr>
            <w:r w:rsidRPr="005B6661">
              <w:t>E</w:t>
            </w:r>
            <w:r w:rsidR="007C444E" w:rsidRPr="005B6661">
              <w:t>mployer contribution</w:t>
            </w:r>
            <w:r w:rsidR="005806D9" w:rsidRPr="005B6661">
              <w:t xml:space="preserve"> of </w:t>
            </w:r>
            <w:r w:rsidR="00B706BE">
              <w:t>9.</w:t>
            </w:r>
            <w:r w:rsidR="00304C12">
              <w:t xml:space="preserve">5% </w:t>
            </w:r>
          </w:p>
        </w:tc>
      </w:tr>
      <w:tr w:rsidR="001D59C4" w:rsidRPr="00B25A95" w:rsidTr="00B25A95">
        <w:tc>
          <w:tcPr>
            <w:tcW w:w="2268" w:type="dxa"/>
          </w:tcPr>
          <w:p w:rsidR="001D59C4" w:rsidRDefault="001D59C4" w:rsidP="00F138F2">
            <w:pPr>
              <w:pStyle w:val="Positionmetadata"/>
            </w:pPr>
            <w:r>
              <w:t>working hours</w:t>
            </w:r>
          </w:p>
        </w:tc>
        <w:tc>
          <w:tcPr>
            <w:tcW w:w="6345" w:type="dxa"/>
          </w:tcPr>
          <w:p w:rsidR="001D59C4" w:rsidRPr="005B6661" w:rsidRDefault="004D244C" w:rsidP="002301A9">
            <w:pPr>
              <w:pStyle w:val="BodyText"/>
            </w:pPr>
            <w:r>
              <w:t>Part-time (0.5 FTE)</w:t>
            </w:r>
          </w:p>
        </w:tc>
      </w:tr>
      <w:tr w:rsidR="005806D9" w:rsidRPr="00B25A95" w:rsidTr="00B25A95">
        <w:tc>
          <w:tcPr>
            <w:tcW w:w="2268" w:type="dxa"/>
          </w:tcPr>
          <w:p w:rsidR="005806D9" w:rsidRPr="00743F3C" w:rsidRDefault="001D59C4" w:rsidP="00F138F2">
            <w:pPr>
              <w:pStyle w:val="Positionmetadata"/>
            </w:pPr>
            <w:r>
              <w:t xml:space="preserve">basis of </w:t>
            </w:r>
            <w:r w:rsidR="005806D9" w:rsidRPr="00743F3C">
              <w:t xml:space="preserve">Employment </w:t>
            </w:r>
          </w:p>
        </w:tc>
        <w:tc>
          <w:tcPr>
            <w:tcW w:w="6345" w:type="dxa"/>
          </w:tcPr>
          <w:p w:rsidR="00F90547" w:rsidRPr="005B6661" w:rsidRDefault="008C5DC5" w:rsidP="00BB7208">
            <w:pPr>
              <w:pStyle w:val="BodyText"/>
            </w:pPr>
            <w:r>
              <w:t>Fixed term for</w:t>
            </w:r>
            <w:r w:rsidR="00BB7208">
              <w:t xml:space="preserve"> 12 months</w:t>
            </w:r>
            <w:r w:rsidR="001D717B" w:rsidRPr="005B6661">
              <w:br/>
              <w:t xml:space="preserve">Fixed term contract type: </w:t>
            </w:r>
            <w:r w:rsidR="00BB7208">
              <w:t>External funding</w:t>
            </w:r>
          </w:p>
        </w:tc>
      </w:tr>
      <w:tr w:rsidR="005806D9" w:rsidRPr="00B25A95" w:rsidTr="00B25A95">
        <w:tc>
          <w:tcPr>
            <w:tcW w:w="2268" w:type="dxa"/>
          </w:tcPr>
          <w:p w:rsidR="005806D9" w:rsidRPr="00743F3C" w:rsidRDefault="005806D9" w:rsidP="00F138F2">
            <w:pPr>
              <w:pStyle w:val="Positionmetadata"/>
            </w:pPr>
            <w:r w:rsidRPr="00743F3C">
              <w:t>Other Benefits</w:t>
            </w:r>
          </w:p>
        </w:tc>
        <w:tc>
          <w:tcPr>
            <w:tcW w:w="6345" w:type="dxa"/>
          </w:tcPr>
          <w:p w:rsidR="005B6661" w:rsidRPr="005B6661" w:rsidRDefault="001356C2" w:rsidP="00F138F2">
            <w:pPr>
              <w:pStyle w:val="BodyText"/>
            </w:pPr>
            <w:hyperlink r:id="rId12" w:history="1">
              <w:r w:rsidR="00975CA2" w:rsidRPr="00774D1A">
                <w:rPr>
                  <w:rStyle w:val="Hyperlink"/>
                </w:rPr>
                <w:t>http://about.unimelb.edu.au/careers/working/benefits</w:t>
              </w:r>
            </w:hyperlink>
          </w:p>
        </w:tc>
      </w:tr>
      <w:tr w:rsidR="005806D9" w:rsidRPr="00B25A95" w:rsidTr="00B25A95">
        <w:tc>
          <w:tcPr>
            <w:tcW w:w="2268" w:type="dxa"/>
          </w:tcPr>
          <w:p w:rsidR="005806D9" w:rsidRPr="00743F3C" w:rsidRDefault="005806D9" w:rsidP="00F138F2">
            <w:pPr>
              <w:pStyle w:val="Positionmetadata"/>
            </w:pPr>
            <w:r w:rsidRPr="00743F3C">
              <w:t>How to Apply</w:t>
            </w:r>
          </w:p>
        </w:tc>
        <w:tc>
          <w:tcPr>
            <w:tcW w:w="6345" w:type="dxa"/>
          </w:tcPr>
          <w:p w:rsidR="005806D9" w:rsidRPr="005B6661" w:rsidRDefault="00AB2455" w:rsidP="00F138F2">
            <w:pPr>
              <w:pStyle w:val="BodyText"/>
            </w:pPr>
            <w:r w:rsidRPr="005B6661">
              <w:t>Online applications are preferred. Go to</w:t>
            </w:r>
            <w:r w:rsidR="005B6661" w:rsidRPr="005B6661">
              <w:t xml:space="preserve"> </w:t>
            </w:r>
            <w:hyperlink r:id="rId13" w:history="1">
              <w:r w:rsidR="00975CA2" w:rsidRPr="002F65E1">
                <w:rPr>
                  <w:rStyle w:val="Hyperlink"/>
                </w:rPr>
                <w:t>http://</w:t>
              </w:r>
              <w:r w:rsidR="00975CA2">
                <w:rPr>
                  <w:rStyle w:val="Hyperlink"/>
                </w:rPr>
                <w:t>about</w:t>
              </w:r>
              <w:r w:rsidR="00975CA2" w:rsidRPr="002F65E1">
                <w:rPr>
                  <w:rStyle w:val="Hyperlink"/>
                </w:rPr>
                <w:t>.unimelb.edu.au/careers</w:t>
              </w:r>
            </w:hyperlink>
            <w:r w:rsidR="005B6661">
              <w:t xml:space="preserve">, under ‘Job Search and Job Alerts’, select the relevant option (‘Current Staff’ or ‘Prospective Staff’), then </w:t>
            </w:r>
            <w:r w:rsidRPr="005B6661">
              <w:t>find the position by title or number.</w:t>
            </w:r>
          </w:p>
        </w:tc>
      </w:tr>
      <w:tr w:rsidR="005806D9" w:rsidRPr="00B25A95" w:rsidTr="00B25A95">
        <w:tc>
          <w:tcPr>
            <w:tcW w:w="2268" w:type="dxa"/>
          </w:tcPr>
          <w:p w:rsidR="005806D9" w:rsidRPr="00743F3C" w:rsidRDefault="009A4ED7" w:rsidP="00F138F2">
            <w:pPr>
              <w:pStyle w:val="Positionmetadata"/>
            </w:pPr>
            <w:r w:rsidRPr="00743F3C">
              <w:t>contact</w:t>
            </w:r>
            <w:r>
              <w:br/>
            </w:r>
            <w:r w:rsidR="005806D9" w:rsidRPr="00743F3C">
              <w:t>For enquiries only</w:t>
            </w:r>
          </w:p>
        </w:tc>
        <w:tc>
          <w:tcPr>
            <w:tcW w:w="6345" w:type="dxa"/>
          </w:tcPr>
          <w:p w:rsidR="005806D9" w:rsidRPr="005B6661" w:rsidRDefault="00682C16" w:rsidP="004D244C">
            <w:pPr>
              <w:pStyle w:val="Contact"/>
            </w:pPr>
            <w:r>
              <w:t>Associate Professor Darryl Wade</w:t>
            </w:r>
            <w:r w:rsidR="009A4ED7" w:rsidRPr="005B6661">
              <w:br/>
            </w:r>
            <w:r w:rsidR="002E79F5" w:rsidRPr="005B6661">
              <w:t>Tel</w:t>
            </w:r>
            <w:r w:rsidR="005806D9" w:rsidRPr="005B6661">
              <w:t xml:space="preserve"> </w:t>
            </w:r>
            <w:r w:rsidR="009A4ED7" w:rsidRPr="005B6661">
              <w:t xml:space="preserve">+61 3 </w:t>
            </w:r>
            <w:r w:rsidR="00BE78E9">
              <w:rPr>
                <w:rFonts w:cs="Arial"/>
              </w:rPr>
              <w:t>9035 5599</w:t>
            </w:r>
            <w:r w:rsidR="009A4ED7" w:rsidRPr="005B6661">
              <w:br/>
            </w:r>
            <w:r w:rsidR="00AB2455" w:rsidRPr="005B6661">
              <w:t>Email</w:t>
            </w:r>
            <w:r w:rsidR="005806D9" w:rsidRPr="005B6661">
              <w:t xml:space="preserve"> </w:t>
            </w:r>
            <w:r w:rsidR="00BB7208">
              <w:t>dwade</w:t>
            </w:r>
            <w:r w:rsidR="005806D9" w:rsidRPr="005B6661">
              <w:t>@unimelb.edu.au</w:t>
            </w:r>
          </w:p>
          <w:p w:rsidR="005806D9" w:rsidRPr="005B6661" w:rsidRDefault="005806D9" w:rsidP="00F138F2">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hyperlink r:id="rId14" w:history="1">
        <w:r w:rsidR="00A659C2">
          <w:rPr>
            <w:rStyle w:val="Hyperlink"/>
          </w:rPr>
          <w:t>about</w:t>
        </w:r>
        <w:r w:rsidR="00445EAB">
          <w:rPr>
            <w:rStyle w:val="Hyperlink"/>
          </w:rPr>
          <w:t>.unimelb.edu.au/careers</w:t>
        </w:r>
      </w:hyperlink>
    </w:p>
    <w:p w:rsidR="00F072CF" w:rsidRDefault="00EA4C92" w:rsidP="00B36A9E">
      <w:pPr>
        <w:pStyle w:val="PositionSummary"/>
      </w:pPr>
      <w:r>
        <w:rPr>
          <w:rStyle w:val="URLonfrontpageChar"/>
        </w:rPr>
        <w:br w:type="page"/>
      </w:r>
      <w:r w:rsidR="00F072CF">
        <w:lastRenderedPageBreak/>
        <w:t>Position Summary</w:t>
      </w:r>
    </w:p>
    <w:p w:rsidR="00AF02C9" w:rsidRDefault="00AF02C9" w:rsidP="00AF02C9">
      <w:pPr>
        <w:pStyle w:val="BodyText"/>
        <w:jc w:val="both"/>
      </w:pPr>
      <w:r>
        <w:t xml:space="preserve">The mission of Phoenix Australia Centre for Posttraumatic Mental Health (Phoenix Australia) is to be an international leader in building the capability of individuals, communities and organisations to understand, prevent, reduce and recover from the adverse mental health effects of trauma. The general mental health of past and present members of the defence community is also a key priority.  Phoenix Australia aims to achieve its mission through research, education and training, and policy </w:t>
      </w:r>
      <w:r w:rsidR="00255160">
        <w:t xml:space="preserve">advice </w:t>
      </w:r>
      <w:r>
        <w:t>and service</w:t>
      </w:r>
      <w:r w:rsidR="00D649E2">
        <w:t xml:space="preserve"> improvement. </w:t>
      </w:r>
      <w:r>
        <w:t>The staffing profile includes experienced clinicians and researchers, and Phoenix Australia is internationally recognised for its work in the field.</w:t>
      </w:r>
    </w:p>
    <w:p w:rsidR="00AF02C9" w:rsidRDefault="00AF02C9" w:rsidP="00AF02C9">
      <w:pPr>
        <w:pStyle w:val="BodyText"/>
        <w:jc w:val="both"/>
      </w:pPr>
      <w:r>
        <w:t xml:space="preserve">We are seeking to recruit </w:t>
      </w:r>
      <w:r w:rsidR="00A9305E">
        <w:t>two</w:t>
      </w:r>
      <w:r w:rsidR="00E37CEB">
        <w:t xml:space="preserve"> mental health practitioner</w:t>
      </w:r>
      <w:r w:rsidR="008C5DC5">
        <w:t>s</w:t>
      </w:r>
      <w:r w:rsidR="00E37CEB">
        <w:t xml:space="preserve"> </w:t>
      </w:r>
      <w:r w:rsidR="00FF072B">
        <w:t xml:space="preserve">to manage and contribute to </w:t>
      </w:r>
      <w:r w:rsidR="008E7E0B">
        <w:t xml:space="preserve">knowledge transfer </w:t>
      </w:r>
      <w:r w:rsidR="00EF0C1C">
        <w:t xml:space="preserve">initiatives and </w:t>
      </w:r>
      <w:r w:rsidR="00FF072B">
        <w:t>project</w:t>
      </w:r>
      <w:r w:rsidR="00EF0C1C">
        <w:t>s</w:t>
      </w:r>
      <w:r w:rsidR="00FF072B">
        <w:t xml:space="preserve"> </w:t>
      </w:r>
      <w:r w:rsidR="002E62D2">
        <w:t xml:space="preserve">related to provision of </w:t>
      </w:r>
      <w:r w:rsidR="00FF072B">
        <w:t xml:space="preserve">expert </w:t>
      </w:r>
      <w:r w:rsidR="002E62D2">
        <w:t>advice and support to practitioners, training and workforce development, and policy and service development</w:t>
      </w:r>
      <w:r w:rsidR="00FF072B">
        <w:t xml:space="preserve">. </w:t>
      </w:r>
      <w:r>
        <w:t>The successful applicant</w:t>
      </w:r>
      <w:r w:rsidR="008501A8">
        <w:t>s</w:t>
      </w:r>
      <w:r>
        <w:t xml:space="preserve"> will be qualified </w:t>
      </w:r>
      <w:r w:rsidR="00904E9B">
        <w:t xml:space="preserve">and experienced mental </w:t>
      </w:r>
      <w:r>
        <w:t>health practitioner</w:t>
      </w:r>
      <w:r w:rsidR="008501A8">
        <w:t>s</w:t>
      </w:r>
      <w:r>
        <w:t xml:space="preserve"> with </w:t>
      </w:r>
      <w:r w:rsidR="00904E9B">
        <w:t>excellent written</w:t>
      </w:r>
      <w:r w:rsidR="00255160">
        <w:t xml:space="preserve">, </w:t>
      </w:r>
      <w:r w:rsidR="00904E9B">
        <w:t xml:space="preserve">analytical </w:t>
      </w:r>
      <w:r w:rsidR="00255160">
        <w:t xml:space="preserve">and communication </w:t>
      </w:r>
      <w:r w:rsidR="00904E9B">
        <w:t xml:space="preserve">skills. </w:t>
      </w:r>
      <w:r w:rsidR="00896A4C">
        <w:t xml:space="preserve">Knowledge of </w:t>
      </w:r>
      <w:r>
        <w:t>the psychological effects of trauma</w:t>
      </w:r>
      <w:r w:rsidR="00896A4C">
        <w:t>,</w:t>
      </w:r>
      <w:r>
        <w:t xml:space="preserve"> and </w:t>
      </w:r>
      <w:r w:rsidR="00896A4C">
        <w:t xml:space="preserve">interventions and </w:t>
      </w:r>
      <w:r>
        <w:t>strategies to promote effective recovery</w:t>
      </w:r>
      <w:r w:rsidR="00896A4C">
        <w:t xml:space="preserve"> </w:t>
      </w:r>
      <w:r>
        <w:t xml:space="preserve">is </w:t>
      </w:r>
      <w:r w:rsidR="000B77C3">
        <w:t>required</w:t>
      </w:r>
      <w:r>
        <w:t>.</w:t>
      </w:r>
    </w:p>
    <w:p w:rsidR="00D63C01" w:rsidRPr="00D610C7" w:rsidRDefault="00AF02C9" w:rsidP="00D610C7">
      <w:pPr>
        <w:pStyle w:val="Default"/>
        <w:spacing w:before="120" w:after="120" w:line="280" w:lineRule="exact"/>
        <w:jc w:val="both"/>
        <w:rPr>
          <w:rFonts w:cs="Times New Roman"/>
          <w:color w:val="auto"/>
          <w:sz w:val="20"/>
        </w:rPr>
      </w:pPr>
      <w:r w:rsidRPr="0054631F">
        <w:rPr>
          <w:rFonts w:cs="Times New Roman"/>
          <w:color w:val="auto"/>
          <w:sz w:val="20"/>
        </w:rPr>
        <w:t>Th</w:t>
      </w:r>
      <w:r w:rsidR="00C10C57">
        <w:rPr>
          <w:rFonts w:cs="Times New Roman"/>
          <w:color w:val="auto"/>
          <w:sz w:val="20"/>
        </w:rPr>
        <w:t xml:space="preserve">ere are </w:t>
      </w:r>
      <w:r w:rsidR="00A9305E">
        <w:rPr>
          <w:rFonts w:cs="Times New Roman"/>
          <w:color w:val="auto"/>
          <w:sz w:val="20"/>
        </w:rPr>
        <w:t>two</w:t>
      </w:r>
      <w:r w:rsidR="00C10C57">
        <w:rPr>
          <w:rFonts w:cs="Times New Roman"/>
          <w:color w:val="auto"/>
          <w:sz w:val="20"/>
        </w:rPr>
        <w:t xml:space="preserve"> part-time </w:t>
      </w:r>
      <w:r w:rsidRPr="0054631F">
        <w:rPr>
          <w:rFonts w:cs="Times New Roman"/>
          <w:color w:val="auto"/>
          <w:sz w:val="20"/>
        </w:rPr>
        <w:t>position</w:t>
      </w:r>
      <w:r w:rsidR="00C14C24">
        <w:rPr>
          <w:rFonts w:cs="Times New Roman"/>
          <w:color w:val="auto"/>
          <w:sz w:val="20"/>
        </w:rPr>
        <w:t xml:space="preserve">s available (0.5 </w:t>
      </w:r>
      <w:r w:rsidR="00C10C57">
        <w:rPr>
          <w:rFonts w:cs="Times New Roman"/>
          <w:color w:val="auto"/>
          <w:sz w:val="20"/>
        </w:rPr>
        <w:t>FTE)</w:t>
      </w:r>
      <w:r w:rsidRPr="0054631F">
        <w:rPr>
          <w:rFonts w:cs="Times New Roman"/>
          <w:color w:val="auto"/>
          <w:sz w:val="20"/>
        </w:rPr>
        <w:t xml:space="preserve"> </w:t>
      </w:r>
      <w:r w:rsidRPr="002832F6">
        <w:rPr>
          <w:rFonts w:cs="Times New Roman"/>
          <w:color w:val="auto"/>
          <w:sz w:val="20"/>
        </w:rPr>
        <w:t xml:space="preserve">based at </w:t>
      </w:r>
      <w:r w:rsidR="00D610C7">
        <w:rPr>
          <w:rFonts w:cs="Times New Roman"/>
          <w:color w:val="auto"/>
          <w:sz w:val="20"/>
        </w:rPr>
        <w:t>Phoenix Australia</w:t>
      </w:r>
      <w:r w:rsidRPr="002832F6">
        <w:rPr>
          <w:rFonts w:cs="Times New Roman"/>
          <w:color w:val="auto"/>
          <w:sz w:val="20"/>
        </w:rPr>
        <w:t xml:space="preserve"> in the Department of Psychiatry, The University of Melbourn</w:t>
      </w:r>
      <w:r>
        <w:rPr>
          <w:rFonts w:cs="Times New Roman"/>
          <w:color w:val="auto"/>
          <w:sz w:val="20"/>
        </w:rPr>
        <w:t>e</w:t>
      </w:r>
      <w:r w:rsidR="00A9305E">
        <w:rPr>
          <w:rFonts w:cs="Times New Roman"/>
          <w:color w:val="auto"/>
          <w:sz w:val="20"/>
        </w:rPr>
        <w:t xml:space="preserve">, with one position located at our Sydney satellite office and one position </w:t>
      </w:r>
      <w:r>
        <w:rPr>
          <w:rFonts w:cs="Times New Roman"/>
          <w:color w:val="auto"/>
          <w:sz w:val="20"/>
        </w:rPr>
        <w:t xml:space="preserve">located </w:t>
      </w:r>
      <w:r w:rsidR="00C10C57">
        <w:rPr>
          <w:rFonts w:cs="Times New Roman"/>
          <w:color w:val="auto"/>
          <w:sz w:val="20"/>
        </w:rPr>
        <w:t>at our</w:t>
      </w:r>
      <w:r>
        <w:rPr>
          <w:rFonts w:cs="Times New Roman"/>
          <w:color w:val="auto"/>
          <w:sz w:val="20"/>
        </w:rPr>
        <w:t xml:space="preserve"> </w:t>
      </w:r>
      <w:r w:rsidR="00C10C57">
        <w:rPr>
          <w:rFonts w:cs="Times New Roman"/>
          <w:color w:val="auto"/>
          <w:sz w:val="20"/>
        </w:rPr>
        <w:t>Brisbane satellite.</w:t>
      </w:r>
      <w:r w:rsidRPr="002832F6">
        <w:rPr>
          <w:rFonts w:cs="Times New Roman"/>
          <w:color w:val="auto"/>
          <w:sz w:val="20"/>
        </w:rPr>
        <w:t xml:space="preserve"> The position</w:t>
      </w:r>
      <w:r w:rsidR="00C10C57">
        <w:rPr>
          <w:rFonts w:cs="Times New Roman"/>
          <w:color w:val="auto"/>
          <w:sz w:val="20"/>
        </w:rPr>
        <w:t>s</w:t>
      </w:r>
      <w:r w:rsidRPr="002832F6">
        <w:rPr>
          <w:rFonts w:cs="Times New Roman"/>
          <w:color w:val="auto"/>
          <w:sz w:val="20"/>
        </w:rPr>
        <w:t xml:space="preserve"> will report to the </w:t>
      </w:r>
      <w:r w:rsidR="00896A4C">
        <w:rPr>
          <w:rFonts w:cs="Times New Roman"/>
          <w:color w:val="auto"/>
          <w:sz w:val="20"/>
        </w:rPr>
        <w:t>Head</w:t>
      </w:r>
      <w:r w:rsidR="00114597">
        <w:rPr>
          <w:rFonts w:cs="Times New Roman"/>
          <w:color w:val="auto"/>
          <w:sz w:val="20"/>
        </w:rPr>
        <w:t>s</w:t>
      </w:r>
      <w:r w:rsidR="00896A4C">
        <w:rPr>
          <w:rFonts w:cs="Times New Roman"/>
          <w:color w:val="auto"/>
          <w:sz w:val="20"/>
        </w:rPr>
        <w:t xml:space="preserve"> of </w:t>
      </w:r>
      <w:r w:rsidR="00114597">
        <w:rPr>
          <w:rFonts w:cs="Times New Roman"/>
          <w:color w:val="auto"/>
          <w:sz w:val="20"/>
        </w:rPr>
        <w:t xml:space="preserve">Practice Improvement and Innovation, and </w:t>
      </w:r>
      <w:r w:rsidR="00896A4C">
        <w:rPr>
          <w:rFonts w:cs="Times New Roman"/>
          <w:color w:val="auto"/>
          <w:sz w:val="20"/>
        </w:rPr>
        <w:t xml:space="preserve">Policy and </w:t>
      </w:r>
      <w:r w:rsidR="00114597">
        <w:rPr>
          <w:rFonts w:cs="Times New Roman"/>
          <w:color w:val="auto"/>
          <w:sz w:val="20"/>
        </w:rPr>
        <w:t>Service Development</w:t>
      </w:r>
      <w:r>
        <w:rPr>
          <w:rFonts w:cs="Times New Roman"/>
          <w:color w:val="auto"/>
          <w:sz w:val="20"/>
        </w:rPr>
        <w:t xml:space="preserve">, although line management may </w:t>
      </w:r>
      <w:r w:rsidRPr="002832F6">
        <w:rPr>
          <w:rFonts w:cs="Times New Roman"/>
          <w:color w:val="auto"/>
          <w:sz w:val="20"/>
        </w:rPr>
        <w:t xml:space="preserve">be delegated. </w:t>
      </w:r>
      <w:r w:rsidR="00D63C01" w:rsidRPr="00BE78E9">
        <w:rPr>
          <w:b/>
          <w:highlight w:val="yellow"/>
        </w:rPr>
        <w:t xml:space="preserve"> </w:t>
      </w:r>
    </w:p>
    <w:p w:rsidR="001D59C4" w:rsidRDefault="001D59C4" w:rsidP="00F138F2">
      <w:pPr>
        <w:pStyle w:val="Heading1"/>
      </w:pPr>
      <w:r w:rsidRPr="009C300E">
        <w:t>Key Responsibilities</w:t>
      </w:r>
    </w:p>
    <w:p w:rsidR="00304C12" w:rsidRDefault="00912BFF" w:rsidP="00F138F2">
      <w:pPr>
        <w:pStyle w:val="Heading2"/>
      </w:pPr>
      <w:r>
        <w:t>KNOWLEDGE TRANSFER</w:t>
      </w:r>
    </w:p>
    <w:p w:rsidR="00304C12" w:rsidRDefault="00064546" w:rsidP="00064546">
      <w:pPr>
        <w:pStyle w:val="ListBullet"/>
      </w:pPr>
      <w:r>
        <w:t xml:space="preserve">Contribute to the </w:t>
      </w:r>
      <w:r w:rsidR="00367F73">
        <w:t>design</w:t>
      </w:r>
      <w:r>
        <w:t xml:space="preserve">, </w:t>
      </w:r>
      <w:r w:rsidR="00E04C68">
        <w:t xml:space="preserve">development </w:t>
      </w:r>
      <w:r>
        <w:t xml:space="preserve">and delivery of </w:t>
      </w:r>
      <w:r w:rsidR="00332F0D">
        <w:t xml:space="preserve">knowledge transfer </w:t>
      </w:r>
      <w:r w:rsidR="00EF0C1C">
        <w:t>initiatives and projects</w:t>
      </w:r>
      <w:r>
        <w:t xml:space="preserve">, </w:t>
      </w:r>
      <w:r w:rsidR="00E04C68">
        <w:t xml:space="preserve">including </w:t>
      </w:r>
      <w:r w:rsidR="001C32F0">
        <w:t>provision of expert advice, support and consultation to practitioners around Australia</w:t>
      </w:r>
      <w:r w:rsidR="009C3777">
        <w:t xml:space="preserve"> on posttraumatic mental health issues</w:t>
      </w:r>
      <w:r w:rsidR="001C32F0">
        <w:t xml:space="preserve">; </w:t>
      </w:r>
      <w:r w:rsidR="006234C5">
        <w:t>skills</w:t>
      </w:r>
      <w:r w:rsidR="009C3777">
        <w:t>-based</w:t>
      </w:r>
      <w:r w:rsidR="006234C5">
        <w:t xml:space="preserve"> training</w:t>
      </w:r>
      <w:r w:rsidR="009C3777">
        <w:t xml:space="preserve"> </w:t>
      </w:r>
      <w:r w:rsidR="00332F0D">
        <w:t>and educational products</w:t>
      </w:r>
      <w:r w:rsidR="001C32F0">
        <w:t xml:space="preserve">; </w:t>
      </w:r>
      <w:r w:rsidR="00D258FB">
        <w:t xml:space="preserve">e-learning programs, </w:t>
      </w:r>
      <w:r w:rsidR="00D258FB" w:rsidRPr="00D258FB">
        <w:t>websites</w:t>
      </w:r>
      <w:r w:rsidR="00D258FB">
        <w:t xml:space="preserve"> and </w:t>
      </w:r>
      <w:r w:rsidR="00D258FB" w:rsidRPr="00D258FB">
        <w:t>apps</w:t>
      </w:r>
      <w:r w:rsidR="001C32F0">
        <w:t xml:space="preserve">; and evidence-informed policy advice and service development </w:t>
      </w:r>
      <w:r w:rsidR="00DC4ED6">
        <w:t xml:space="preserve">approaches </w:t>
      </w:r>
      <w:r w:rsidR="001C32F0">
        <w:t xml:space="preserve">for organisations </w:t>
      </w:r>
      <w:r w:rsidR="009C3777">
        <w:t xml:space="preserve">and staff groups at risk of psychological trauma and </w:t>
      </w:r>
      <w:r w:rsidR="00E31329">
        <w:t xml:space="preserve">posttraumatic </w:t>
      </w:r>
      <w:r w:rsidR="006234C5">
        <w:t xml:space="preserve">mental health </w:t>
      </w:r>
      <w:r w:rsidR="00AB7A7C">
        <w:t>issues</w:t>
      </w:r>
      <w:r w:rsidR="00F66B9C">
        <w:t>.</w:t>
      </w:r>
      <w:r w:rsidR="006234C5">
        <w:t xml:space="preserve"> </w:t>
      </w:r>
    </w:p>
    <w:p w:rsidR="00F66B9C" w:rsidRPr="000B77C3" w:rsidRDefault="00F66B9C" w:rsidP="00F66B9C">
      <w:pPr>
        <w:pStyle w:val="ListBullet"/>
        <w:rPr>
          <w:szCs w:val="20"/>
        </w:rPr>
      </w:pPr>
      <w:r>
        <w:t>Effectively manage projects and project teams, including project administration, reporting, and staff allocation processes across knowledge transfer projects.</w:t>
      </w:r>
    </w:p>
    <w:p w:rsidR="006234C5" w:rsidRDefault="006234C5" w:rsidP="00B779F5">
      <w:pPr>
        <w:pStyle w:val="ListBullet"/>
      </w:pPr>
      <w:r>
        <w:t xml:space="preserve">Liaise with </w:t>
      </w:r>
      <w:r w:rsidR="00506E06">
        <w:t>internal and external stakeholders as required including project leaders and managers</w:t>
      </w:r>
      <w:r w:rsidR="00AB7A7C">
        <w:t xml:space="preserve"> as well as </w:t>
      </w:r>
      <w:r w:rsidR="00A60228" w:rsidRPr="007B0999">
        <w:t>stakeholders across Australia</w:t>
      </w:r>
      <w:r w:rsidR="00E31329">
        <w:t>,</w:t>
      </w:r>
      <w:r w:rsidR="00A60228" w:rsidRPr="007B0999">
        <w:t xml:space="preserve"> including government, industry, health professional associations, other organisations and the community</w:t>
      </w:r>
      <w:r w:rsidR="00A60228">
        <w:t>.</w:t>
      </w:r>
    </w:p>
    <w:p w:rsidR="00F66B9C" w:rsidRDefault="00F66B9C" w:rsidP="00F66B9C">
      <w:pPr>
        <w:pStyle w:val="ListBullet"/>
      </w:pPr>
      <w:r>
        <w:t>In consultation with senior staff, contribute to the business development and operational activities of the knowledge transfer activities of Phoenix Australia.</w:t>
      </w:r>
    </w:p>
    <w:p w:rsidR="00F66B9C" w:rsidRDefault="00F66B9C" w:rsidP="00F66B9C">
      <w:pPr>
        <w:pStyle w:val="ListBullet"/>
      </w:pPr>
      <w:r>
        <w:t xml:space="preserve">In consultation with senior staff, contribute to meeting the strategic objectives of the knowledge transfer </w:t>
      </w:r>
      <w:r w:rsidR="008E7E0B">
        <w:t xml:space="preserve">areas of </w:t>
      </w:r>
      <w:r>
        <w:t>Phoenix Australia</w:t>
      </w:r>
      <w:r w:rsidR="008E7E0B">
        <w:t xml:space="preserve"> and the wider organisation</w:t>
      </w:r>
      <w:r>
        <w:t>.</w:t>
      </w:r>
    </w:p>
    <w:p w:rsidR="00B13172" w:rsidRPr="00B13172" w:rsidRDefault="00B13172" w:rsidP="00B13172">
      <w:pPr>
        <w:pStyle w:val="ListBullet"/>
      </w:pPr>
      <w:r w:rsidRPr="00B13172">
        <w:t>Undertake other associated tasks as required by the Director of Phoenix Australia.</w:t>
      </w:r>
    </w:p>
    <w:p w:rsidR="00912BFF" w:rsidRDefault="00B13172" w:rsidP="00912BFF">
      <w:pPr>
        <w:pStyle w:val="Heading2"/>
      </w:pPr>
      <w:r>
        <w:t>SERVICE AND LEADERSHIP</w:t>
      </w:r>
    </w:p>
    <w:p w:rsidR="00B13172" w:rsidRDefault="00B13172" w:rsidP="00B13172">
      <w:pPr>
        <w:pStyle w:val="ListBullet"/>
        <w:jc w:val="both"/>
      </w:pPr>
      <w:r>
        <w:t>Manage and provide supervision as required to Phoenix Australia staff to promote professional development and excellent work performance consistent with Phoenix Australia’s strategic and operational objectives.</w:t>
      </w:r>
    </w:p>
    <w:p w:rsidR="00B13172" w:rsidRDefault="00B13172" w:rsidP="00B13172">
      <w:pPr>
        <w:pStyle w:val="ListBullet"/>
      </w:pPr>
      <w:r>
        <w:lastRenderedPageBreak/>
        <w:t>Play an active role in fulfilling the vision of Phoenix Australia, including engaging in the range of information sharing, communication and business development.</w:t>
      </w:r>
    </w:p>
    <w:p w:rsidR="00B13172" w:rsidRPr="00B13172" w:rsidRDefault="00B13172" w:rsidP="00B13172">
      <w:pPr>
        <w:pStyle w:val="ListBullet"/>
        <w:jc w:val="both"/>
      </w:pPr>
      <w:r w:rsidRPr="00E01D36">
        <w:t xml:space="preserve">Occupational Health and Safety (OH&amp;S) and Environmental Health and Safety (EH&amp;S) responsibilities as outlined in section </w:t>
      </w:r>
      <w:r>
        <w:t>4.</w:t>
      </w:r>
      <w:r w:rsidRPr="001B1F5F">
        <w:t xml:space="preserve"> </w:t>
      </w:r>
    </w:p>
    <w:p w:rsidR="00A60228" w:rsidRDefault="006B4995" w:rsidP="00A60228">
      <w:pPr>
        <w:pStyle w:val="Heading2"/>
      </w:pPr>
      <w:r>
        <w:t>research</w:t>
      </w:r>
    </w:p>
    <w:p w:rsidR="007B0999" w:rsidRDefault="007B0999" w:rsidP="007B0999">
      <w:pPr>
        <w:pStyle w:val="ListBullet"/>
      </w:pPr>
      <w:r>
        <w:t>Contribute to the dissemination and implementation of best practice in posttraumatic mental health</w:t>
      </w:r>
      <w:r w:rsidR="006B4995">
        <w:t>.</w:t>
      </w:r>
    </w:p>
    <w:p w:rsidR="00E708BF" w:rsidRDefault="006B4995" w:rsidP="006B4995">
      <w:pPr>
        <w:pStyle w:val="ListBullet"/>
      </w:pPr>
      <w:r>
        <w:t xml:space="preserve">Lead and/or contribute to the evaluation of </w:t>
      </w:r>
      <w:r w:rsidR="00FB1F8B">
        <w:t xml:space="preserve">knowledge transfer </w:t>
      </w:r>
      <w:r w:rsidR="009D61D3">
        <w:t>initiatives and activities</w:t>
      </w:r>
      <w:r w:rsidR="00E708BF">
        <w:t>.</w:t>
      </w:r>
    </w:p>
    <w:p w:rsidR="006B4995" w:rsidRDefault="00E708BF" w:rsidP="006B4995">
      <w:pPr>
        <w:pStyle w:val="ListBullet"/>
      </w:pPr>
      <w:r>
        <w:t xml:space="preserve">Lead and/or contribute to technical, industry and academic reports </w:t>
      </w:r>
      <w:r w:rsidR="00FB1F8B">
        <w:t xml:space="preserve">and </w:t>
      </w:r>
      <w:r>
        <w:t>publications</w:t>
      </w:r>
      <w:r w:rsidR="006B4995" w:rsidRPr="006B4995">
        <w:t>.</w:t>
      </w:r>
    </w:p>
    <w:p w:rsidR="001B1F5F" w:rsidRDefault="001B1F5F" w:rsidP="00F138F2">
      <w:pPr>
        <w:pStyle w:val="Heading2"/>
      </w:pPr>
      <w:r>
        <w:t>STAFF SUPERVISION</w:t>
      </w:r>
    </w:p>
    <w:tbl>
      <w:tblPr>
        <w:tblW w:w="0" w:type="auto"/>
        <w:tblInd w:w="-108" w:type="dxa"/>
        <w:tblCellMar>
          <w:left w:w="0" w:type="dxa"/>
          <w:right w:w="0" w:type="dxa"/>
        </w:tblCellMar>
        <w:tblLook w:val="04A0" w:firstRow="1" w:lastRow="0" w:firstColumn="1" w:lastColumn="0" w:noHBand="0" w:noVBand="1"/>
      </w:tblPr>
      <w:tblGrid>
        <w:gridCol w:w="8612"/>
      </w:tblGrid>
      <w:tr w:rsidR="001B1F5F" w:rsidRPr="006C39B7" w:rsidTr="00F26B44">
        <w:trPr>
          <w:trHeight w:val="251"/>
        </w:trPr>
        <w:tc>
          <w:tcPr>
            <w:tcW w:w="12242" w:type="dxa"/>
            <w:tcMar>
              <w:top w:w="0" w:type="dxa"/>
              <w:left w:w="108" w:type="dxa"/>
              <w:bottom w:w="0" w:type="dxa"/>
              <w:right w:w="108" w:type="dxa"/>
            </w:tcMar>
            <w:hideMark/>
          </w:tcPr>
          <w:p w:rsidR="001B1F5F" w:rsidRDefault="001B1F5F" w:rsidP="005619E0">
            <w:pPr>
              <w:pStyle w:val="ListBullet"/>
              <w:jc w:val="both"/>
            </w:pPr>
            <w:r>
              <w:t xml:space="preserve">Undertake probationary and performance management processes, ensuring you have regular conversations with your staff and are providing positive and constructive feedback to enhance staff and team performance. </w:t>
            </w:r>
          </w:p>
          <w:p w:rsidR="001B1F5F" w:rsidRPr="006C39B7" w:rsidRDefault="001B1F5F" w:rsidP="005619E0">
            <w:pPr>
              <w:pStyle w:val="ListBullet"/>
              <w:jc w:val="both"/>
            </w:pPr>
            <w:r>
              <w:t xml:space="preserve">Provide coaching, guidance and support for career planning, ensuring staff have access to appropriate professional development activities. </w:t>
            </w:r>
          </w:p>
        </w:tc>
      </w:tr>
      <w:tr w:rsidR="001B1F5F" w:rsidRPr="006C39B7" w:rsidTr="00F26B44">
        <w:trPr>
          <w:trHeight w:val="365"/>
        </w:trPr>
        <w:tc>
          <w:tcPr>
            <w:tcW w:w="12242" w:type="dxa"/>
            <w:tcMar>
              <w:top w:w="0" w:type="dxa"/>
              <w:left w:w="108" w:type="dxa"/>
              <w:bottom w:w="0" w:type="dxa"/>
              <w:right w:w="108" w:type="dxa"/>
            </w:tcMar>
            <w:hideMark/>
          </w:tcPr>
          <w:p w:rsidR="001B1F5F" w:rsidRPr="006C39B7" w:rsidRDefault="001B1F5F" w:rsidP="005619E0">
            <w:pPr>
              <w:pStyle w:val="ListBullet"/>
              <w:jc w:val="both"/>
            </w:pPr>
            <w:r>
              <w:t>Understand your responsibilities associated with approving staff leave and ensuring leave is approved in line with operational requirements.</w:t>
            </w:r>
          </w:p>
        </w:tc>
      </w:tr>
      <w:tr w:rsidR="001B1F5F" w:rsidRPr="006C39B7" w:rsidTr="00F26B44">
        <w:trPr>
          <w:trHeight w:val="251"/>
        </w:trPr>
        <w:tc>
          <w:tcPr>
            <w:tcW w:w="12242" w:type="dxa"/>
            <w:tcMar>
              <w:top w:w="0" w:type="dxa"/>
              <w:left w:w="108" w:type="dxa"/>
              <w:bottom w:w="0" w:type="dxa"/>
              <w:right w:w="108" w:type="dxa"/>
            </w:tcMar>
            <w:hideMark/>
          </w:tcPr>
          <w:p w:rsidR="001B1F5F" w:rsidRDefault="001B1F5F" w:rsidP="005619E0">
            <w:pPr>
              <w:pStyle w:val="ListBullet"/>
              <w:jc w:val="both"/>
            </w:pPr>
            <w:r>
              <w:t>Allocate and monitor workload and address associated issues in a timely manner.</w:t>
            </w:r>
          </w:p>
          <w:p w:rsidR="001E1224" w:rsidRPr="006C39B7" w:rsidRDefault="001B1F5F" w:rsidP="0076081E">
            <w:pPr>
              <w:pStyle w:val="ListBullet"/>
              <w:jc w:val="both"/>
            </w:pPr>
            <w:r>
              <w:t>Ensure new staff participate in the university’s induction program and provide a localised work area orientation.</w:t>
            </w:r>
          </w:p>
        </w:tc>
      </w:tr>
    </w:tbl>
    <w:p w:rsidR="001D59C4" w:rsidRDefault="001D59C4" w:rsidP="00F138F2">
      <w:pPr>
        <w:pStyle w:val="Heading1"/>
      </w:pPr>
      <w:r>
        <w:t>Selection Criteria</w:t>
      </w:r>
    </w:p>
    <w:p w:rsidR="001D59C4" w:rsidRDefault="001B1F5F" w:rsidP="00F138F2">
      <w:pPr>
        <w:pStyle w:val="Heading2"/>
      </w:pPr>
      <w:r>
        <w:t>Essential</w:t>
      </w:r>
    </w:p>
    <w:p w:rsidR="00DD3A0E" w:rsidRDefault="007962B0" w:rsidP="00DD3A0E">
      <w:pPr>
        <w:pStyle w:val="ListBullet"/>
        <w:jc w:val="both"/>
      </w:pPr>
      <w:r>
        <w:t xml:space="preserve">Postgraduate qualifications in health sciences, behavioural sciences or public health. </w:t>
      </w:r>
    </w:p>
    <w:p w:rsidR="007962B0" w:rsidRDefault="007962B0" w:rsidP="007962B0">
      <w:pPr>
        <w:pStyle w:val="ListBullet"/>
      </w:pPr>
      <w:r>
        <w:t>Clinical qualifications (recognised in Australia) in the field of mental health.</w:t>
      </w:r>
    </w:p>
    <w:p w:rsidR="007962B0" w:rsidRDefault="007962B0" w:rsidP="007962B0">
      <w:pPr>
        <w:pStyle w:val="ListBullet"/>
      </w:pPr>
      <w:r w:rsidRPr="00210754">
        <w:t xml:space="preserve">Clinical experience in working with clients with posttraumatic </w:t>
      </w:r>
      <w:r w:rsidR="00B31209">
        <w:t xml:space="preserve">mental health issues </w:t>
      </w:r>
      <w:r w:rsidRPr="00210754">
        <w:t xml:space="preserve">using </w:t>
      </w:r>
      <w:r w:rsidR="00CC6905">
        <w:t>evidence-based approaches</w:t>
      </w:r>
      <w:r>
        <w:t>.</w:t>
      </w:r>
    </w:p>
    <w:p w:rsidR="007962B0" w:rsidRDefault="007962B0" w:rsidP="007962B0">
      <w:pPr>
        <w:pStyle w:val="ListBullet"/>
      </w:pPr>
      <w:r>
        <w:t xml:space="preserve">Demonstrated ability to </w:t>
      </w:r>
      <w:r w:rsidR="00CC6905">
        <w:t xml:space="preserve">manage </w:t>
      </w:r>
      <w:r w:rsidR="00051AC9">
        <w:t xml:space="preserve">staff and </w:t>
      </w:r>
      <w:r>
        <w:t>projects</w:t>
      </w:r>
      <w:r w:rsidR="007B0E9C">
        <w:t xml:space="preserve">, </w:t>
      </w:r>
      <w:r>
        <w:t>including planning, budgeting, delivery</w:t>
      </w:r>
      <w:r w:rsidR="00051AC9">
        <w:t xml:space="preserve">, and </w:t>
      </w:r>
      <w:r>
        <w:t>accountability.</w:t>
      </w:r>
    </w:p>
    <w:p w:rsidR="00A5477F" w:rsidRDefault="00A5477F" w:rsidP="00A5477F">
      <w:pPr>
        <w:pStyle w:val="ListBullet"/>
      </w:pPr>
      <w:r>
        <w:t>High-level, creative and adaptable writing and content development skills for a range of training, service development and promotional resources and for a diversity of audiences, including professional, administrative, lay and community.</w:t>
      </w:r>
    </w:p>
    <w:p w:rsidR="00A5477F" w:rsidRDefault="00A5477F" w:rsidP="001E2F95">
      <w:pPr>
        <w:pStyle w:val="ListBullet"/>
        <w:numPr>
          <w:ilvl w:val="0"/>
          <w:numId w:val="0"/>
        </w:numPr>
        <w:ind w:left="498"/>
      </w:pPr>
    </w:p>
    <w:p w:rsidR="007962B0" w:rsidRDefault="007962B0" w:rsidP="007962B0">
      <w:pPr>
        <w:pStyle w:val="ListBullet"/>
      </w:pPr>
      <w:r>
        <w:t>Excellent analytical and problem solving skills.</w:t>
      </w:r>
    </w:p>
    <w:p w:rsidR="007962B0" w:rsidRDefault="007962B0" w:rsidP="007962B0">
      <w:pPr>
        <w:pStyle w:val="ListBullet"/>
      </w:pPr>
      <w:r w:rsidRPr="0096291C">
        <w:t>Proven ability to work both independently and as part of a team, with strong interpersonal</w:t>
      </w:r>
      <w:r>
        <w:t>, communication and organisational skills.</w:t>
      </w:r>
    </w:p>
    <w:p w:rsidR="007962B0" w:rsidRDefault="007962B0" w:rsidP="007962B0">
      <w:pPr>
        <w:pStyle w:val="ListBullet"/>
      </w:pPr>
      <w:r>
        <w:t xml:space="preserve">Demonstrated ability to </w:t>
      </w:r>
      <w:r w:rsidR="00771C4D">
        <w:t xml:space="preserve">effectively </w:t>
      </w:r>
      <w:r>
        <w:t xml:space="preserve">liaise with </w:t>
      </w:r>
      <w:r w:rsidR="00771C4D">
        <w:t>external stakeholders.</w:t>
      </w:r>
    </w:p>
    <w:p w:rsidR="007F18EF" w:rsidRDefault="00FF289A" w:rsidP="0076081E">
      <w:pPr>
        <w:pStyle w:val="ListBullet"/>
      </w:pPr>
      <w:r w:rsidRPr="00FF289A">
        <w:t>Demonstrated competency with working with Microsoft suite of products (e.g. Word, PowerPoint, Excel) and Endnote.</w:t>
      </w:r>
    </w:p>
    <w:p w:rsidR="001D59C4" w:rsidRDefault="001D59C4" w:rsidP="00F138F2">
      <w:pPr>
        <w:pStyle w:val="Heading2"/>
      </w:pPr>
      <w:r>
        <w:lastRenderedPageBreak/>
        <w:t>Desirable</w:t>
      </w:r>
    </w:p>
    <w:p w:rsidR="00C61402" w:rsidRDefault="00D5574B" w:rsidP="00C61402">
      <w:pPr>
        <w:pStyle w:val="ListBullet"/>
      </w:pPr>
      <w:r>
        <w:t>A PhD or other Doctoral level qualifications</w:t>
      </w:r>
    </w:p>
    <w:p w:rsidR="00D5574B" w:rsidRPr="00D44835" w:rsidRDefault="00D5574B" w:rsidP="00D5574B">
      <w:pPr>
        <w:pStyle w:val="ListBullet"/>
      </w:pPr>
      <w:r>
        <w:t xml:space="preserve">Knowledge of </w:t>
      </w:r>
      <w:r w:rsidR="003A4D32">
        <w:t xml:space="preserve">clinical and </w:t>
      </w:r>
      <w:r>
        <w:t>research literature in relation to posttraumatic mental health.</w:t>
      </w:r>
    </w:p>
    <w:p w:rsidR="00D5574B" w:rsidRDefault="000B77C3" w:rsidP="00D5574B">
      <w:pPr>
        <w:pStyle w:val="ListBullet"/>
      </w:pPr>
      <w:r>
        <w:t xml:space="preserve">Experience in delivery of skills-based training </w:t>
      </w:r>
      <w:r w:rsidR="00B07212">
        <w:t>workshops and/or stakeholder consultations.</w:t>
      </w:r>
    </w:p>
    <w:p w:rsidR="00480AF9" w:rsidRDefault="00480AF9" w:rsidP="00F138F2">
      <w:pPr>
        <w:pStyle w:val="Heading2"/>
      </w:pPr>
      <w:r>
        <w:t>Special Requirements</w:t>
      </w:r>
    </w:p>
    <w:p w:rsidR="00480AF9" w:rsidRPr="0057787A" w:rsidRDefault="00D5574B" w:rsidP="00480AF9">
      <w:pPr>
        <w:pStyle w:val="ListBullet"/>
      </w:pPr>
      <w:r>
        <w:t xml:space="preserve">Interstate travel, with occasional overnight stays, will be required from time to time. </w:t>
      </w:r>
    </w:p>
    <w:p w:rsidR="0027644B" w:rsidRDefault="0027644B" w:rsidP="0027644B">
      <w:pPr>
        <w:pStyle w:val="Heading1"/>
      </w:pPr>
      <w:r>
        <w:t>Equal Opportunity, Diversity and Inclusion</w:t>
      </w:r>
    </w:p>
    <w:p w:rsidR="0027644B" w:rsidRPr="005C20A9" w:rsidRDefault="0027644B" w:rsidP="0027644B">
      <w:pPr>
        <w:pStyle w:val="BodyTextIndent"/>
      </w:pPr>
      <w:r w:rsidRPr="005C20A9">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rsidR="0027644B" w:rsidRPr="005C20A9" w:rsidRDefault="0027644B" w:rsidP="0027644B">
      <w:pPr>
        <w:pStyle w:val="BodyTextIndent"/>
      </w:pPr>
      <w:r w:rsidRPr="005C20A9">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rsidR="0027644B" w:rsidRPr="005C20A9" w:rsidRDefault="0027644B" w:rsidP="0027644B">
      <w:pPr>
        <w:pStyle w:val="BodyTextIndent"/>
      </w:pPr>
      <w:r w:rsidRPr="005C20A9">
        <w:t xml:space="preserve">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w:t>
      </w:r>
      <w:r>
        <w:t>desire to strive</w:t>
      </w:r>
      <w:r w:rsidRPr="005C20A9">
        <w:t xml:space="preserve"> for excellence and reach the targets of Growing Esteem.</w:t>
      </w:r>
    </w:p>
    <w:p w:rsidR="0027644B" w:rsidRDefault="0027644B" w:rsidP="0027644B">
      <w:pPr>
        <w:pStyle w:val="Heading1"/>
      </w:pPr>
      <w:r>
        <w:t xml:space="preserve">Occupational Health and Safety (OHS) </w:t>
      </w:r>
    </w:p>
    <w:p w:rsidR="00B02D61" w:rsidRPr="005C20A9" w:rsidRDefault="00B02D61" w:rsidP="00B02D61">
      <w:pPr>
        <w:pStyle w:val="BodyTextIndent"/>
      </w:pPr>
      <w:r w:rsidRPr="005C20A9">
        <w:t xml:space="preserve">All staff are required to take reasonable care for their own health and safety and that of other personnel who may be affected by their conduct.  </w:t>
      </w:r>
    </w:p>
    <w:p w:rsidR="00B02D61" w:rsidRPr="005C20A9" w:rsidRDefault="00B02D61" w:rsidP="00B02D61">
      <w:pPr>
        <w:pStyle w:val="BodyTextIndent"/>
      </w:pPr>
      <w:r w:rsidRPr="005C20A9">
        <w:t xml:space="preserve">OHS responsibilities applicable to positions are published at: </w:t>
      </w:r>
    </w:p>
    <w:p w:rsidR="00B02D61" w:rsidRPr="005C20A9" w:rsidRDefault="001356C2" w:rsidP="00B02D61">
      <w:pPr>
        <w:pStyle w:val="BodyTextIndent"/>
        <w:rPr>
          <w:rFonts w:cs="Arial"/>
          <w:color w:val="336699"/>
        </w:rPr>
      </w:pPr>
      <w:hyperlink r:id="rId15" w:history="1">
        <w:r w:rsidR="00B02D61" w:rsidRPr="005C20A9">
          <w:rPr>
            <w:rStyle w:val="Hyperlink"/>
            <w:rFonts w:cs="Arial"/>
            <w:b/>
          </w:rPr>
          <w:t>http://safety.unimelb.edu.au/topics/responsibilities/</w:t>
        </w:r>
      </w:hyperlink>
    </w:p>
    <w:p w:rsidR="00B02D61" w:rsidRPr="005C20A9" w:rsidRDefault="00B02D61" w:rsidP="00B02D61">
      <w:pPr>
        <w:pStyle w:val="BodyTextIndent"/>
      </w:pPr>
      <w:r w:rsidRPr="005C20A9">
        <w:t>These include general staff responsibilities and those additional responsibilities that apply for Managers and Supervisors and other Personnel.</w:t>
      </w:r>
    </w:p>
    <w:p w:rsidR="00B13172" w:rsidRDefault="00B13172" w:rsidP="0027644B">
      <w:pPr>
        <w:pStyle w:val="BodyTextIndent"/>
      </w:pPr>
    </w:p>
    <w:p w:rsidR="0027644B" w:rsidRDefault="0027644B" w:rsidP="0076081E">
      <w:pPr>
        <w:pStyle w:val="ListBullet"/>
        <w:numPr>
          <w:ilvl w:val="0"/>
          <w:numId w:val="0"/>
        </w:numPr>
      </w:pPr>
    </w:p>
    <w:p w:rsidR="0076081E" w:rsidRDefault="0076081E" w:rsidP="0076081E">
      <w:pPr>
        <w:pStyle w:val="ListBullet"/>
        <w:numPr>
          <w:ilvl w:val="0"/>
          <w:numId w:val="0"/>
        </w:numPr>
      </w:pPr>
    </w:p>
    <w:p w:rsidR="001D59C4" w:rsidRPr="00905DEE" w:rsidRDefault="001D59C4" w:rsidP="00F138F2">
      <w:pPr>
        <w:pStyle w:val="Heading1"/>
      </w:pPr>
      <w:r>
        <w:lastRenderedPageBreak/>
        <w:t>Other Information</w:t>
      </w:r>
    </w:p>
    <w:p w:rsidR="00BB5C83" w:rsidRDefault="00BB5C83" w:rsidP="00BB5C83">
      <w:pPr>
        <w:pStyle w:val="Heading2afterHeading1"/>
        <w:tabs>
          <w:tab w:val="clear" w:pos="113"/>
        </w:tabs>
        <w:ind w:left="567" w:hanging="567"/>
        <w:jc w:val="both"/>
      </w:pPr>
      <w:r>
        <w:t>Phoenix australia-centre for posttraumatic mental health</w:t>
      </w:r>
    </w:p>
    <w:p w:rsidR="00BB5C83" w:rsidRDefault="00BB5C83" w:rsidP="00BB5C83">
      <w:pPr>
        <w:pStyle w:val="BodyTextIndent"/>
        <w:jc w:val="both"/>
      </w:pPr>
      <w:r>
        <w:t>Phoenix Australia is a legally independent, not for profit incorporated association which sits academically within the Department of Psychiatry, the University of Melbourne.  It reports to a Board of Management with members including representatives from the Department of Veterans’ Affairs, Department of Defence, the University of Melbourne and independent members. All staff are employed by the University of Melbourne and permanently seconded to Phoenix Australia.</w:t>
      </w:r>
    </w:p>
    <w:p w:rsidR="00BB5C83" w:rsidRDefault="00BB5C83" w:rsidP="00BB5C83">
      <w:pPr>
        <w:pStyle w:val="BodyTextIndent"/>
        <w:jc w:val="both"/>
      </w:pPr>
      <w:r>
        <w:t>In line with its mission, Phoenix Australia has three distinct but interrelated roles:</w:t>
      </w:r>
    </w:p>
    <w:p w:rsidR="00BB5C83" w:rsidRDefault="00BB5C83" w:rsidP="00BB5C83">
      <w:pPr>
        <w:pStyle w:val="ListBullet2"/>
        <w:tabs>
          <w:tab w:val="clear" w:pos="498"/>
          <w:tab w:val="clear" w:pos="900"/>
          <w:tab w:val="left" w:pos="851"/>
        </w:tabs>
        <w:ind w:left="851" w:hanging="284"/>
        <w:jc w:val="both"/>
      </w:pPr>
      <w:r>
        <w:t xml:space="preserve">A strong </w:t>
      </w:r>
      <w:r w:rsidRPr="007B29E0">
        <w:rPr>
          <w:b/>
        </w:rPr>
        <w:t xml:space="preserve">research </w:t>
      </w:r>
      <w:r w:rsidRPr="007B29E0">
        <w:t>and evaluation</w:t>
      </w:r>
      <w:r>
        <w:t xml:space="preserve"> focus, conducting and facilitating studies into many aspects of trauma-related mental health and wellbeing. Some of this research is commissioned by key stakeholders, while other studies are funded by competitive grants from bodies such as NH&amp;MRC. Phoenix Australia also has a key role in disseminating important findings and developments from the international trauma research literature.</w:t>
      </w:r>
    </w:p>
    <w:p w:rsidR="00BB5C83" w:rsidRDefault="00BB5C83" w:rsidP="00BB5C83">
      <w:pPr>
        <w:pStyle w:val="ListBullet2"/>
        <w:tabs>
          <w:tab w:val="clear" w:pos="498"/>
          <w:tab w:val="clear" w:pos="900"/>
          <w:tab w:val="left" w:pos="851"/>
        </w:tabs>
        <w:ind w:left="851" w:hanging="284"/>
        <w:jc w:val="both"/>
      </w:pPr>
      <w:r>
        <w:t xml:space="preserve">Provision of </w:t>
      </w:r>
      <w:r w:rsidRPr="007B29E0">
        <w:rPr>
          <w:b/>
        </w:rPr>
        <w:t>policy and service improvement advice</w:t>
      </w:r>
      <w:r>
        <w:t xml:space="preserve"> to Federal and State governments, as well as to various public and private sector organisations with an interest in improving mental health outcomes following trauma. This work includes activities such as policy and program advice about the full range of issues associated with the mental health effects of trauma, development of service models, quality improvement and assurance, and the dissemination of clinical practice guidelines.</w:t>
      </w:r>
    </w:p>
    <w:p w:rsidR="00BB5C83" w:rsidRDefault="00BB5C83" w:rsidP="00BB5C83">
      <w:pPr>
        <w:pStyle w:val="ListBullet2"/>
        <w:tabs>
          <w:tab w:val="clear" w:pos="498"/>
          <w:tab w:val="clear" w:pos="900"/>
          <w:tab w:val="left" w:pos="851"/>
        </w:tabs>
        <w:ind w:left="851" w:hanging="284"/>
        <w:jc w:val="both"/>
      </w:pPr>
      <w:r>
        <w:t xml:space="preserve">It also conducts and supports a broad range of awareness, </w:t>
      </w:r>
      <w:r>
        <w:rPr>
          <w:b/>
        </w:rPr>
        <w:t>training</w:t>
      </w:r>
      <w:r w:rsidRPr="007B29E0">
        <w:rPr>
          <w:b/>
        </w:rPr>
        <w:t xml:space="preserve"> and education</w:t>
      </w:r>
      <w:r>
        <w:t xml:space="preserve"> initiatives in the field of posttraumatic mental health.</w:t>
      </w:r>
    </w:p>
    <w:p w:rsidR="00BB5C83" w:rsidRDefault="00BB5C83" w:rsidP="00BB5C83">
      <w:pPr>
        <w:pStyle w:val="BodyTextIndent"/>
        <w:jc w:val="both"/>
      </w:pPr>
      <w:r>
        <w:t>Wherever possible, Phoenix Australia’s work is integrated such that research findings form the basis of our policy and service improvement advice, which, in turn, informs our training and education agenda. The staffing profile includes experienced clinicians and researchers and Phoenix Australia is internationally recognised for its work in the field.</w:t>
      </w:r>
    </w:p>
    <w:p w:rsidR="00BB5C83" w:rsidRDefault="00BB5C83" w:rsidP="0076081E">
      <w:pPr>
        <w:pStyle w:val="BodyTextIndent"/>
        <w:jc w:val="both"/>
      </w:pPr>
      <w:r>
        <w:t xml:space="preserve">For further information, visit Phoenix Australia’s website at </w:t>
      </w:r>
      <w:hyperlink r:id="rId16" w:history="1">
        <w:r w:rsidRPr="006C5A8B">
          <w:rPr>
            <w:rStyle w:val="Hyperlink"/>
          </w:rPr>
          <w:t>www.phoenixaustralia.org</w:t>
        </w:r>
      </w:hyperlink>
    </w:p>
    <w:p w:rsidR="00BB5C83" w:rsidRDefault="00BB5C83" w:rsidP="00BB5C83">
      <w:pPr>
        <w:pStyle w:val="Heading2afterHeading1"/>
      </w:pPr>
      <w:r>
        <w:t>DEPARTMENT OF PSYCHIATRY</w:t>
      </w:r>
    </w:p>
    <w:p w:rsidR="00BB5C83" w:rsidRDefault="001356C2" w:rsidP="00BB5C83">
      <w:pPr>
        <w:spacing w:after="120" w:line="280" w:lineRule="atLeast"/>
        <w:ind w:left="539"/>
        <w:jc w:val="both"/>
        <w:rPr>
          <w:rFonts w:ascii="Arial" w:hAnsi="Arial" w:cs="Arial"/>
          <w:color w:val="954F72"/>
          <w:sz w:val="20"/>
          <w:szCs w:val="20"/>
        </w:rPr>
      </w:pPr>
      <w:hyperlink r:id="rId17" w:history="1">
        <w:r w:rsidR="00BB5C83">
          <w:rPr>
            <w:rStyle w:val="Hyperlink"/>
            <w:rFonts w:ascii="Arial" w:hAnsi="Arial" w:cs="Arial"/>
            <w:sz w:val="20"/>
            <w:szCs w:val="20"/>
          </w:rPr>
          <w:t>http://www.psychiatry.unimelb.edu.au/</w:t>
        </w:r>
      </w:hyperlink>
    </w:p>
    <w:p w:rsidR="00BB5C83" w:rsidRDefault="00BB5C83" w:rsidP="00BB5C83">
      <w:pPr>
        <w:pStyle w:val="BodyText"/>
        <w:ind w:left="567"/>
        <w:rPr>
          <w:rFonts w:cs="Arial"/>
        </w:rPr>
      </w:pPr>
      <w:r>
        <w:rPr>
          <w:rFonts w:cs="Arial"/>
        </w:rPr>
        <w:t xml:space="preserve">The Department of Psychiatry at the University of Melbourne was established in the 1960s. </w:t>
      </w:r>
    </w:p>
    <w:p w:rsidR="00BB5C83" w:rsidRDefault="00BB5C83" w:rsidP="00BB5C83">
      <w:pPr>
        <w:pStyle w:val="BodyText"/>
        <w:ind w:left="567"/>
        <w:rPr>
          <w:rFonts w:cs="Arial"/>
        </w:rPr>
      </w:pPr>
      <w:r>
        <w:rPr>
          <w:rFonts w:cs="Arial"/>
        </w:rPr>
        <w:t>The Department is a large Department within the Melbourne Medical School.</w:t>
      </w:r>
      <w:r w:rsidRPr="001E4F0C">
        <w:rPr>
          <w:rFonts w:cs="Arial"/>
        </w:rPr>
        <w:t xml:space="preserve"> </w:t>
      </w:r>
      <w:r>
        <w:rPr>
          <w:rFonts w:cs="Arial"/>
        </w:rPr>
        <w:t xml:space="preserve">There are approximately 115 academic and professional staff, 170 honorary staff and about 45 students who are enrolled to pursue research degrees from Honours, Masters and PhD programs. A further 230 students are enrolled in graduate coursework programs, including the flagship Master of Psychiatry course. The Department’s operating budget is $5.5m and research income is $6.9m.The Department plays a key role in the current medical curriculum for the graduate MD course in medicine, providing rotations in psychiatry for medical students and teaching in other sections of the course. The Department also offers many opportunities for students undertaking research projects in Phase 3 of the MD course, which comprises a significant research experience. </w:t>
      </w:r>
    </w:p>
    <w:p w:rsidR="00BB5C83" w:rsidRDefault="00BB5C83" w:rsidP="00BB5C83">
      <w:pPr>
        <w:pStyle w:val="BodyText"/>
        <w:ind w:left="567"/>
        <w:rPr>
          <w:rFonts w:cs="Arial"/>
        </w:rPr>
      </w:pPr>
      <w:r>
        <w:rPr>
          <w:rFonts w:cs="Arial"/>
        </w:rPr>
        <w:t xml:space="preserve">The Department has major teaching and research units at Austin Health, Melbourne Health and St. Vincent's Health. The Head of the Department of Psychiatry is the Cato Professor of Psychiatry. In addition, there are a number of research centres, offices and </w:t>
      </w:r>
      <w:r>
        <w:rPr>
          <w:rFonts w:cs="Arial"/>
        </w:rPr>
        <w:lastRenderedPageBreak/>
        <w:t xml:space="preserve">units and many psychiatric units within Victoria that are affiliated with the Department of Psychiatry in which academic appointees of the Department are located. </w:t>
      </w:r>
    </w:p>
    <w:p w:rsidR="00BB5C83" w:rsidRDefault="00BB5C83" w:rsidP="00BB5C83">
      <w:pPr>
        <w:pStyle w:val="BodyText"/>
        <w:ind w:left="567"/>
        <w:rPr>
          <w:rFonts w:cs="Arial"/>
        </w:rPr>
      </w:pPr>
      <w:r>
        <w:rPr>
          <w:rFonts w:cs="Arial"/>
        </w:rPr>
        <w:t xml:space="preserve">The research structure of the Department comprises: the Academic Unit for Psychiatry of Old Age; Melbourne Neuropsychiatry Centre (MNC); Phoenix Australia, Centre for Posttraumatic Mental Health and the Psychosocial Research Centre. The psychiatric units include those at the Sunshine and Northern hospitals and two private hospitals, the Albert Road Clinic (Ramsay Health Care). and the Melbourne Clinic (Healthscope). The Department of Psychiatry is involved extensively in direct clinical care delivery, development of service delivery, medical student and psychiatric trainee education and psychiatric research. </w:t>
      </w:r>
    </w:p>
    <w:p w:rsidR="00BB5C83" w:rsidRDefault="00BB5C83" w:rsidP="00BB5C83">
      <w:pPr>
        <w:pStyle w:val="BodyText"/>
        <w:ind w:left="567"/>
        <w:rPr>
          <w:rFonts w:cs="Arial"/>
        </w:rPr>
      </w:pPr>
      <w:r>
        <w:rPr>
          <w:rFonts w:cs="Arial"/>
        </w:rPr>
        <w:t xml:space="preserve">The research interests of the Department include personalised psychiatry, prediction and biomarker research in psychiatry, molecular and cellular neuropathology, neuropsychiatry, neuroimaging, neuropsychology, psychosocial research, economic evaluation, psycho-neuroendocrinology, psycho-pharmacology, psycho-oncology, ethics, psychiatric epidemiology, service delivery in mental health and a variety of psychiatric conditions including but not limited to early psychosis and youth mental health, mood disorders, anxiety disorders, personality disorders, addiction disorders, eating disorders, childhood psychiatric disorders, women's mental health, dementia and psychiatry of old age. </w:t>
      </w:r>
    </w:p>
    <w:p w:rsidR="00BB5C83" w:rsidRDefault="00BB5C83" w:rsidP="00BB5C83">
      <w:pPr>
        <w:pStyle w:val="Heading2"/>
      </w:pPr>
      <w:r>
        <w:t>Melbourne Medical School</w:t>
      </w:r>
      <w:r w:rsidRPr="00E10F6E">
        <w:t xml:space="preserve"> </w:t>
      </w:r>
    </w:p>
    <w:p w:rsidR="00BB5C83" w:rsidRDefault="001356C2" w:rsidP="00BB5C83">
      <w:pPr>
        <w:spacing w:after="120" w:line="280" w:lineRule="atLeast"/>
        <w:ind w:left="539"/>
        <w:jc w:val="both"/>
        <w:rPr>
          <w:rFonts w:ascii="Arial" w:hAnsi="Arial" w:cs="Arial"/>
          <w:color w:val="954F72"/>
          <w:sz w:val="20"/>
          <w:szCs w:val="20"/>
        </w:rPr>
      </w:pPr>
      <w:hyperlink r:id="rId18" w:history="1">
        <w:r w:rsidR="00BB5C83" w:rsidRPr="00351AB7">
          <w:rPr>
            <w:rStyle w:val="Hyperlink"/>
            <w:rFonts w:ascii="Arial" w:hAnsi="Arial" w:cs="Arial"/>
            <w:sz w:val="20"/>
            <w:szCs w:val="20"/>
          </w:rPr>
          <w:t>http://www.medicine.unimelb.edu.au/</w:t>
        </w:r>
      </w:hyperlink>
    </w:p>
    <w:p w:rsidR="00BB5C83" w:rsidRPr="00792163" w:rsidRDefault="00BB5C83" w:rsidP="00BB5C83">
      <w:pPr>
        <w:spacing w:after="120" w:line="280" w:lineRule="atLeast"/>
        <w:ind w:left="539"/>
        <w:jc w:val="both"/>
        <w:rPr>
          <w:rFonts w:ascii="Arial" w:hAnsi="Arial" w:cs="Arial"/>
          <w:color w:val="000000"/>
          <w:sz w:val="20"/>
          <w:szCs w:val="20"/>
        </w:rPr>
      </w:pPr>
      <w:bookmarkStart w:id="1" w:name="_Hlk535304417"/>
      <w:r>
        <w:rPr>
          <w:rFonts w:ascii="Arial" w:hAnsi="Arial" w:cs="Arial"/>
          <w:color w:val="000000"/>
          <w:sz w:val="20"/>
          <w:szCs w:val="20"/>
        </w:rPr>
        <w:t>Established in 1862,</w:t>
      </w:r>
      <w:r w:rsidRPr="00792163">
        <w:rPr>
          <w:rFonts w:ascii="Arial" w:hAnsi="Arial" w:cs="Arial"/>
          <w:color w:val="000000"/>
          <w:sz w:val="20"/>
          <w:szCs w:val="20"/>
        </w:rPr>
        <w:t xml:space="preserve"> Melbourne Medical School (MMS) in the Faculty of Medicine, Dentistry and Health Sciences at the University of Melbourne is the oldest medical school in Australia. It is internationally renowned for global leadership in teaching and training, health rese</w:t>
      </w:r>
      <w:r>
        <w:rPr>
          <w:rFonts w:ascii="Arial" w:hAnsi="Arial" w:cs="Arial"/>
          <w:color w:val="000000"/>
          <w:sz w:val="20"/>
          <w:szCs w:val="20"/>
        </w:rPr>
        <w:t>arch, policy and practice. The</w:t>
      </w:r>
      <w:r w:rsidRPr="00792163">
        <w:rPr>
          <w:rFonts w:ascii="Arial" w:hAnsi="Arial" w:cs="Arial"/>
          <w:color w:val="000000"/>
          <w:sz w:val="20"/>
          <w:szCs w:val="20"/>
        </w:rPr>
        <w:t xml:space="preserve"> School is ranked ninth in the world (Times Higher Education World University Rankings 2019 for clinical, pre-clinical and health), has strong academic partnerships and ground-breaking collaborative research programs with leading hospitals in both the public and private sectors, as well as with leading medical research institutes and centres, nationally and internationally. </w:t>
      </w:r>
    </w:p>
    <w:p w:rsidR="00BB5C83" w:rsidRPr="001720B5" w:rsidRDefault="00BB5C83" w:rsidP="00BB5C83">
      <w:pPr>
        <w:spacing w:after="120" w:line="280" w:lineRule="atLeast"/>
        <w:ind w:left="539"/>
        <w:jc w:val="both"/>
        <w:rPr>
          <w:rFonts w:ascii="Arial" w:hAnsi="Arial" w:cs="Arial"/>
          <w:color w:val="000000"/>
          <w:sz w:val="20"/>
          <w:szCs w:val="20"/>
        </w:rPr>
      </w:pPr>
      <w:r w:rsidRPr="00351AB7">
        <w:rPr>
          <w:rFonts w:ascii="Arial" w:hAnsi="Arial" w:cs="Arial"/>
          <w:color w:val="000000"/>
          <w:sz w:val="20"/>
          <w:szCs w:val="20"/>
        </w:rPr>
        <w:t xml:space="preserve">MMS is committed to working with the communities we serve to improve health and advance health care. We </w:t>
      </w:r>
      <w:bookmarkEnd w:id="1"/>
      <w:r w:rsidRPr="00351AB7">
        <w:rPr>
          <w:rFonts w:ascii="Arial" w:hAnsi="Arial" w:cs="Arial"/>
          <w:color w:val="000000"/>
          <w:sz w:val="20"/>
          <w:szCs w:val="20"/>
        </w:rPr>
        <w:t>will do this through our teaching, learning, research, clinical care and advocacy.</w:t>
      </w:r>
    </w:p>
    <w:p w:rsidR="00BB5C83" w:rsidRPr="001720B5" w:rsidRDefault="00BB5C83" w:rsidP="00BB5C83">
      <w:pPr>
        <w:spacing w:after="120" w:line="280" w:lineRule="atLeast"/>
        <w:ind w:left="539"/>
        <w:jc w:val="both"/>
        <w:rPr>
          <w:rFonts w:ascii="Arial" w:hAnsi="Arial" w:cs="Arial"/>
          <w:color w:val="000000"/>
          <w:sz w:val="20"/>
          <w:szCs w:val="20"/>
        </w:rPr>
      </w:pPr>
      <w:r>
        <w:rPr>
          <w:rFonts w:ascii="Arial" w:hAnsi="Arial" w:cs="Arial"/>
          <w:color w:val="000000"/>
          <w:sz w:val="20"/>
          <w:szCs w:val="20"/>
        </w:rPr>
        <w:t xml:space="preserve">With nine </w:t>
      </w:r>
      <w:r w:rsidRPr="00351AB7">
        <w:rPr>
          <w:rFonts w:ascii="Arial" w:hAnsi="Arial" w:cs="Arial"/>
          <w:color w:val="000000"/>
          <w:sz w:val="20"/>
          <w:szCs w:val="20"/>
        </w:rPr>
        <w:t>clinical departments (</w:t>
      </w:r>
      <w:r>
        <w:rPr>
          <w:rFonts w:ascii="Arial" w:hAnsi="Arial" w:cs="Arial"/>
          <w:color w:val="000000"/>
          <w:sz w:val="20"/>
          <w:szCs w:val="20"/>
        </w:rPr>
        <w:t xml:space="preserve">Clinical Pathology, </w:t>
      </w:r>
      <w:r w:rsidRPr="00351AB7">
        <w:rPr>
          <w:rFonts w:ascii="Arial" w:hAnsi="Arial" w:cs="Arial"/>
          <w:color w:val="000000"/>
          <w:sz w:val="20"/>
          <w:szCs w:val="20"/>
        </w:rPr>
        <w:t xml:space="preserve">General Practice, Medical Education, Medicine and Radiology, Obstetrics and Gynaecology, Paediatrics, Psychiatry, Rural Health and Surgery) </w:t>
      </w:r>
      <w:r>
        <w:rPr>
          <w:rFonts w:ascii="Arial" w:hAnsi="Arial" w:cs="Arial"/>
          <w:color w:val="000000"/>
          <w:sz w:val="20"/>
          <w:szCs w:val="20"/>
        </w:rPr>
        <w:t>the MMS has over 900 academic and professional staff members who are located at the University of Melbourne’s Parkville campus or are</w:t>
      </w:r>
      <w:r w:rsidRPr="00351AB7">
        <w:rPr>
          <w:rFonts w:ascii="Arial" w:hAnsi="Arial" w:cs="Arial"/>
          <w:color w:val="000000"/>
          <w:sz w:val="20"/>
          <w:szCs w:val="20"/>
        </w:rPr>
        <w:t xml:space="preserve"> embedded within health services throughout metropolitan Melbourne and rural Victoria. </w:t>
      </w:r>
      <w:r w:rsidRPr="00826D5D">
        <w:rPr>
          <w:rFonts w:ascii="Arial" w:hAnsi="Arial" w:cs="Arial"/>
          <w:color w:val="000000"/>
          <w:sz w:val="20"/>
          <w:szCs w:val="20"/>
        </w:rPr>
        <w:t xml:space="preserve"> In addition, MMS staff are privileged to work alongside over 2400 honorary appointees from the health sector who tirelessly contribute their time, knowledge and clinical expertise to the education of our students.</w:t>
      </w:r>
    </w:p>
    <w:p w:rsidR="00BB5C83" w:rsidRPr="001720B5" w:rsidRDefault="00BB5C83" w:rsidP="00BB5C83">
      <w:pPr>
        <w:spacing w:after="120" w:line="280" w:lineRule="atLeast"/>
        <w:ind w:left="539"/>
        <w:jc w:val="both"/>
        <w:rPr>
          <w:rFonts w:ascii="Arial" w:hAnsi="Arial" w:cs="Arial"/>
          <w:color w:val="000000"/>
          <w:sz w:val="20"/>
          <w:szCs w:val="20"/>
        </w:rPr>
      </w:pPr>
      <w:r>
        <w:rPr>
          <w:rFonts w:ascii="Arial" w:hAnsi="Arial" w:cs="Arial"/>
          <w:color w:val="000000"/>
          <w:sz w:val="20"/>
          <w:szCs w:val="20"/>
        </w:rPr>
        <w:t>MMS delivers a suite of health-</w:t>
      </w:r>
      <w:r w:rsidRPr="00351AB7">
        <w:rPr>
          <w:rFonts w:ascii="Arial" w:hAnsi="Arial" w:cs="Arial"/>
          <w:color w:val="000000"/>
          <w:sz w:val="20"/>
          <w:szCs w:val="20"/>
        </w:rPr>
        <w:t xml:space="preserve">related graduate programs </w:t>
      </w:r>
      <w:r>
        <w:rPr>
          <w:rFonts w:ascii="Arial" w:hAnsi="Arial" w:cs="Arial"/>
          <w:color w:val="000000"/>
          <w:sz w:val="20"/>
          <w:szCs w:val="20"/>
        </w:rPr>
        <w:t>including t</w:t>
      </w:r>
      <w:r w:rsidRPr="000236DE">
        <w:rPr>
          <w:rFonts w:ascii="Arial" w:hAnsi="Arial" w:cs="Arial"/>
          <w:color w:val="000000"/>
          <w:sz w:val="20"/>
          <w:szCs w:val="20"/>
        </w:rPr>
        <w:t>he Doctor of Medicine (MD)</w:t>
      </w:r>
      <w:r>
        <w:rPr>
          <w:rFonts w:ascii="Arial" w:hAnsi="Arial" w:cs="Arial"/>
          <w:color w:val="000000"/>
          <w:sz w:val="20"/>
          <w:szCs w:val="20"/>
        </w:rPr>
        <w:t xml:space="preserve"> which</w:t>
      </w:r>
      <w:r w:rsidRPr="000236DE">
        <w:rPr>
          <w:rFonts w:ascii="Arial" w:hAnsi="Arial" w:cs="Arial"/>
          <w:color w:val="000000"/>
          <w:sz w:val="20"/>
          <w:szCs w:val="20"/>
        </w:rPr>
        <w:t xml:space="preserve"> is the School’s flagship program. It was the first Masters level entry-to-practice medicine qualification developed in Australia and set a new benchmark in medical education.</w:t>
      </w:r>
    </w:p>
    <w:p w:rsidR="00BB5C83" w:rsidRPr="00C27A6D" w:rsidRDefault="00BB5C83" w:rsidP="00BB5C83">
      <w:pPr>
        <w:spacing w:after="120" w:line="280" w:lineRule="atLeast"/>
        <w:ind w:left="539"/>
        <w:jc w:val="both"/>
        <w:rPr>
          <w:rFonts w:ascii="Arial" w:hAnsi="Arial" w:cs="Arial"/>
          <w:color w:val="000000"/>
          <w:sz w:val="20"/>
          <w:szCs w:val="20"/>
        </w:rPr>
      </w:pPr>
      <w:r w:rsidRPr="00351AB7">
        <w:rPr>
          <w:rFonts w:ascii="Arial" w:hAnsi="Arial" w:cs="Arial"/>
          <w:color w:val="000000"/>
          <w:sz w:val="20"/>
          <w:szCs w:val="20"/>
        </w:rPr>
        <w:t xml:space="preserve">MMS is committed to improving the wellbeing of the community through the discovery and application of new knowledge. </w:t>
      </w:r>
      <w:r>
        <w:rPr>
          <w:rFonts w:ascii="Arial" w:hAnsi="Arial" w:cs="Arial"/>
          <w:color w:val="000000"/>
          <w:sz w:val="20"/>
          <w:szCs w:val="20"/>
        </w:rPr>
        <w:t>With an annual research income of $88.5 million t</w:t>
      </w:r>
      <w:r w:rsidRPr="00351AB7">
        <w:rPr>
          <w:rFonts w:ascii="Arial" w:hAnsi="Arial" w:cs="Arial"/>
          <w:color w:val="000000"/>
          <w:sz w:val="20"/>
          <w:szCs w:val="20"/>
        </w:rPr>
        <w:t xml:space="preserve">he </w:t>
      </w:r>
      <w:r w:rsidRPr="00351AB7">
        <w:rPr>
          <w:rFonts w:ascii="Arial" w:hAnsi="Arial" w:cs="Arial"/>
          <w:color w:val="000000"/>
          <w:sz w:val="20"/>
          <w:szCs w:val="20"/>
        </w:rPr>
        <w:lastRenderedPageBreak/>
        <w:t xml:space="preserve">research effort of the school is highly collaborative and spans </w:t>
      </w:r>
      <w:r>
        <w:rPr>
          <w:rFonts w:ascii="Arial" w:hAnsi="Arial" w:cs="Arial"/>
          <w:color w:val="000000"/>
          <w:sz w:val="20"/>
          <w:szCs w:val="20"/>
        </w:rPr>
        <w:t xml:space="preserve">basic to translational research. </w:t>
      </w:r>
      <w:r w:rsidRPr="00C27A6D">
        <w:rPr>
          <w:rFonts w:ascii="Arial" w:hAnsi="Arial" w:cs="Arial"/>
          <w:color w:val="000000"/>
          <w:sz w:val="20"/>
          <w:szCs w:val="20"/>
        </w:rPr>
        <w:t xml:space="preserve">MMS has nearly 550 higher degree by research candidates. </w:t>
      </w:r>
    </w:p>
    <w:p w:rsidR="00BB5C83" w:rsidRDefault="00BB5C83" w:rsidP="00BB5C83">
      <w:pPr>
        <w:spacing w:after="120" w:line="280" w:lineRule="atLeast"/>
        <w:ind w:left="539"/>
        <w:jc w:val="both"/>
        <w:rPr>
          <w:rFonts w:ascii="Arial" w:hAnsi="Arial" w:cs="Arial"/>
          <w:color w:val="000000"/>
          <w:sz w:val="20"/>
          <w:szCs w:val="20"/>
        </w:rPr>
      </w:pPr>
      <w:r>
        <w:rPr>
          <w:rFonts w:ascii="Arial" w:hAnsi="Arial" w:cs="Arial"/>
          <w:color w:val="000000"/>
          <w:sz w:val="20"/>
          <w:szCs w:val="20"/>
        </w:rPr>
        <w:t>School staff members</w:t>
      </w:r>
      <w:r w:rsidRPr="00351AB7">
        <w:rPr>
          <w:rFonts w:ascii="Arial" w:hAnsi="Arial" w:cs="Arial"/>
          <w:color w:val="000000"/>
          <w:sz w:val="20"/>
          <w:szCs w:val="20"/>
        </w:rPr>
        <w:t xml:space="preserve"> also actively</w:t>
      </w:r>
      <w:r>
        <w:rPr>
          <w:rFonts w:ascii="Arial" w:hAnsi="Arial" w:cs="Arial"/>
          <w:color w:val="000000"/>
          <w:sz w:val="20"/>
          <w:szCs w:val="20"/>
        </w:rPr>
        <w:t xml:space="preserve"> lead and</w:t>
      </w:r>
      <w:r w:rsidRPr="00351AB7">
        <w:rPr>
          <w:rFonts w:ascii="Arial" w:hAnsi="Arial" w:cs="Arial"/>
          <w:color w:val="000000"/>
          <w:sz w:val="20"/>
          <w:szCs w:val="20"/>
        </w:rPr>
        <w:t xml:space="preserve"> participate in public debate and advocacy around key health issues and policy based on </w:t>
      </w:r>
      <w:r>
        <w:rPr>
          <w:rFonts w:ascii="Arial" w:hAnsi="Arial" w:cs="Arial"/>
          <w:color w:val="000000"/>
          <w:sz w:val="20"/>
          <w:szCs w:val="20"/>
        </w:rPr>
        <w:t>the MMS</w:t>
      </w:r>
      <w:r w:rsidRPr="00351AB7">
        <w:rPr>
          <w:rFonts w:ascii="Arial" w:hAnsi="Arial" w:cs="Arial"/>
          <w:color w:val="000000"/>
          <w:sz w:val="20"/>
          <w:szCs w:val="20"/>
        </w:rPr>
        <w:t xml:space="preserve"> values of commitment, integrity, compassion, respect and service.</w:t>
      </w:r>
    </w:p>
    <w:p w:rsidR="005513EF" w:rsidRPr="00BB5C83" w:rsidRDefault="00BB5C83" w:rsidP="00BB5C83">
      <w:pPr>
        <w:spacing w:after="120" w:line="280" w:lineRule="atLeast"/>
        <w:ind w:left="539"/>
        <w:jc w:val="both"/>
        <w:rPr>
          <w:rStyle w:val="Hyperlink"/>
          <w:rFonts w:ascii="Arial" w:hAnsi="Arial" w:cs="Arial"/>
          <w:color w:val="000000"/>
          <w:sz w:val="20"/>
          <w:szCs w:val="20"/>
        </w:rPr>
      </w:pPr>
      <w:r w:rsidRPr="00C7264A">
        <w:rPr>
          <w:rFonts w:ascii="Arial" w:hAnsi="Arial" w:cs="Arial"/>
          <w:color w:val="000000"/>
          <w:sz w:val="20"/>
          <w:szCs w:val="20"/>
        </w:rPr>
        <w:t>Under the leaders</w:t>
      </w:r>
      <w:r>
        <w:rPr>
          <w:rFonts w:ascii="Arial" w:hAnsi="Arial" w:cs="Arial"/>
          <w:color w:val="000000"/>
          <w:sz w:val="20"/>
          <w:szCs w:val="20"/>
        </w:rPr>
        <w:t>hip of Professor John Prins,</w:t>
      </w:r>
      <w:r w:rsidRPr="00C7264A">
        <w:rPr>
          <w:rFonts w:ascii="Arial" w:hAnsi="Arial" w:cs="Arial"/>
          <w:color w:val="000000"/>
          <w:sz w:val="20"/>
          <w:szCs w:val="20"/>
        </w:rPr>
        <w:t xml:space="preserve"> MMS is </w:t>
      </w:r>
      <w:r>
        <w:rPr>
          <w:rFonts w:ascii="Arial" w:hAnsi="Arial" w:cs="Arial"/>
          <w:color w:val="000000"/>
          <w:sz w:val="20"/>
          <w:szCs w:val="20"/>
        </w:rPr>
        <w:t>undertaking exciting new developments inc</w:t>
      </w:r>
      <w:r w:rsidRPr="00C7264A">
        <w:rPr>
          <w:rFonts w:ascii="Arial" w:hAnsi="Arial" w:cs="Arial"/>
          <w:color w:val="000000"/>
          <w:sz w:val="20"/>
          <w:szCs w:val="20"/>
        </w:rPr>
        <w:t xml:space="preserve">luding a major </w:t>
      </w:r>
      <w:r>
        <w:rPr>
          <w:rFonts w:ascii="Arial" w:hAnsi="Arial" w:cs="Arial"/>
          <w:color w:val="000000"/>
          <w:sz w:val="20"/>
          <w:szCs w:val="20"/>
        </w:rPr>
        <w:t xml:space="preserve">review of the MD </w:t>
      </w:r>
      <w:r w:rsidRPr="00C7264A">
        <w:rPr>
          <w:rFonts w:ascii="Arial" w:hAnsi="Arial" w:cs="Arial"/>
          <w:color w:val="000000"/>
          <w:sz w:val="20"/>
          <w:szCs w:val="20"/>
        </w:rPr>
        <w:t>curriculum, a</w:t>
      </w:r>
      <w:r>
        <w:rPr>
          <w:rFonts w:ascii="Arial" w:hAnsi="Arial" w:cs="Arial"/>
          <w:color w:val="000000"/>
          <w:sz w:val="20"/>
          <w:szCs w:val="20"/>
        </w:rPr>
        <w:t>n emphasis</w:t>
      </w:r>
      <w:r w:rsidRPr="00C7264A">
        <w:rPr>
          <w:rFonts w:ascii="Arial" w:hAnsi="Arial" w:cs="Arial"/>
          <w:color w:val="000000"/>
          <w:sz w:val="20"/>
          <w:szCs w:val="20"/>
        </w:rPr>
        <w:t xml:space="preserve"> on </w:t>
      </w:r>
      <w:r>
        <w:rPr>
          <w:rFonts w:ascii="Arial" w:hAnsi="Arial" w:cs="Arial"/>
          <w:color w:val="000000"/>
          <w:sz w:val="20"/>
          <w:szCs w:val="20"/>
        </w:rPr>
        <w:t xml:space="preserve">the </w:t>
      </w:r>
      <w:r w:rsidRPr="00C7264A">
        <w:rPr>
          <w:rFonts w:ascii="Arial" w:hAnsi="Arial" w:cs="Arial"/>
          <w:color w:val="000000"/>
          <w:sz w:val="20"/>
          <w:szCs w:val="20"/>
        </w:rPr>
        <w:t>clinicia</w:t>
      </w:r>
      <w:r>
        <w:rPr>
          <w:rFonts w:ascii="Arial" w:hAnsi="Arial" w:cs="Arial"/>
          <w:color w:val="000000"/>
          <w:sz w:val="20"/>
          <w:szCs w:val="20"/>
        </w:rPr>
        <w:t>n-scientist career trajectory</w:t>
      </w:r>
      <w:r w:rsidRPr="00C7264A">
        <w:rPr>
          <w:rFonts w:ascii="Arial" w:hAnsi="Arial" w:cs="Arial"/>
          <w:color w:val="000000"/>
          <w:sz w:val="20"/>
          <w:szCs w:val="20"/>
        </w:rPr>
        <w:t xml:space="preserve"> (in partnership with affiliated Hospitals, Medical Research Institutes and Foundations), and a</w:t>
      </w:r>
      <w:r>
        <w:rPr>
          <w:rFonts w:ascii="Arial" w:hAnsi="Arial" w:cs="Arial"/>
          <w:color w:val="000000"/>
          <w:sz w:val="20"/>
          <w:szCs w:val="20"/>
        </w:rPr>
        <w:t xml:space="preserve"> reinvigorated</w:t>
      </w:r>
      <w:r w:rsidRPr="00C7264A">
        <w:rPr>
          <w:rFonts w:ascii="Arial" w:hAnsi="Arial" w:cs="Arial"/>
          <w:color w:val="000000"/>
          <w:sz w:val="20"/>
          <w:szCs w:val="20"/>
        </w:rPr>
        <w:t xml:space="preserve"> focus on clinically relevant research. These initiatives are </w:t>
      </w:r>
      <w:r>
        <w:rPr>
          <w:rFonts w:ascii="Arial" w:hAnsi="Arial" w:cs="Arial"/>
          <w:color w:val="000000"/>
          <w:sz w:val="20"/>
          <w:szCs w:val="20"/>
        </w:rPr>
        <w:t>being enhanced</w:t>
      </w:r>
      <w:r w:rsidRPr="00C7264A">
        <w:rPr>
          <w:rFonts w:ascii="Arial" w:hAnsi="Arial" w:cs="Arial"/>
          <w:color w:val="000000"/>
          <w:sz w:val="20"/>
          <w:szCs w:val="20"/>
        </w:rPr>
        <w:t xml:space="preserve"> by a number of recruitment opportunities (through retirements, resignations and recent </w:t>
      </w:r>
      <w:r>
        <w:rPr>
          <w:rFonts w:ascii="Arial" w:hAnsi="Arial" w:cs="Arial"/>
          <w:color w:val="000000"/>
          <w:sz w:val="20"/>
          <w:szCs w:val="20"/>
        </w:rPr>
        <w:t>funding acquisitions</w:t>
      </w:r>
      <w:r w:rsidRPr="00C7264A">
        <w:rPr>
          <w:rFonts w:ascii="Arial" w:hAnsi="Arial" w:cs="Arial"/>
          <w:color w:val="000000"/>
          <w:sz w:val="20"/>
          <w:szCs w:val="20"/>
        </w:rPr>
        <w:t>) for a range of leadership positions across the School. Th</w:t>
      </w:r>
      <w:r>
        <w:rPr>
          <w:rFonts w:ascii="Arial" w:hAnsi="Arial" w:cs="Arial"/>
          <w:color w:val="000000"/>
          <w:sz w:val="20"/>
          <w:szCs w:val="20"/>
        </w:rPr>
        <w:t>ese positions present</w:t>
      </w:r>
      <w:r w:rsidRPr="00C7264A">
        <w:rPr>
          <w:rFonts w:ascii="Arial" w:hAnsi="Arial" w:cs="Arial"/>
          <w:color w:val="000000"/>
          <w:sz w:val="20"/>
          <w:szCs w:val="20"/>
        </w:rPr>
        <w:t xml:space="preserve"> a wonderful opportunity for appointees to help drive the strategy, growth and continued exc</w:t>
      </w:r>
      <w:r>
        <w:rPr>
          <w:rFonts w:ascii="Arial" w:hAnsi="Arial" w:cs="Arial"/>
          <w:color w:val="000000"/>
          <w:sz w:val="20"/>
          <w:szCs w:val="20"/>
        </w:rPr>
        <w:t>ellence of Australia’s leading medical s</w:t>
      </w:r>
      <w:r w:rsidRPr="00C7264A">
        <w:rPr>
          <w:rFonts w:ascii="Arial" w:hAnsi="Arial" w:cs="Arial"/>
          <w:color w:val="000000"/>
          <w:sz w:val="20"/>
          <w:szCs w:val="20"/>
        </w:rPr>
        <w:t>chool.</w:t>
      </w:r>
    </w:p>
    <w:p w:rsidR="001D59C4" w:rsidRDefault="001D59C4" w:rsidP="00F138F2">
      <w:pPr>
        <w:pStyle w:val="Heading2"/>
      </w:pPr>
      <w:r w:rsidRPr="00E10F6E">
        <w:t xml:space="preserve">Faculty of Medicine, Dentistry and Health Sciences </w:t>
      </w:r>
    </w:p>
    <w:p w:rsidR="001D59C4" w:rsidRDefault="001356C2" w:rsidP="001D59C4">
      <w:pPr>
        <w:pStyle w:val="Default"/>
        <w:spacing w:before="120" w:after="120" w:line="280" w:lineRule="exact"/>
        <w:ind w:left="539"/>
        <w:jc w:val="both"/>
        <w:rPr>
          <w:sz w:val="20"/>
          <w:szCs w:val="20"/>
        </w:rPr>
      </w:pPr>
      <w:hyperlink r:id="rId19" w:history="1">
        <w:r w:rsidR="001D59C4" w:rsidRPr="00793EA4">
          <w:rPr>
            <w:rStyle w:val="Hyperlink"/>
            <w:sz w:val="20"/>
            <w:szCs w:val="20"/>
          </w:rPr>
          <w:t>www.mdhs.unimelb.edu.au</w:t>
        </w:r>
      </w:hyperlink>
      <w:r w:rsidR="001D59C4">
        <w:rPr>
          <w:sz w:val="20"/>
          <w:szCs w:val="20"/>
        </w:rPr>
        <w:t xml:space="preserve">  </w:t>
      </w:r>
    </w:p>
    <w:p w:rsidR="001D59C4" w:rsidRDefault="001D59C4" w:rsidP="001D59C4">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rsidR="001D59C4" w:rsidRDefault="001D59C4" w:rsidP="001D59C4">
      <w:pPr>
        <w:pStyle w:val="Default"/>
        <w:spacing w:before="120" w:after="120" w:line="280" w:lineRule="exact"/>
        <w:ind w:left="539"/>
        <w:jc w:val="both"/>
        <w:rPr>
          <w:sz w:val="20"/>
          <w:szCs w:val="20"/>
        </w:rPr>
      </w:pPr>
      <w:r>
        <w:rPr>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rsidR="001D59C4" w:rsidRPr="00D57F45" w:rsidRDefault="001D59C4" w:rsidP="001D59C4">
      <w:pPr>
        <w:pStyle w:val="Default"/>
        <w:spacing w:before="120" w:after="120" w:line="280" w:lineRule="exact"/>
        <w:ind w:left="539"/>
        <w:jc w:val="both"/>
        <w:rPr>
          <w:sz w:val="20"/>
          <w:szCs w:val="20"/>
        </w:rPr>
      </w:pPr>
      <w:r w:rsidRPr="00D57F45">
        <w:rPr>
          <w:sz w:val="20"/>
          <w:szCs w:val="20"/>
        </w:rPr>
        <w:t xml:space="preserve">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 </w:t>
      </w:r>
    </w:p>
    <w:p w:rsidR="001D59C4" w:rsidRDefault="001D59C4" w:rsidP="00F138F2">
      <w:pPr>
        <w:pStyle w:val="Heading2"/>
      </w:pPr>
      <w:r>
        <w:t>The University of Melbourne</w:t>
      </w:r>
    </w:p>
    <w:p w:rsidR="001D59C4" w:rsidRPr="002E50F0" w:rsidRDefault="001D59C4" w:rsidP="00F138F2">
      <w:pPr>
        <w:pStyle w:val="BodyTextIndent"/>
        <w:rPr>
          <w:rFonts w:eastAsia="Calibri"/>
        </w:rPr>
      </w:pPr>
      <w:r w:rsidRPr="002E50F0">
        <w:rPr>
          <w:rFonts w:eastAsia="Calibri"/>
        </w:rPr>
        <w:t>Established in 1853, the University of Melbourne is a leading international university with a tradition of excel</w:t>
      </w:r>
      <w:r w:rsidRPr="002E50F0">
        <w:rPr>
          <w:rFonts w:eastAsia="Calibri"/>
        </w:rPr>
        <w:softHyphen/>
        <w:t xml:space="preserve">lence in teaching and research. The main campus in Parkville is recognised as the hub of Australia’s premier knowledge precinct comprising eight hospitals, many leading research institutes and a wide-range of knowledge-based industries. With outstanding performance in international rankings, the University is at the forefront of higher education in the Asia-Pacific region and the world. </w:t>
      </w:r>
    </w:p>
    <w:p w:rsidR="001D59C4" w:rsidRPr="002E50F0" w:rsidRDefault="001D59C4" w:rsidP="00F138F2">
      <w:pPr>
        <w:pStyle w:val="BodyTextIndent"/>
        <w:rPr>
          <w:rFonts w:eastAsia="Calibri"/>
        </w:rPr>
      </w:pPr>
      <w:r w:rsidRPr="002E50F0">
        <w:rPr>
          <w:rFonts w:eastAsia="Calibri"/>
        </w:rPr>
        <w:t xml:space="preserve">The University employs people of outstanding calibre and offers a unique environment where staff are valued and rewarded. </w:t>
      </w:r>
    </w:p>
    <w:p w:rsidR="001D59C4" w:rsidRPr="002E50F0" w:rsidRDefault="001D59C4" w:rsidP="00F138F2">
      <w:pPr>
        <w:pStyle w:val="BodyTextIndent"/>
        <w:rPr>
          <w:rFonts w:eastAsia="Calibri"/>
        </w:rPr>
      </w:pPr>
      <w:r w:rsidRPr="002E50F0">
        <w:rPr>
          <w:rFonts w:eastAsia="Calibri"/>
        </w:rPr>
        <w:t xml:space="preserve">Further information about working at The University of Melbourne is available at </w:t>
      </w:r>
      <w:hyperlink r:id="rId20" w:history="1">
        <w:r w:rsidRPr="002E50F0">
          <w:rPr>
            <w:rFonts w:eastAsia="Calibri"/>
          </w:rPr>
          <w:t>http://about.unimelb.edu.au/careers</w:t>
        </w:r>
      </w:hyperlink>
      <w:r w:rsidRPr="002E50F0">
        <w:rPr>
          <w:rFonts w:eastAsia="Calibri"/>
        </w:rPr>
        <w:t>.</w:t>
      </w:r>
    </w:p>
    <w:p w:rsidR="001D59C4" w:rsidRDefault="001D59C4" w:rsidP="00F138F2">
      <w:pPr>
        <w:pStyle w:val="Heading2"/>
      </w:pPr>
      <w:r>
        <w:lastRenderedPageBreak/>
        <w:t>Growing Esteem, the Melbourne Curriculum and Research at melbourne: Ensuring excellence and impact to 2025</w:t>
      </w:r>
    </w:p>
    <w:p w:rsidR="001D59C4" w:rsidRPr="002E50F0" w:rsidRDefault="001D59C4" w:rsidP="00F138F2">
      <w:pPr>
        <w:pStyle w:val="BodyTextIndent"/>
        <w:rPr>
          <w:rFonts w:eastAsia="Calibri"/>
        </w:rPr>
      </w:pPr>
      <w:r w:rsidRPr="002E50F0">
        <w:rPr>
          <w:rFonts w:eastAsia="Calibri"/>
        </w:rPr>
        <w:t xml:space="preserve">Growing Esteem describes Melbourne's strategy to achieve its aspiration to be a public-spirited and internationally-engaged institution, highly regarded for making distinctive contributions to society in research and research training, learning and teaching, and engagement. </w:t>
      </w:r>
      <w:hyperlink r:id="rId21" w:history="1">
        <w:r w:rsidRPr="002E50F0">
          <w:rPr>
            <w:rFonts w:eastAsia="Calibri"/>
          </w:rPr>
          <w:t>http://about.unimelb.edu.au/strategy-and-leadership</w:t>
        </w:r>
      </w:hyperlink>
    </w:p>
    <w:p w:rsidR="001D59C4" w:rsidRPr="002E50F0" w:rsidRDefault="001D59C4" w:rsidP="00F138F2">
      <w:pPr>
        <w:pStyle w:val="BodyTextIndent"/>
        <w:rPr>
          <w:rFonts w:eastAsia="Calibri"/>
        </w:rPr>
      </w:pPr>
      <w:r w:rsidRPr="002E50F0">
        <w:rPr>
          <w:rFonts w:eastAsia="Calibri"/>
        </w:rPr>
        <w:t>The University is at the forefront of Australia's changing higher education system and offers a distinctive model of education known collectively as the Melbourne Curriculum. The new educational model, designed for an outstanding experience for all students, is based 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rsidR="001D59C4" w:rsidRPr="002E50F0" w:rsidRDefault="001D59C4" w:rsidP="00F138F2">
      <w:pPr>
        <w:pStyle w:val="BodyTextIndent"/>
        <w:rPr>
          <w:rFonts w:eastAsia="Calibri"/>
        </w:rPr>
      </w:pPr>
      <w:r w:rsidRPr="002E50F0">
        <w:rPr>
          <w:rFonts w:eastAsia="Calibri"/>
        </w:rPr>
        <w:t xml:space="preserve">The University’s global aspirations seek to make significant contributions to major social, economic and environmental challenges. Accordingly, the University’s research strategy Research at Melbourne: Ensuring Excellence and Impact to 2025 aspires to a significant advancement in the excellence and impact of its research outputs. </w:t>
      </w:r>
      <w:hyperlink r:id="rId22" w:history="1">
        <w:r w:rsidRPr="002E50F0">
          <w:rPr>
            <w:rFonts w:eastAsia="Calibri"/>
          </w:rPr>
          <w:t>http://research.unimelb.edu.au/our-research/research-at-melbourne</w:t>
        </w:r>
      </w:hyperlink>
    </w:p>
    <w:p w:rsidR="001D59C4" w:rsidRPr="002E50F0" w:rsidRDefault="001D59C4" w:rsidP="00F138F2">
      <w:pPr>
        <w:pStyle w:val="BodyTextIndent"/>
        <w:rPr>
          <w:rFonts w:eastAsia="Calibri"/>
        </w:rPr>
      </w:pPr>
      <w:r w:rsidRPr="002E50F0">
        <w:rPr>
          <w:rFonts w:eastAsia="Calibri"/>
        </w:rPr>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rsidR="001D59C4" w:rsidRPr="00FA4289" w:rsidRDefault="001D59C4" w:rsidP="001D59C4">
      <w:pPr>
        <w:pStyle w:val="ListBullet2"/>
      </w:pPr>
      <w:r w:rsidRPr="00FA4289">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rsidR="001D59C4" w:rsidRPr="00FA4289" w:rsidRDefault="001D59C4" w:rsidP="001D59C4">
      <w:pPr>
        <w:pStyle w:val="ListBullet2"/>
      </w:pPr>
      <w:r w:rsidRPr="00FA4289">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rsidR="001D59C4" w:rsidRDefault="001D59C4" w:rsidP="001D59C4">
      <w:pPr>
        <w:pStyle w:val="ListBullet2"/>
      </w:pPr>
      <w:r w:rsidRPr="00FA4289">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t xml:space="preserve">living patterns and behaviours. </w:t>
      </w:r>
    </w:p>
    <w:p w:rsidR="001D59C4" w:rsidRPr="002E50F0" w:rsidRDefault="001D59C4" w:rsidP="00F138F2">
      <w:pPr>
        <w:pStyle w:val="BodyTextIndent"/>
        <w:rPr>
          <w:rFonts w:eastAsia="Calibri"/>
        </w:rPr>
      </w:pPr>
      <w:r w:rsidRPr="002E50F0">
        <w:rPr>
          <w:rFonts w:eastAsia="Calibri"/>
        </w:rPr>
        <w:t>Essential to tackling these challenges, an outstanding faculty, high performing students, wide collaboration including internationally and deep partnerships with external parties form central components of Research at Melbourne: Ensuring Excellence and Impact to 2025.</w:t>
      </w:r>
    </w:p>
    <w:p w:rsidR="001D59C4" w:rsidRPr="001B0483" w:rsidRDefault="001D59C4" w:rsidP="00F138F2">
      <w:pPr>
        <w:pStyle w:val="Heading2"/>
      </w:pPr>
      <w:r w:rsidRPr="001B0483">
        <w:lastRenderedPageBreak/>
        <w:t>Governance</w:t>
      </w:r>
    </w:p>
    <w:p w:rsidR="001D59C4" w:rsidRPr="002E50F0" w:rsidRDefault="001D59C4" w:rsidP="00F138F2">
      <w:pPr>
        <w:pStyle w:val="BodyTextIndent"/>
        <w:rPr>
          <w:rFonts w:eastAsia="Calibri"/>
        </w:rPr>
      </w:pPr>
      <w:r w:rsidRPr="002E50F0">
        <w:rPr>
          <w:rFonts w:eastAsia="Calibri"/>
        </w:rPr>
        <w:t>The Vice Chancellor is the Chief Executive Officer of the University and responsible to Council for the good management of the University.</w:t>
      </w:r>
    </w:p>
    <w:p w:rsidR="001D59C4" w:rsidRPr="002E50F0" w:rsidRDefault="001D59C4" w:rsidP="00F138F2">
      <w:pPr>
        <w:pStyle w:val="BodyTextIndent"/>
        <w:rPr>
          <w:rFonts w:eastAsia="Calibri"/>
        </w:rPr>
      </w:pPr>
      <w:r w:rsidRPr="002E50F0">
        <w:rPr>
          <w:rFonts w:eastAsia="Calibri"/>
        </w:rPr>
        <w:t xml:space="preserve">Comprehensive information about the University of Melbourne and its governance structure is available at </w:t>
      </w:r>
      <w:hyperlink r:id="rId23" w:history="1">
        <w:r w:rsidRPr="002E50F0">
          <w:rPr>
            <w:rFonts w:eastAsia="Calibri"/>
          </w:rPr>
          <w:t>http://www.unimelb.edu.au/governance</w:t>
        </w:r>
      </w:hyperlink>
      <w:r w:rsidRPr="002E50F0">
        <w:rPr>
          <w:rFonts w:eastAsia="Calibri"/>
        </w:rPr>
        <w:t xml:space="preserve">  </w:t>
      </w:r>
    </w:p>
    <w:p w:rsidR="001D59C4" w:rsidRDefault="001D59C4" w:rsidP="00F138F2">
      <w:pPr>
        <w:pStyle w:val="BodyTextIndent"/>
      </w:pPr>
    </w:p>
    <w:p w:rsidR="001D59C4" w:rsidRDefault="001D59C4" w:rsidP="00F138F2">
      <w:pPr>
        <w:pStyle w:val="BodyTextIndent"/>
      </w:pPr>
    </w:p>
    <w:p w:rsidR="001D59C4" w:rsidRPr="00CA2B0E" w:rsidRDefault="001D59C4" w:rsidP="00F138F2">
      <w:pPr>
        <w:pStyle w:val="BodyTextIndent"/>
      </w:pPr>
    </w:p>
    <w:p w:rsidR="001D59C4" w:rsidRPr="00E01D36" w:rsidRDefault="001D59C4" w:rsidP="001D59C4">
      <w:pPr>
        <w:pStyle w:val="ListBullet"/>
        <w:numPr>
          <w:ilvl w:val="0"/>
          <w:numId w:val="0"/>
        </w:numPr>
        <w:ind w:left="540" w:hanging="360"/>
      </w:pPr>
    </w:p>
    <w:sectPr w:rsidR="001D59C4" w:rsidRPr="00E01D36" w:rsidSect="00E36AF0">
      <w:headerReference w:type="default" r:id="rId24"/>
      <w:footerReference w:type="default" r:id="rId25"/>
      <w:footerReference w:type="first" r:id="rId26"/>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7BC" w:rsidRDefault="00D137BC">
      <w:r>
        <w:separator/>
      </w:r>
    </w:p>
    <w:p w:rsidR="00D137BC" w:rsidRDefault="00D137BC"/>
  </w:endnote>
  <w:endnote w:type="continuationSeparator" w:id="0">
    <w:p w:rsidR="00D137BC" w:rsidRDefault="00D137BC">
      <w:r>
        <w:continuationSeparator/>
      </w:r>
    </w:p>
    <w:p w:rsidR="00D137BC" w:rsidRDefault="00D1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12" w:rsidRPr="005329D4" w:rsidRDefault="00304C12"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76081E">
      <w:rPr>
        <w:noProof/>
      </w:rPr>
      <w:t>9</w:t>
    </w:r>
    <w:r>
      <w:fldChar w:fldCharType="end"/>
    </w:r>
    <w:r>
      <w:t xml:space="preserve"> of </w:t>
    </w:r>
    <w:r w:rsidR="00517668">
      <w:rPr>
        <w:noProof/>
      </w:rPr>
      <w:fldChar w:fldCharType="begin"/>
    </w:r>
    <w:r w:rsidR="00517668">
      <w:rPr>
        <w:noProof/>
      </w:rPr>
      <w:instrText xml:space="preserve"> NUMPAGES </w:instrText>
    </w:r>
    <w:r w:rsidR="00517668">
      <w:rPr>
        <w:noProof/>
      </w:rPr>
      <w:fldChar w:fldCharType="separate"/>
    </w:r>
    <w:r w:rsidR="0076081E">
      <w:rPr>
        <w:noProof/>
      </w:rPr>
      <w:t>9</w:t>
    </w:r>
    <w:r w:rsidR="00517668">
      <w:rPr>
        <w:noProof/>
      </w:rPr>
      <w:fldChar w:fldCharType="end"/>
    </w:r>
  </w:p>
  <w:p w:rsidR="00304C12" w:rsidRDefault="00304C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12" w:rsidRDefault="00304C12"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304C12" w:rsidTr="00301313">
      <w:tc>
        <w:tcPr>
          <w:tcW w:w="2906" w:type="dxa"/>
        </w:tcPr>
        <w:p w:rsidR="00304C12" w:rsidRDefault="00304C12"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t>dd/mm/</w:t>
          </w:r>
          <w:proofErr w:type="spellStart"/>
          <w:r>
            <w:t>yyyy</w:t>
          </w:r>
          <w:proofErr w:type="spellEnd"/>
        </w:p>
      </w:tc>
      <w:tc>
        <w:tcPr>
          <w:tcW w:w="2907" w:type="dxa"/>
        </w:tcPr>
        <w:p w:rsidR="00304C12" w:rsidRDefault="00304C12"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dd/mm/</w:t>
          </w:r>
          <w:proofErr w:type="spellStart"/>
          <w:r>
            <w:t>yyyy</w:t>
          </w:r>
          <w:proofErr w:type="spellEnd"/>
        </w:p>
      </w:tc>
      <w:tc>
        <w:tcPr>
          <w:tcW w:w="2907" w:type="dxa"/>
        </w:tcPr>
        <w:p w:rsidR="00304C12" w:rsidRDefault="00304C12"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dd/mm/</w:t>
          </w:r>
          <w:proofErr w:type="spellStart"/>
          <w:r>
            <w:t>yyyy</w:t>
          </w:r>
          <w:proofErr w:type="spellEnd"/>
        </w:p>
      </w:tc>
    </w:tr>
  </w:tbl>
  <w:p w:rsidR="00304C12" w:rsidRDefault="00304C12" w:rsidP="00855C2D">
    <w:pPr>
      <w:pStyle w:val="Footer"/>
      <w:tabs>
        <w:tab w:val="clear" w:pos="4153"/>
        <w:tab w:val="clear" w:pos="8306"/>
        <w:tab w:val="center" w:pos="4500"/>
        <w:tab w:val="right" w:pos="8460"/>
      </w:tabs>
    </w:pPr>
    <w:r>
      <w:tab/>
    </w:r>
    <w:r>
      <w:tab/>
    </w:r>
  </w:p>
  <w:p w:rsidR="00304C12" w:rsidRPr="000C47B5" w:rsidRDefault="00304C12"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76081E">
      <w:rPr>
        <w:noProof/>
      </w:rPr>
      <w:t>1</w:t>
    </w:r>
    <w:r>
      <w:fldChar w:fldCharType="end"/>
    </w:r>
    <w:r>
      <w:t xml:space="preserve"> of </w:t>
    </w:r>
    <w:r w:rsidR="00517668">
      <w:rPr>
        <w:noProof/>
      </w:rPr>
      <w:fldChar w:fldCharType="begin"/>
    </w:r>
    <w:r w:rsidR="00517668">
      <w:rPr>
        <w:noProof/>
      </w:rPr>
      <w:instrText xml:space="preserve"> NUMPAGES </w:instrText>
    </w:r>
    <w:r w:rsidR="00517668">
      <w:rPr>
        <w:noProof/>
      </w:rPr>
      <w:fldChar w:fldCharType="separate"/>
    </w:r>
    <w:r w:rsidR="0076081E">
      <w:rPr>
        <w:noProof/>
      </w:rPr>
      <w:t>9</w:t>
    </w:r>
    <w:r w:rsidR="00517668">
      <w:rPr>
        <w:noProof/>
      </w:rPr>
      <w:fldChar w:fldCharType="end"/>
    </w:r>
  </w:p>
  <w:p w:rsidR="00304C12" w:rsidRDefault="00304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7BC" w:rsidRDefault="00D137BC">
      <w:r>
        <w:separator/>
      </w:r>
    </w:p>
    <w:p w:rsidR="00D137BC" w:rsidRDefault="00D137BC"/>
  </w:footnote>
  <w:footnote w:type="continuationSeparator" w:id="0">
    <w:p w:rsidR="00D137BC" w:rsidRDefault="00D137BC">
      <w:r>
        <w:continuationSeparator/>
      </w:r>
    </w:p>
    <w:p w:rsidR="00D137BC" w:rsidRDefault="00D1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12" w:rsidRPr="00F5435A" w:rsidRDefault="00DF59EE" w:rsidP="00855C2D">
    <w:pPr>
      <w:pStyle w:val="HeaderText"/>
      <w:tabs>
        <w:tab w:val="clear" w:pos="4153"/>
        <w:tab w:val="clear" w:pos="8306"/>
        <w:tab w:val="center" w:pos="4500"/>
        <w:tab w:val="right" w:pos="8460"/>
      </w:tabs>
    </w:pPr>
    <w:r>
      <w:t>0048182</w:t>
    </w:r>
    <w:r w:rsidR="00304C12">
      <w:tab/>
    </w:r>
    <w:r w:rsidR="00304C12">
      <w:tab/>
      <w:t>The University of Melbourne</w:t>
    </w:r>
  </w:p>
  <w:p w:rsidR="00304C12" w:rsidRDefault="00304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double-arrow"/>
      </v:shape>
    </w:pict>
  </w:numPicBullet>
  <w:numPicBullet w:numPicBulletId="1">
    <w:pict>
      <v:shape id="_x0000_i1027" type="#_x0000_t75" style="width:9pt;height:9pt" o:bullet="t">
        <v:imagedata r:id="rId2" o:title="BD10255_"/>
      </v:shape>
    </w:pict>
  </w:numPicBullet>
  <w:numPicBullet w:numPicBulletId="2">
    <w:pict>
      <v:shape id="_x0000_i1028"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5B94AE8"/>
    <w:multiLevelType w:val="multilevel"/>
    <w:tmpl w:val="B8CAA060"/>
    <w:lvl w:ilvl="0">
      <w:start w:val="2"/>
      <w:numFmt w:val="decimal"/>
      <w:isLgl/>
      <w:lvlText w:val="%1."/>
      <w:lvlJc w:val="left"/>
      <w:pPr>
        <w:tabs>
          <w:tab w:val="num" w:pos="540"/>
        </w:tabs>
        <w:ind w:left="540" w:hanging="360"/>
      </w:pPr>
      <w:rPr>
        <w:rFonts w:cs="Times New Roman" w:hint="default"/>
      </w:rPr>
    </w:lvl>
    <w:lvl w:ilvl="1">
      <w:start w:val="1"/>
      <w:numFmt w:val="bullet"/>
      <w:lvlText w:val=""/>
      <w:lvlJc w:val="left"/>
      <w:pPr>
        <w:tabs>
          <w:tab w:val="num" w:pos="1134"/>
        </w:tabs>
        <w:ind w:left="1134" w:hanging="594"/>
      </w:pPr>
      <w:rPr>
        <w:rFonts w:ascii="Symbol" w:hAnsi="Symbol" w:hint="default"/>
        <w:color w:val="808080"/>
        <w:sz w:val="20"/>
      </w:rPr>
    </w:lvl>
    <w:lvl w:ilvl="2">
      <w:start w:val="1"/>
      <w:numFmt w:val="decimal"/>
      <w:isLgl/>
      <w:lvlText w:val="%2.%1.%3."/>
      <w:lvlJc w:val="left"/>
      <w:pPr>
        <w:tabs>
          <w:tab w:val="num" w:pos="1620"/>
        </w:tabs>
        <w:ind w:left="1404" w:hanging="504"/>
      </w:pPr>
      <w:rPr>
        <w:rFonts w:ascii="Arial" w:hAnsi="Arial" w:cs="Times New Roman" w:hint="default"/>
        <w:color w:val="808080"/>
        <w:sz w:val="20"/>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3060"/>
        </w:tabs>
        <w:ind w:left="2916" w:hanging="936"/>
      </w:pPr>
      <w:rPr>
        <w:rFonts w:cs="Times New Roman" w:hint="default"/>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4"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15:restartNumberingAfterBreak="0">
    <w:nsid w:val="12ED478D"/>
    <w:multiLevelType w:val="hybridMultilevel"/>
    <w:tmpl w:val="C6C86234"/>
    <w:lvl w:ilvl="0" w:tplc="D212AF68">
      <w:start w:val="1"/>
      <w:numFmt w:val="bullet"/>
      <w:pStyle w:val="ListBullet"/>
      <w:lvlText w:val=""/>
      <w:lvlPicBulletId w:val="2"/>
      <w:lvlJc w:val="left"/>
      <w:pPr>
        <w:tabs>
          <w:tab w:val="num" w:pos="498"/>
        </w:tabs>
        <w:ind w:left="498" w:hanging="360"/>
      </w:pPr>
      <w:rPr>
        <w:rFonts w:ascii="Symbol" w:hAnsi="Symbol" w:hint="default"/>
        <w:color w:val="auto"/>
      </w:rPr>
    </w:lvl>
    <w:lvl w:ilvl="1" w:tplc="0C090003">
      <w:start w:val="1"/>
      <w:numFmt w:val="bullet"/>
      <w:lvlText w:val="o"/>
      <w:lvlJc w:val="left"/>
      <w:pPr>
        <w:tabs>
          <w:tab w:val="num" w:pos="1218"/>
        </w:tabs>
        <w:ind w:left="1218" w:hanging="360"/>
      </w:pPr>
      <w:rPr>
        <w:rFonts w:ascii="Courier New" w:hAnsi="Courier New" w:cs="Courier New" w:hint="default"/>
      </w:rPr>
    </w:lvl>
    <w:lvl w:ilvl="2" w:tplc="0C090005">
      <w:start w:val="1"/>
      <w:numFmt w:val="bullet"/>
      <w:lvlText w:val=""/>
      <w:lvlJc w:val="left"/>
      <w:pPr>
        <w:tabs>
          <w:tab w:val="num" w:pos="1938"/>
        </w:tabs>
        <w:ind w:left="1938" w:hanging="360"/>
      </w:pPr>
      <w:rPr>
        <w:rFonts w:ascii="Wingdings" w:hAnsi="Wingdings" w:hint="default"/>
      </w:rPr>
    </w:lvl>
    <w:lvl w:ilvl="3" w:tplc="0C090001" w:tentative="1">
      <w:start w:val="1"/>
      <w:numFmt w:val="bullet"/>
      <w:lvlText w:val=""/>
      <w:lvlJc w:val="left"/>
      <w:pPr>
        <w:tabs>
          <w:tab w:val="num" w:pos="2658"/>
        </w:tabs>
        <w:ind w:left="2658" w:hanging="360"/>
      </w:pPr>
      <w:rPr>
        <w:rFonts w:ascii="Symbol" w:hAnsi="Symbol" w:hint="default"/>
      </w:rPr>
    </w:lvl>
    <w:lvl w:ilvl="4" w:tplc="0C090003" w:tentative="1">
      <w:start w:val="1"/>
      <w:numFmt w:val="bullet"/>
      <w:lvlText w:val="o"/>
      <w:lvlJc w:val="left"/>
      <w:pPr>
        <w:tabs>
          <w:tab w:val="num" w:pos="3378"/>
        </w:tabs>
        <w:ind w:left="3378" w:hanging="360"/>
      </w:pPr>
      <w:rPr>
        <w:rFonts w:ascii="Courier New" w:hAnsi="Courier New" w:cs="Courier New" w:hint="default"/>
      </w:rPr>
    </w:lvl>
    <w:lvl w:ilvl="5" w:tplc="0C090005" w:tentative="1">
      <w:start w:val="1"/>
      <w:numFmt w:val="bullet"/>
      <w:lvlText w:val=""/>
      <w:lvlJc w:val="left"/>
      <w:pPr>
        <w:tabs>
          <w:tab w:val="num" w:pos="4098"/>
        </w:tabs>
        <w:ind w:left="4098" w:hanging="360"/>
      </w:pPr>
      <w:rPr>
        <w:rFonts w:ascii="Wingdings" w:hAnsi="Wingdings" w:hint="default"/>
      </w:rPr>
    </w:lvl>
    <w:lvl w:ilvl="6" w:tplc="0C090001" w:tentative="1">
      <w:start w:val="1"/>
      <w:numFmt w:val="bullet"/>
      <w:lvlText w:val=""/>
      <w:lvlJc w:val="left"/>
      <w:pPr>
        <w:tabs>
          <w:tab w:val="num" w:pos="4818"/>
        </w:tabs>
        <w:ind w:left="4818" w:hanging="360"/>
      </w:pPr>
      <w:rPr>
        <w:rFonts w:ascii="Symbol" w:hAnsi="Symbol" w:hint="default"/>
      </w:rPr>
    </w:lvl>
    <w:lvl w:ilvl="7" w:tplc="0C090003" w:tentative="1">
      <w:start w:val="1"/>
      <w:numFmt w:val="bullet"/>
      <w:lvlText w:val="o"/>
      <w:lvlJc w:val="left"/>
      <w:pPr>
        <w:tabs>
          <w:tab w:val="num" w:pos="5538"/>
        </w:tabs>
        <w:ind w:left="5538" w:hanging="360"/>
      </w:pPr>
      <w:rPr>
        <w:rFonts w:ascii="Courier New" w:hAnsi="Courier New" w:cs="Courier New" w:hint="default"/>
      </w:rPr>
    </w:lvl>
    <w:lvl w:ilvl="8" w:tplc="0C090005" w:tentative="1">
      <w:start w:val="1"/>
      <w:numFmt w:val="bullet"/>
      <w:lvlText w:val=""/>
      <w:lvlJc w:val="left"/>
      <w:pPr>
        <w:tabs>
          <w:tab w:val="num" w:pos="6258"/>
        </w:tabs>
        <w:ind w:left="6258"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4"/>
  </w:num>
  <w:num w:numId="5">
    <w:abstractNumId w:val="14"/>
  </w:num>
  <w:num w:numId="6">
    <w:abstractNumId w:val="17"/>
  </w:num>
  <w:num w:numId="7">
    <w:abstractNumId w:val="16"/>
  </w:num>
  <w:num w:numId="8">
    <w:abstractNumId w:val="5"/>
  </w:num>
  <w:num w:numId="9">
    <w:abstractNumId w:val="15"/>
  </w:num>
  <w:num w:numId="10">
    <w:abstractNumId w:val="12"/>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0"/>
  </w:num>
  <w:num w:numId="15">
    <w:abstractNumId w:val="9"/>
  </w:num>
  <w:num w:numId="16">
    <w:abstractNumId w:val="1"/>
  </w:num>
  <w:num w:numId="17">
    <w:abstractNumId w:val="8"/>
  </w:num>
  <w:num w:numId="18">
    <w:abstractNumId w:val="19"/>
  </w:num>
  <w:num w:numId="19">
    <w:abstractNumId w:val="2"/>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4"/>
  </w:num>
  <w:num w:numId="29">
    <w:abstractNumId w:val="5"/>
  </w:num>
  <w:num w:numId="30">
    <w:abstractNumId w:val="5"/>
  </w:num>
  <w:num w:numId="31">
    <w:abstractNumId w:val="5"/>
  </w:num>
  <w:num w:numId="32">
    <w:abstractNumId w:val="5"/>
  </w:num>
  <w:num w:numId="33">
    <w:abstractNumId w:val="3"/>
  </w:num>
  <w:num w:numId="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12400"/>
    <w:rsid w:val="00012693"/>
    <w:rsid w:val="00013BB5"/>
    <w:rsid w:val="0002292F"/>
    <w:rsid w:val="00023D11"/>
    <w:rsid w:val="000256AE"/>
    <w:rsid w:val="00030030"/>
    <w:rsid w:val="00031B38"/>
    <w:rsid w:val="00034C9F"/>
    <w:rsid w:val="00036024"/>
    <w:rsid w:val="000451BD"/>
    <w:rsid w:val="00046A6B"/>
    <w:rsid w:val="00051AC9"/>
    <w:rsid w:val="000525E3"/>
    <w:rsid w:val="000528BA"/>
    <w:rsid w:val="00053989"/>
    <w:rsid w:val="00062ACC"/>
    <w:rsid w:val="000634F4"/>
    <w:rsid w:val="00064546"/>
    <w:rsid w:val="000668B5"/>
    <w:rsid w:val="00070F24"/>
    <w:rsid w:val="0007475F"/>
    <w:rsid w:val="000765DD"/>
    <w:rsid w:val="0009553D"/>
    <w:rsid w:val="00097A48"/>
    <w:rsid w:val="000A1EFD"/>
    <w:rsid w:val="000A2A33"/>
    <w:rsid w:val="000A3552"/>
    <w:rsid w:val="000A3CEF"/>
    <w:rsid w:val="000A5B73"/>
    <w:rsid w:val="000B01AD"/>
    <w:rsid w:val="000B0359"/>
    <w:rsid w:val="000B77C3"/>
    <w:rsid w:val="000C47B5"/>
    <w:rsid w:val="000D17A8"/>
    <w:rsid w:val="000D312B"/>
    <w:rsid w:val="000D6A7C"/>
    <w:rsid w:val="000D73FD"/>
    <w:rsid w:val="000E0964"/>
    <w:rsid w:val="000E2DCD"/>
    <w:rsid w:val="000E2E01"/>
    <w:rsid w:val="000E354F"/>
    <w:rsid w:val="000F0531"/>
    <w:rsid w:val="000F18C0"/>
    <w:rsid w:val="000F3BD2"/>
    <w:rsid w:val="000F5EE2"/>
    <w:rsid w:val="001014CC"/>
    <w:rsid w:val="00111ED8"/>
    <w:rsid w:val="00114597"/>
    <w:rsid w:val="00117B28"/>
    <w:rsid w:val="00120951"/>
    <w:rsid w:val="00121A2C"/>
    <w:rsid w:val="001246B1"/>
    <w:rsid w:val="001307BD"/>
    <w:rsid w:val="00131A54"/>
    <w:rsid w:val="00134BB5"/>
    <w:rsid w:val="001356C2"/>
    <w:rsid w:val="00140F3C"/>
    <w:rsid w:val="00144547"/>
    <w:rsid w:val="00151A41"/>
    <w:rsid w:val="00154871"/>
    <w:rsid w:val="001567DB"/>
    <w:rsid w:val="00160C7B"/>
    <w:rsid w:val="00160F53"/>
    <w:rsid w:val="001674F5"/>
    <w:rsid w:val="00167AB6"/>
    <w:rsid w:val="00167D61"/>
    <w:rsid w:val="00167FD1"/>
    <w:rsid w:val="001702E4"/>
    <w:rsid w:val="00173287"/>
    <w:rsid w:val="001855B7"/>
    <w:rsid w:val="00187963"/>
    <w:rsid w:val="00192F69"/>
    <w:rsid w:val="00194F93"/>
    <w:rsid w:val="00195863"/>
    <w:rsid w:val="001A0262"/>
    <w:rsid w:val="001A092A"/>
    <w:rsid w:val="001A19C7"/>
    <w:rsid w:val="001A2182"/>
    <w:rsid w:val="001A68D2"/>
    <w:rsid w:val="001B0483"/>
    <w:rsid w:val="001B1F5F"/>
    <w:rsid w:val="001B3543"/>
    <w:rsid w:val="001B7897"/>
    <w:rsid w:val="001C1DE1"/>
    <w:rsid w:val="001C20D7"/>
    <w:rsid w:val="001C32F0"/>
    <w:rsid w:val="001C3C5F"/>
    <w:rsid w:val="001C5B21"/>
    <w:rsid w:val="001C7FB2"/>
    <w:rsid w:val="001D59C4"/>
    <w:rsid w:val="001D717B"/>
    <w:rsid w:val="001D79FC"/>
    <w:rsid w:val="001E0B46"/>
    <w:rsid w:val="001E1224"/>
    <w:rsid w:val="001E2E0E"/>
    <w:rsid w:val="001E2F95"/>
    <w:rsid w:val="001E31BC"/>
    <w:rsid w:val="001E4B4E"/>
    <w:rsid w:val="001E60E6"/>
    <w:rsid w:val="001F5E6B"/>
    <w:rsid w:val="00200B3B"/>
    <w:rsid w:val="00202C10"/>
    <w:rsid w:val="00205438"/>
    <w:rsid w:val="0021058E"/>
    <w:rsid w:val="0021575F"/>
    <w:rsid w:val="00222033"/>
    <w:rsid w:val="00222587"/>
    <w:rsid w:val="00223E67"/>
    <w:rsid w:val="00223F38"/>
    <w:rsid w:val="002301A9"/>
    <w:rsid w:val="00231FCC"/>
    <w:rsid w:val="00234A39"/>
    <w:rsid w:val="002425E3"/>
    <w:rsid w:val="002454F7"/>
    <w:rsid w:val="00250F76"/>
    <w:rsid w:val="00251167"/>
    <w:rsid w:val="00252D79"/>
    <w:rsid w:val="00252DDC"/>
    <w:rsid w:val="00253F36"/>
    <w:rsid w:val="00254F1C"/>
    <w:rsid w:val="00255160"/>
    <w:rsid w:val="002604F8"/>
    <w:rsid w:val="00262A8B"/>
    <w:rsid w:val="002659C7"/>
    <w:rsid w:val="00265CA0"/>
    <w:rsid w:val="002663F0"/>
    <w:rsid w:val="0027644B"/>
    <w:rsid w:val="002766D6"/>
    <w:rsid w:val="002766EF"/>
    <w:rsid w:val="00281096"/>
    <w:rsid w:val="00283B3C"/>
    <w:rsid w:val="00285DB8"/>
    <w:rsid w:val="00285F18"/>
    <w:rsid w:val="00290FE0"/>
    <w:rsid w:val="00291468"/>
    <w:rsid w:val="00291813"/>
    <w:rsid w:val="00293341"/>
    <w:rsid w:val="00297A51"/>
    <w:rsid w:val="002A0BF4"/>
    <w:rsid w:val="002B42A0"/>
    <w:rsid w:val="002C2E13"/>
    <w:rsid w:val="002C746F"/>
    <w:rsid w:val="002C760C"/>
    <w:rsid w:val="002D0015"/>
    <w:rsid w:val="002D4CAA"/>
    <w:rsid w:val="002D590A"/>
    <w:rsid w:val="002D6E9E"/>
    <w:rsid w:val="002D7C49"/>
    <w:rsid w:val="002E1795"/>
    <w:rsid w:val="002E62D2"/>
    <w:rsid w:val="002E6E85"/>
    <w:rsid w:val="002E79F5"/>
    <w:rsid w:val="002F0B39"/>
    <w:rsid w:val="002F26F4"/>
    <w:rsid w:val="002F3A3E"/>
    <w:rsid w:val="002F62D2"/>
    <w:rsid w:val="002F717B"/>
    <w:rsid w:val="00301313"/>
    <w:rsid w:val="00302823"/>
    <w:rsid w:val="00302F68"/>
    <w:rsid w:val="003048EF"/>
    <w:rsid w:val="00304C12"/>
    <w:rsid w:val="00312D60"/>
    <w:rsid w:val="003159CC"/>
    <w:rsid w:val="00315F0D"/>
    <w:rsid w:val="003161E2"/>
    <w:rsid w:val="00321853"/>
    <w:rsid w:val="003220A8"/>
    <w:rsid w:val="00331CB5"/>
    <w:rsid w:val="00332F0D"/>
    <w:rsid w:val="003359F3"/>
    <w:rsid w:val="00335B8E"/>
    <w:rsid w:val="00347480"/>
    <w:rsid w:val="00350F61"/>
    <w:rsid w:val="0035169E"/>
    <w:rsid w:val="0035599B"/>
    <w:rsid w:val="00355F02"/>
    <w:rsid w:val="0036045F"/>
    <w:rsid w:val="00363214"/>
    <w:rsid w:val="0036421D"/>
    <w:rsid w:val="003645EE"/>
    <w:rsid w:val="00367F73"/>
    <w:rsid w:val="00372D74"/>
    <w:rsid w:val="00373D6D"/>
    <w:rsid w:val="00380201"/>
    <w:rsid w:val="00387B39"/>
    <w:rsid w:val="003978A4"/>
    <w:rsid w:val="003A0439"/>
    <w:rsid w:val="003A3137"/>
    <w:rsid w:val="003A3DC5"/>
    <w:rsid w:val="003A4D32"/>
    <w:rsid w:val="003B3D69"/>
    <w:rsid w:val="003B48D1"/>
    <w:rsid w:val="003C347E"/>
    <w:rsid w:val="003C6559"/>
    <w:rsid w:val="003C69F7"/>
    <w:rsid w:val="003D3D3F"/>
    <w:rsid w:val="003D62F6"/>
    <w:rsid w:val="003E3D30"/>
    <w:rsid w:val="003E4BC4"/>
    <w:rsid w:val="003E5EB9"/>
    <w:rsid w:val="003E6278"/>
    <w:rsid w:val="003E6B14"/>
    <w:rsid w:val="003F305E"/>
    <w:rsid w:val="003F3284"/>
    <w:rsid w:val="003F5050"/>
    <w:rsid w:val="003F685E"/>
    <w:rsid w:val="003F7874"/>
    <w:rsid w:val="00401278"/>
    <w:rsid w:val="004020A7"/>
    <w:rsid w:val="004058FD"/>
    <w:rsid w:val="00413B6A"/>
    <w:rsid w:val="00414DF6"/>
    <w:rsid w:val="00425D6C"/>
    <w:rsid w:val="00427582"/>
    <w:rsid w:val="00432706"/>
    <w:rsid w:val="00432B15"/>
    <w:rsid w:val="00441DDC"/>
    <w:rsid w:val="004444E3"/>
    <w:rsid w:val="004447DB"/>
    <w:rsid w:val="004454A5"/>
    <w:rsid w:val="00445CC2"/>
    <w:rsid w:val="00445EAB"/>
    <w:rsid w:val="0045456F"/>
    <w:rsid w:val="004551ED"/>
    <w:rsid w:val="004606B2"/>
    <w:rsid w:val="0046210A"/>
    <w:rsid w:val="00462DFC"/>
    <w:rsid w:val="0047376C"/>
    <w:rsid w:val="00474E33"/>
    <w:rsid w:val="00475696"/>
    <w:rsid w:val="00480AF9"/>
    <w:rsid w:val="004816C5"/>
    <w:rsid w:val="004842ED"/>
    <w:rsid w:val="0048467A"/>
    <w:rsid w:val="00490F0E"/>
    <w:rsid w:val="004A1809"/>
    <w:rsid w:val="004A214B"/>
    <w:rsid w:val="004A3236"/>
    <w:rsid w:val="004B00AD"/>
    <w:rsid w:val="004B7324"/>
    <w:rsid w:val="004C1547"/>
    <w:rsid w:val="004C2767"/>
    <w:rsid w:val="004C287C"/>
    <w:rsid w:val="004D090D"/>
    <w:rsid w:val="004D244C"/>
    <w:rsid w:val="004D2B2D"/>
    <w:rsid w:val="004D2E31"/>
    <w:rsid w:val="004D3C35"/>
    <w:rsid w:val="004E622E"/>
    <w:rsid w:val="004E7C27"/>
    <w:rsid w:val="004F4298"/>
    <w:rsid w:val="004F586E"/>
    <w:rsid w:val="004F5C9A"/>
    <w:rsid w:val="004F7EC5"/>
    <w:rsid w:val="005020AD"/>
    <w:rsid w:val="005041B4"/>
    <w:rsid w:val="00504EF5"/>
    <w:rsid w:val="005058E8"/>
    <w:rsid w:val="00506E06"/>
    <w:rsid w:val="005151F9"/>
    <w:rsid w:val="00516000"/>
    <w:rsid w:val="00516DA3"/>
    <w:rsid w:val="00517668"/>
    <w:rsid w:val="00520BC6"/>
    <w:rsid w:val="0052133C"/>
    <w:rsid w:val="00525D91"/>
    <w:rsid w:val="00526399"/>
    <w:rsid w:val="005329D4"/>
    <w:rsid w:val="00535265"/>
    <w:rsid w:val="00537A54"/>
    <w:rsid w:val="00537AB1"/>
    <w:rsid w:val="00537F90"/>
    <w:rsid w:val="00541BC0"/>
    <w:rsid w:val="00542186"/>
    <w:rsid w:val="00544CF5"/>
    <w:rsid w:val="00544EF2"/>
    <w:rsid w:val="0054631F"/>
    <w:rsid w:val="005502A0"/>
    <w:rsid w:val="005513EF"/>
    <w:rsid w:val="005542CA"/>
    <w:rsid w:val="005619E0"/>
    <w:rsid w:val="00561C6B"/>
    <w:rsid w:val="00567156"/>
    <w:rsid w:val="0057053D"/>
    <w:rsid w:val="005761E5"/>
    <w:rsid w:val="005778F1"/>
    <w:rsid w:val="005806D9"/>
    <w:rsid w:val="005815E7"/>
    <w:rsid w:val="0058411D"/>
    <w:rsid w:val="00584702"/>
    <w:rsid w:val="005849E8"/>
    <w:rsid w:val="00585C3E"/>
    <w:rsid w:val="00591143"/>
    <w:rsid w:val="00591D79"/>
    <w:rsid w:val="00594937"/>
    <w:rsid w:val="00596BF8"/>
    <w:rsid w:val="00596DA9"/>
    <w:rsid w:val="00596FEF"/>
    <w:rsid w:val="00597645"/>
    <w:rsid w:val="00597D12"/>
    <w:rsid w:val="005A2526"/>
    <w:rsid w:val="005A2F79"/>
    <w:rsid w:val="005B1F62"/>
    <w:rsid w:val="005B3F41"/>
    <w:rsid w:val="005B6661"/>
    <w:rsid w:val="005C0956"/>
    <w:rsid w:val="005C0CCA"/>
    <w:rsid w:val="005C1279"/>
    <w:rsid w:val="005C2A25"/>
    <w:rsid w:val="005C581A"/>
    <w:rsid w:val="005D08C4"/>
    <w:rsid w:val="005E00A6"/>
    <w:rsid w:val="005E1C73"/>
    <w:rsid w:val="005E363D"/>
    <w:rsid w:val="005F171E"/>
    <w:rsid w:val="005F4575"/>
    <w:rsid w:val="005F598F"/>
    <w:rsid w:val="00601B18"/>
    <w:rsid w:val="00605177"/>
    <w:rsid w:val="006052BD"/>
    <w:rsid w:val="00605D33"/>
    <w:rsid w:val="006108F6"/>
    <w:rsid w:val="006133AE"/>
    <w:rsid w:val="0061434C"/>
    <w:rsid w:val="006231FD"/>
    <w:rsid w:val="006234C5"/>
    <w:rsid w:val="00625314"/>
    <w:rsid w:val="00630E39"/>
    <w:rsid w:val="00632C1E"/>
    <w:rsid w:val="0063465A"/>
    <w:rsid w:val="00636363"/>
    <w:rsid w:val="00636CEA"/>
    <w:rsid w:val="00644036"/>
    <w:rsid w:val="00644F9C"/>
    <w:rsid w:val="00645902"/>
    <w:rsid w:val="00645D2D"/>
    <w:rsid w:val="00645D2F"/>
    <w:rsid w:val="00646974"/>
    <w:rsid w:val="00652ABE"/>
    <w:rsid w:val="006533C9"/>
    <w:rsid w:val="0065518F"/>
    <w:rsid w:val="00656B8E"/>
    <w:rsid w:val="006679F3"/>
    <w:rsid w:val="00675AA8"/>
    <w:rsid w:val="00677D4F"/>
    <w:rsid w:val="00680059"/>
    <w:rsid w:val="00681298"/>
    <w:rsid w:val="00682C16"/>
    <w:rsid w:val="00686992"/>
    <w:rsid w:val="00686BDB"/>
    <w:rsid w:val="00686C96"/>
    <w:rsid w:val="00696FAB"/>
    <w:rsid w:val="006A1465"/>
    <w:rsid w:val="006A3F1B"/>
    <w:rsid w:val="006A4690"/>
    <w:rsid w:val="006A603E"/>
    <w:rsid w:val="006B4995"/>
    <w:rsid w:val="006B579F"/>
    <w:rsid w:val="006B61D0"/>
    <w:rsid w:val="006C5638"/>
    <w:rsid w:val="006C6636"/>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27C"/>
    <w:rsid w:val="00706B98"/>
    <w:rsid w:val="00710E2C"/>
    <w:rsid w:val="007130FF"/>
    <w:rsid w:val="0071555D"/>
    <w:rsid w:val="007169E1"/>
    <w:rsid w:val="0072734C"/>
    <w:rsid w:val="00731EC9"/>
    <w:rsid w:val="0074060D"/>
    <w:rsid w:val="00743B96"/>
    <w:rsid w:val="00743F3C"/>
    <w:rsid w:val="007475C7"/>
    <w:rsid w:val="00747633"/>
    <w:rsid w:val="007479F6"/>
    <w:rsid w:val="007535F8"/>
    <w:rsid w:val="0075504B"/>
    <w:rsid w:val="007561BA"/>
    <w:rsid w:val="0075682B"/>
    <w:rsid w:val="00757ADE"/>
    <w:rsid w:val="0076081E"/>
    <w:rsid w:val="00761D29"/>
    <w:rsid w:val="00771929"/>
    <w:rsid w:val="00771C4D"/>
    <w:rsid w:val="00771F63"/>
    <w:rsid w:val="00772C3A"/>
    <w:rsid w:val="00773259"/>
    <w:rsid w:val="0077426C"/>
    <w:rsid w:val="00780103"/>
    <w:rsid w:val="00783185"/>
    <w:rsid w:val="00793B8D"/>
    <w:rsid w:val="00796253"/>
    <w:rsid w:val="007962B0"/>
    <w:rsid w:val="00797E06"/>
    <w:rsid w:val="007A1A52"/>
    <w:rsid w:val="007A22C9"/>
    <w:rsid w:val="007A452B"/>
    <w:rsid w:val="007B0999"/>
    <w:rsid w:val="007B0E9C"/>
    <w:rsid w:val="007B2053"/>
    <w:rsid w:val="007C444E"/>
    <w:rsid w:val="007C4EA9"/>
    <w:rsid w:val="007C636C"/>
    <w:rsid w:val="007D15DA"/>
    <w:rsid w:val="007D4908"/>
    <w:rsid w:val="007E4D16"/>
    <w:rsid w:val="007E699E"/>
    <w:rsid w:val="007F18EF"/>
    <w:rsid w:val="008007ED"/>
    <w:rsid w:val="0080227D"/>
    <w:rsid w:val="00804F15"/>
    <w:rsid w:val="008071FD"/>
    <w:rsid w:val="00811C57"/>
    <w:rsid w:val="00813513"/>
    <w:rsid w:val="008149A9"/>
    <w:rsid w:val="008152BB"/>
    <w:rsid w:val="00815971"/>
    <w:rsid w:val="00817C14"/>
    <w:rsid w:val="00825649"/>
    <w:rsid w:val="008311E2"/>
    <w:rsid w:val="0083413F"/>
    <w:rsid w:val="00836530"/>
    <w:rsid w:val="00836E7E"/>
    <w:rsid w:val="0084707B"/>
    <w:rsid w:val="00847A4F"/>
    <w:rsid w:val="008501A8"/>
    <w:rsid w:val="00850720"/>
    <w:rsid w:val="00854F47"/>
    <w:rsid w:val="00855C2D"/>
    <w:rsid w:val="00873BCF"/>
    <w:rsid w:val="008744D8"/>
    <w:rsid w:val="00892419"/>
    <w:rsid w:val="00896A4C"/>
    <w:rsid w:val="00897634"/>
    <w:rsid w:val="00897EF4"/>
    <w:rsid w:val="008A1E08"/>
    <w:rsid w:val="008A1FA8"/>
    <w:rsid w:val="008A5FFA"/>
    <w:rsid w:val="008B1839"/>
    <w:rsid w:val="008B7A37"/>
    <w:rsid w:val="008C5DC5"/>
    <w:rsid w:val="008C5DE2"/>
    <w:rsid w:val="008C7FA4"/>
    <w:rsid w:val="008D0BDA"/>
    <w:rsid w:val="008D4A29"/>
    <w:rsid w:val="008D72E9"/>
    <w:rsid w:val="008D7AE0"/>
    <w:rsid w:val="008D7EF9"/>
    <w:rsid w:val="008E3251"/>
    <w:rsid w:val="008E34F1"/>
    <w:rsid w:val="008E54E5"/>
    <w:rsid w:val="008E5D00"/>
    <w:rsid w:val="008E60DD"/>
    <w:rsid w:val="008E6A8B"/>
    <w:rsid w:val="008E7E0B"/>
    <w:rsid w:val="008F2046"/>
    <w:rsid w:val="008F6B67"/>
    <w:rsid w:val="00900C3F"/>
    <w:rsid w:val="0090216C"/>
    <w:rsid w:val="009041E0"/>
    <w:rsid w:val="00904853"/>
    <w:rsid w:val="00904E9B"/>
    <w:rsid w:val="00905DEE"/>
    <w:rsid w:val="00905F45"/>
    <w:rsid w:val="00906207"/>
    <w:rsid w:val="009100DE"/>
    <w:rsid w:val="00912BFF"/>
    <w:rsid w:val="0091454B"/>
    <w:rsid w:val="009221C9"/>
    <w:rsid w:val="00923DB4"/>
    <w:rsid w:val="00931CBF"/>
    <w:rsid w:val="00944176"/>
    <w:rsid w:val="00950926"/>
    <w:rsid w:val="009537A4"/>
    <w:rsid w:val="00961BC7"/>
    <w:rsid w:val="009621F0"/>
    <w:rsid w:val="0096398D"/>
    <w:rsid w:val="00964C3F"/>
    <w:rsid w:val="0096521F"/>
    <w:rsid w:val="00965ACE"/>
    <w:rsid w:val="009662E8"/>
    <w:rsid w:val="00967F3C"/>
    <w:rsid w:val="00971074"/>
    <w:rsid w:val="009712AE"/>
    <w:rsid w:val="00975CA2"/>
    <w:rsid w:val="009826D9"/>
    <w:rsid w:val="00982807"/>
    <w:rsid w:val="00984CE0"/>
    <w:rsid w:val="009905A5"/>
    <w:rsid w:val="009947F9"/>
    <w:rsid w:val="00994926"/>
    <w:rsid w:val="00996162"/>
    <w:rsid w:val="00997B77"/>
    <w:rsid w:val="009A3C76"/>
    <w:rsid w:val="009A4DF2"/>
    <w:rsid w:val="009A4ED7"/>
    <w:rsid w:val="009A4F12"/>
    <w:rsid w:val="009B196A"/>
    <w:rsid w:val="009B439B"/>
    <w:rsid w:val="009C23D2"/>
    <w:rsid w:val="009C300E"/>
    <w:rsid w:val="009C3777"/>
    <w:rsid w:val="009C4087"/>
    <w:rsid w:val="009C4111"/>
    <w:rsid w:val="009C4489"/>
    <w:rsid w:val="009C4712"/>
    <w:rsid w:val="009C7D96"/>
    <w:rsid w:val="009D1DFB"/>
    <w:rsid w:val="009D61D3"/>
    <w:rsid w:val="009E2C98"/>
    <w:rsid w:val="009E685F"/>
    <w:rsid w:val="009E78ED"/>
    <w:rsid w:val="009F1221"/>
    <w:rsid w:val="009F13CA"/>
    <w:rsid w:val="009F19DA"/>
    <w:rsid w:val="009F3498"/>
    <w:rsid w:val="009F5825"/>
    <w:rsid w:val="00A00B2D"/>
    <w:rsid w:val="00A0182A"/>
    <w:rsid w:val="00A03E9F"/>
    <w:rsid w:val="00A0461F"/>
    <w:rsid w:val="00A05E4F"/>
    <w:rsid w:val="00A1343E"/>
    <w:rsid w:val="00A1396B"/>
    <w:rsid w:val="00A140C5"/>
    <w:rsid w:val="00A1685A"/>
    <w:rsid w:val="00A16CBF"/>
    <w:rsid w:val="00A17535"/>
    <w:rsid w:val="00A24FB3"/>
    <w:rsid w:val="00A2634C"/>
    <w:rsid w:val="00A26600"/>
    <w:rsid w:val="00A31679"/>
    <w:rsid w:val="00A32149"/>
    <w:rsid w:val="00A35463"/>
    <w:rsid w:val="00A35E3B"/>
    <w:rsid w:val="00A35E56"/>
    <w:rsid w:val="00A419F2"/>
    <w:rsid w:val="00A41D0C"/>
    <w:rsid w:val="00A41E63"/>
    <w:rsid w:val="00A43577"/>
    <w:rsid w:val="00A455FC"/>
    <w:rsid w:val="00A45D1E"/>
    <w:rsid w:val="00A53336"/>
    <w:rsid w:val="00A5477F"/>
    <w:rsid w:val="00A56586"/>
    <w:rsid w:val="00A60228"/>
    <w:rsid w:val="00A62ED6"/>
    <w:rsid w:val="00A659C2"/>
    <w:rsid w:val="00A66AA6"/>
    <w:rsid w:val="00A674C7"/>
    <w:rsid w:val="00A7246E"/>
    <w:rsid w:val="00A74C5E"/>
    <w:rsid w:val="00A87562"/>
    <w:rsid w:val="00A90ECF"/>
    <w:rsid w:val="00A9224A"/>
    <w:rsid w:val="00A9305E"/>
    <w:rsid w:val="00A97590"/>
    <w:rsid w:val="00AA37C7"/>
    <w:rsid w:val="00AA4652"/>
    <w:rsid w:val="00AA6DF6"/>
    <w:rsid w:val="00AB04D0"/>
    <w:rsid w:val="00AB22C4"/>
    <w:rsid w:val="00AB2455"/>
    <w:rsid w:val="00AB3EB2"/>
    <w:rsid w:val="00AB66DB"/>
    <w:rsid w:val="00AB7707"/>
    <w:rsid w:val="00AB7A7C"/>
    <w:rsid w:val="00AC2882"/>
    <w:rsid w:val="00AD24D6"/>
    <w:rsid w:val="00AD59C8"/>
    <w:rsid w:val="00AD6E09"/>
    <w:rsid w:val="00AE1C77"/>
    <w:rsid w:val="00AE4DFE"/>
    <w:rsid w:val="00AE75F1"/>
    <w:rsid w:val="00AF02C9"/>
    <w:rsid w:val="00AF07AA"/>
    <w:rsid w:val="00AF1A1D"/>
    <w:rsid w:val="00AF1E77"/>
    <w:rsid w:val="00AF5675"/>
    <w:rsid w:val="00AF72C3"/>
    <w:rsid w:val="00AF78E3"/>
    <w:rsid w:val="00AF7CF9"/>
    <w:rsid w:val="00B02D61"/>
    <w:rsid w:val="00B066FF"/>
    <w:rsid w:val="00B06A00"/>
    <w:rsid w:val="00B07212"/>
    <w:rsid w:val="00B1262D"/>
    <w:rsid w:val="00B13172"/>
    <w:rsid w:val="00B165F8"/>
    <w:rsid w:val="00B16E56"/>
    <w:rsid w:val="00B21122"/>
    <w:rsid w:val="00B2205B"/>
    <w:rsid w:val="00B25A95"/>
    <w:rsid w:val="00B2755E"/>
    <w:rsid w:val="00B31209"/>
    <w:rsid w:val="00B33B53"/>
    <w:rsid w:val="00B33E96"/>
    <w:rsid w:val="00B34FAD"/>
    <w:rsid w:val="00B35E40"/>
    <w:rsid w:val="00B36A9E"/>
    <w:rsid w:val="00B418FD"/>
    <w:rsid w:val="00B4433E"/>
    <w:rsid w:val="00B477C3"/>
    <w:rsid w:val="00B47F3C"/>
    <w:rsid w:val="00B5723D"/>
    <w:rsid w:val="00B60332"/>
    <w:rsid w:val="00B63833"/>
    <w:rsid w:val="00B63F74"/>
    <w:rsid w:val="00B706BE"/>
    <w:rsid w:val="00B70F6F"/>
    <w:rsid w:val="00B71949"/>
    <w:rsid w:val="00B72DCE"/>
    <w:rsid w:val="00B73863"/>
    <w:rsid w:val="00B74EFB"/>
    <w:rsid w:val="00B75345"/>
    <w:rsid w:val="00B76C77"/>
    <w:rsid w:val="00B77552"/>
    <w:rsid w:val="00B77B10"/>
    <w:rsid w:val="00B83A6E"/>
    <w:rsid w:val="00B90B9F"/>
    <w:rsid w:val="00B9472F"/>
    <w:rsid w:val="00BA5711"/>
    <w:rsid w:val="00BB09CD"/>
    <w:rsid w:val="00BB195F"/>
    <w:rsid w:val="00BB26C7"/>
    <w:rsid w:val="00BB42E5"/>
    <w:rsid w:val="00BB5C83"/>
    <w:rsid w:val="00BB7208"/>
    <w:rsid w:val="00BC1595"/>
    <w:rsid w:val="00BC2E45"/>
    <w:rsid w:val="00BC4633"/>
    <w:rsid w:val="00BD0586"/>
    <w:rsid w:val="00BD165E"/>
    <w:rsid w:val="00BD3AC7"/>
    <w:rsid w:val="00BD47FB"/>
    <w:rsid w:val="00BD63A8"/>
    <w:rsid w:val="00BE3714"/>
    <w:rsid w:val="00BE78E9"/>
    <w:rsid w:val="00BF0B50"/>
    <w:rsid w:val="00BF1AA1"/>
    <w:rsid w:val="00BF3FEB"/>
    <w:rsid w:val="00BF5C7F"/>
    <w:rsid w:val="00BF7375"/>
    <w:rsid w:val="00C0021C"/>
    <w:rsid w:val="00C03412"/>
    <w:rsid w:val="00C04C09"/>
    <w:rsid w:val="00C06FD3"/>
    <w:rsid w:val="00C10C57"/>
    <w:rsid w:val="00C12E54"/>
    <w:rsid w:val="00C13DC0"/>
    <w:rsid w:val="00C14C24"/>
    <w:rsid w:val="00C15237"/>
    <w:rsid w:val="00C2013E"/>
    <w:rsid w:val="00C20BBD"/>
    <w:rsid w:val="00C22771"/>
    <w:rsid w:val="00C30D75"/>
    <w:rsid w:val="00C315DE"/>
    <w:rsid w:val="00C31825"/>
    <w:rsid w:val="00C31CDC"/>
    <w:rsid w:val="00C32117"/>
    <w:rsid w:val="00C346CE"/>
    <w:rsid w:val="00C34898"/>
    <w:rsid w:val="00C361EE"/>
    <w:rsid w:val="00C423FC"/>
    <w:rsid w:val="00C4572B"/>
    <w:rsid w:val="00C50015"/>
    <w:rsid w:val="00C51BF4"/>
    <w:rsid w:val="00C548E7"/>
    <w:rsid w:val="00C54E42"/>
    <w:rsid w:val="00C555EA"/>
    <w:rsid w:val="00C56A86"/>
    <w:rsid w:val="00C57BC5"/>
    <w:rsid w:val="00C61402"/>
    <w:rsid w:val="00C624B5"/>
    <w:rsid w:val="00C627E8"/>
    <w:rsid w:val="00C64D25"/>
    <w:rsid w:val="00C653D9"/>
    <w:rsid w:val="00C653F3"/>
    <w:rsid w:val="00C668DE"/>
    <w:rsid w:val="00C72448"/>
    <w:rsid w:val="00C73928"/>
    <w:rsid w:val="00C75853"/>
    <w:rsid w:val="00C812E6"/>
    <w:rsid w:val="00C8450F"/>
    <w:rsid w:val="00C87F33"/>
    <w:rsid w:val="00C949AC"/>
    <w:rsid w:val="00C959C5"/>
    <w:rsid w:val="00CA1D5D"/>
    <w:rsid w:val="00CA2B0E"/>
    <w:rsid w:val="00CA396F"/>
    <w:rsid w:val="00CB484B"/>
    <w:rsid w:val="00CB6408"/>
    <w:rsid w:val="00CC0238"/>
    <w:rsid w:val="00CC12B3"/>
    <w:rsid w:val="00CC40D6"/>
    <w:rsid w:val="00CC6905"/>
    <w:rsid w:val="00CC72C3"/>
    <w:rsid w:val="00CC76B1"/>
    <w:rsid w:val="00CD2BE0"/>
    <w:rsid w:val="00CD428A"/>
    <w:rsid w:val="00CE2A32"/>
    <w:rsid w:val="00CE3A31"/>
    <w:rsid w:val="00CE775B"/>
    <w:rsid w:val="00CE7FBC"/>
    <w:rsid w:val="00D01C77"/>
    <w:rsid w:val="00D058B9"/>
    <w:rsid w:val="00D068A3"/>
    <w:rsid w:val="00D07136"/>
    <w:rsid w:val="00D135E3"/>
    <w:rsid w:val="00D137BC"/>
    <w:rsid w:val="00D15784"/>
    <w:rsid w:val="00D1604D"/>
    <w:rsid w:val="00D16A4D"/>
    <w:rsid w:val="00D17F7E"/>
    <w:rsid w:val="00D24714"/>
    <w:rsid w:val="00D258FB"/>
    <w:rsid w:val="00D26A85"/>
    <w:rsid w:val="00D31A9B"/>
    <w:rsid w:val="00D35670"/>
    <w:rsid w:val="00D4254E"/>
    <w:rsid w:val="00D4307B"/>
    <w:rsid w:val="00D44835"/>
    <w:rsid w:val="00D455EB"/>
    <w:rsid w:val="00D45BA6"/>
    <w:rsid w:val="00D46F5C"/>
    <w:rsid w:val="00D510D8"/>
    <w:rsid w:val="00D51525"/>
    <w:rsid w:val="00D53C7D"/>
    <w:rsid w:val="00D5574B"/>
    <w:rsid w:val="00D5650F"/>
    <w:rsid w:val="00D607C8"/>
    <w:rsid w:val="00D610C7"/>
    <w:rsid w:val="00D6180A"/>
    <w:rsid w:val="00D63C01"/>
    <w:rsid w:val="00D649E2"/>
    <w:rsid w:val="00D652D7"/>
    <w:rsid w:val="00D70847"/>
    <w:rsid w:val="00D71836"/>
    <w:rsid w:val="00D80563"/>
    <w:rsid w:val="00D87F8C"/>
    <w:rsid w:val="00D90FDE"/>
    <w:rsid w:val="00D91C33"/>
    <w:rsid w:val="00D947D9"/>
    <w:rsid w:val="00D94BAD"/>
    <w:rsid w:val="00D972D4"/>
    <w:rsid w:val="00DA1A0B"/>
    <w:rsid w:val="00DA244A"/>
    <w:rsid w:val="00DA3232"/>
    <w:rsid w:val="00DA3839"/>
    <w:rsid w:val="00DB4D17"/>
    <w:rsid w:val="00DC0924"/>
    <w:rsid w:val="00DC1CC0"/>
    <w:rsid w:val="00DC359F"/>
    <w:rsid w:val="00DC4ED6"/>
    <w:rsid w:val="00DD2778"/>
    <w:rsid w:val="00DD3A0E"/>
    <w:rsid w:val="00DD40C1"/>
    <w:rsid w:val="00DD7E84"/>
    <w:rsid w:val="00DE032F"/>
    <w:rsid w:val="00DE2903"/>
    <w:rsid w:val="00DE41A9"/>
    <w:rsid w:val="00DE5C7E"/>
    <w:rsid w:val="00DE6A58"/>
    <w:rsid w:val="00DE7DF6"/>
    <w:rsid w:val="00DF59EE"/>
    <w:rsid w:val="00DF61EC"/>
    <w:rsid w:val="00E00DDA"/>
    <w:rsid w:val="00E0154D"/>
    <w:rsid w:val="00E01D36"/>
    <w:rsid w:val="00E02EE3"/>
    <w:rsid w:val="00E04C68"/>
    <w:rsid w:val="00E137EC"/>
    <w:rsid w:val="00E148EF"/>
    <w:rsid w:val="00E161F4"/>
    <w:rsid w:val="00E20584"/>
    <w:rsid w:val="00E25AE6"/>
    <w:rsid w:val="00E2611F"/>
    <w:rsid w:val="00E31329"/>
    <w:rsid w:val="00E318D2"/>
    <w:rsid w:val="00E31A66"/>
    <w:rsid w:val="00E360E8"/>
    <w:rsid w:val="00E36AF0"/>
    <w:rsid w:val="00E36CF1"/>
    <w:rsid w:val="00E37CEB"/>
    <w:rsid w:val="00E419DF"/>
    <w:rsid w:val="00E41DD0"/>
    <w:rsid w:val="00E43F00"/>
    <w:rsid w:val="00E44E56"/>
    <w:rsid w:val="00E61402"/>
    <w:rsid w:val="00E673FD"/>
    <w:rsid w:val="00E708BF"/>
    <w:rsid w:val="00E73861"/>
    <w:rsid w:val="00E74AA2"/>
    <w:rsid w:val="00E829EC"/>
    <w:rsid w:val="00E83EF2"/>
    <w:rsid w:val="00E84B7C"/>
    <w:rsid w:val="00E8647D"/>
    <w:rsid w:val="00E9271F"/>
    <w:rsid w:val="00E9311E"/>
    <w:rsid w:val="00E934A1"/>
    <w:rsid w:val="00E97555"/>
    <w:rsid w:val="00EA2513"/>
    <w:rsid w:val="00EA4C92"/>
    <w:rsid w:val="00EB2571"/>
    <w:rsid w:val="00EB34F9"/>
    <w:rsid w:val="00EB5065"/>
    <w:rsid w:val="00EC5E10"/>
    <w:rsid w:val="00EC7571"/>
    <w:rsid w:val="00EC7CE6"/>
    <w:rsid w:val="00ED33CC"/>
    <w:rsid w:val="00EE7805"/>
    <w:rsid w:val="00EF0BB5"/>
    <w:rsid w:val="00EF0C1C"/>
    <w:rsid w:val="00EF29EC"/>
    <w:rsid w:val="00EF4F62"/>
    <w:rsid w:val="00F02E70"/>
    <w:rsid w:val="00F036B7"/>
    <w:rsid w:val="00F072CF"/>
    <w:rsid w:val="00F138F2"/>
    <w:rsid w:val="00F13C8F"/>
    <w:rsid w:val="00F141C0"/>
    <w:rsid w:val="00F148A1"/>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66B9C"/>
    <w:rsid w:val="00F80202"/>
    <w:rsid w:val="00F82076"/>
    <w:rsid w:val="00F90547"/>
    <w:rsid w:val="00F913CD"/>
    <w:rsid w:val="00F955B3"/>
    <w:rsid w:val="00FA4289"/>
    <w:rsid w:val="00FA753F"/>
    <w:rsid w:val="00FB1B38"/>
    <w:rsid w:val="00FB1F8B"/>
    <w:rsid w:val="00FB2684"/>
    <w:rsid w:val="00FD45F7"/>
    <w:rsid w:val="00FD6202"/>
    <w:rsid w:val="00FD63CD"/>
    <w:rsid w:val="00FD7141"/>
    <w:rsid w:val="00FE09E8"/>
    <w:rsid w:val="00FE0FB2"/>
    <w:rsid w:val="00FE6A4C"/>
    <w:rsid w:val="00FE6FED"/>
    <w:rsid w:val="00FE7FC9"/>
    <w:rsid w:val="00FF072B"/>
    <w:rsid w:val="00FF21E3"/>
    <w:rsid w:val="00FF289A"/>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eaeaea"/>
    </o:shapedefaults>
    <o:shapelayout v:ext="edit">
      <o:idmap v:ext="edit" data="1"/>
    </o:shapelayout>
  </w:shapeDefaults>
  <w:decimalSymbol w:val="."/>
  <w:listSeparator w:val=","/>
  <w15:docId w15:val="{9DF1FDDE-CBF2-4EC4-A534-8C9BE1B2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rsid w:val="00F138F2"/>
    <w:pPr>
      <w:spacing w:before="120" w:after="120" w:line="280" w:lineRule="exact"/>
    </w:pPr>
    <w:rPr>
      <w:rFonts w:ascii="Arial" w:hAnsi="Arial"/>
      <w:sz w:val="20"/>
    </w:rPr>
  </w:style>
  <w:style w:type="character" w:customStyle="1" w:styleId="BodyTextChar">
    <w:name w:val="Body Text Char"/>
    <w:link w:val="BodyText"/>
    <w:uiPriority w:val="99"/>
    <w:rsid w:val="00F138F2"/>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uiPriority w:val="99"/>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uiPriority w:val="99"/>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uiPriority w:val="99"/>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uiPriority w:val="99"/>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uiPriority w:val="99"/>
    <w:rsid w:val="00A3214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97E06"/>
    <w:pPr>
      <w:spacing w:before="100" w:beforeAutospacing="1" w:after="100" w:afterAutospacing="1"/>
    </w:pPr>
  </w:style>
  <w:style w:type="character" w:customStyle="1" w:styleId="BodyTextIndentChar">
    <w:name w:val="Body Text Indent Char"/>
    <w:link w:val="BodyTextIndent"/>
    <w:rsid w:val="00797E06"/>
    <w:rPr>
      <w:rFonts w:ascii="Arial" w:hAnsi="Arial"/>
      <w:szCs w:val="24"/>
    </w:rPr>
  </w:style>
  <w:style w:type="character" w:customStyle="1" w:styleId="Heading2Char">
    <w:name w:val="Heading 2 Char"/>
    <w:link w:val="Heading2"/>
    <w:rsid w:val="00797E06"/>
    <w:rPr>
      <w:rFonts w:ascii="Arial" w:hAnsi="Arial"/>
      <w:b/>
      <w:caps/>
      <w:color w:val="7791AD"/>
      <w:spacing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500">
      <w:bodyDiv w:val="1"/>
      <w:marLeft w:val="0"/>
      <w:marRight w:val="0"/>
      <w:marTop w:val="0"/>
      <w:marBottom w:val="0"/>
      <w:divBdr>
        <w:top w:val="none" w:sz="0" w:space="0" w:color="auto"/>
        <w:left w:val="none" w:sz="0" w:space="0" w:color="auto"/>
        <w:bottom w:val="none" w:sz="0" w:space="0" w:color="auto"/>
        <w:right w:val="none" w:sz="0" w:space="0" w:color="auto"/>
      </w:divBdr>
    </w:div>
    <w:div w:id="283121001">
      <w:bodyDiv w:val="1"/>
      <w:marLeft w:val="0"/>
      <w:marRight w:val="0"/>
      <w:marTop w:val="0"/>
      <w:marBottom w:val="0"/>
      <w:divBdr>
        <w:top w:val="none" w:sz="0" w:space="0" w:color="auto"/>
        <w:left w:val="none" w:sz="0" w:space="0" w:color="auto"/>
        <w:bottom w:val="none" w:sz="0" w:space="0" w:color="auto"/>
        <w:right w:val="none" w:sz="0" w:space="0" w:color="auto"/>
      </w:divBdr>
      <w:divsChild>
        <w:div w:id="1410692937">
          <w:marLeft w:val="0"/>
          <w:marRight w:val="0"/>
          <w:marTop w:val="0"/>
          <w:marBottom w:val="0"/>
          <w:divBdr>
            <w:top w:val="none" w:sz="0" w:space="0" w:color="auto"/>
            <w:left w:val="none" w:sz="0" w:space="0" w:color="auto"/>
            <w:bottom w:val="none" w:sz="0" w:space="0" w:color="auto"/>
            <w:right w:val="none" w:sz="0" w:space="0" w:color="auto"/>
          </w:divBdr>
        </w:div>
        <w:div w:id="1271164265">
          <w:marLeft w:val="0"/>
          <w:marRight w:val="0"/>
          <w:marTop w:val="0"/>
          <w:marBottom w:val="0"/>
          <w:divBdr>
            <w:top w:val="none" w:sz="0" w:space="0" w:color="auto"/>
            <w:left w:val="none" w:sz="0" w:space="0" w:color="auto"/>
            <w:bottom w:val="none" w:sz="0" w:space="0" w:color="auto"/>
            <w:right w:val="none" w:sz="0" w:space="0" w:color="auto"/>
          </w:divBdr>
        </w:div>
        <w:div w:id="100103502">
          <w:marLeft w:val="0"/>
          <w:marRight w:val="0"/>
          <w:marTop w:val="0"/>
          <w:marBottom w:val="0"/>
          <w:divBdr>
            <w:top w:val="none" w:sz="0" w:space="0" w:color="auto"/>
            <w:left w:val="none" w:sz="0" w:space="0" w:color="auto"/>
            <w:bottom w:val="none" w:sz="0" w:space="0" w:color="auto"/>
            <w:right w:val="none" w:sz="0" w:space="0" w:color="auto"/>
          </w:divBdr>
        </w:div>
        <w:div w:id="1292782305">
          <w:marLeft w:val="0"/>
          <w:marRight w:val="0"/>
          <w:marTop w:val="0"/>
          <w:marBottom w:val="0"/>
          <w:divBdr>
            <w:top w:val="none" w:sz="0" w:space="0" w:color="auto"/>
            <w:left w:val="none" w:sz="0" w:space="0" w:color="auto"/>
            <w:bottom w:val="none" w:sz="0" w:space="0" w:color="auto"/>
            <w:right w:val="none" w:sz="0" w:space="0" w:color="auto"/>
          </w:divBdr>
        </w:div>
        <w:div w:id="1210268631">
          <w:marLeft w:val="0"/>
          <w:marRight w:val="0"/>
          <w:marTop w:val="0"/>
          <w:marBottom w:val="0"/>
          <w:divBdr>
            <w:top w:val="none" w:sz="0" w:space="0" w:color="auto"/>
            <w:left w:val="none" w:sz="0" w:space="0" w:color="auto"/>
            <w:bottom w:val="none" w:sz="0" w:space="0" w:color="auto"/>
            <w:right w:val="none" w:sz="0" w:space="0" w:color="auto"/>
          </w:divBdr>
        </w:div>
        <w:div w:id="1283804328">
          <w:marLeft w:val="0"/>
          <w:marRight w:val="0"/>
          <w:marTop w:val="0"/>
          <w:marBottom w:val="0"/>
          <w:divBdr>
            <w:top w:val="none" w:sz="0" w:space="0" w:color="auto"/>
            <w:left w:val="none" w:sz="0" w:space="0" w:color="auto"/>
            <w:bottom w:val="none" w:sz="0" w:space="0" w:color="auto"/>
            <w:right w:val="none" w:sz="0" w:space="0" w:color="auto"/>
          </w:divBdr>
        </w:div>
        <w:div w:id="1456828535">
          <w:marLeft w:val="0"/>
          <w:marRight w:val="0"/>
          <w:marTop w:val="0"/>
          <w:marBottom w:val="0"/>
          <w:divBdr>
            <w:top w:val="none" w:sz="0" w:space="0" w:color="auto"/>
            <w:left w:val="none" w:sz="0" w:space="0" w:color="auto"/>
            <w:bottom w:val="none" w:sz="0" w:space="0" w:color="auto"/>
            <w:right w:val="none" w:sz="0" w:space="0" w:color="auto"/>
          </w:divBdr>
        </w:div>
        <w:div w:id="1077478324">
          <w:marLeft w:val="0"/>
          <w:marRight w:val="0"/>
          <w:marTop w:val="0"/>
          <w:marBottom w:val="0"/>
          <w:divBdr>
            <w:top w:val="none" w:sz="0" w:space="0" w:color="auto"/>
            <w:left w:val="none" w:sz="0" w:space="0" w:color="auto"/>
            <w:bottom w:val="none" w:sz="0" w:space="0" w:color="auto"/>
            <w:right w:val="none" w:sz="0" w:space="0" w:color="auto"/>
          </w:divBdr>
        </w:div>
        <w:div w:id="199100187">
          <w:marLeft w:val="0"/>
          <w:marRight w:val="0"/>
          <w:marTop w:val="0"/>
          <w:marBottom w:val="0"/>
          <w:divBdr>
            <w:top w:val="none" w:sz="0" w:space="0" w:color="auto"/>
            <w:left w:val="none" w:sz="0" w:space="0" w:color="auto"/>
            <w:bottom w:val="none" w:sz="0" w:space="0" w:color="auto"/>
            <w:right w:val="none" w:sz="0" w:space="0" w:color="auto"/>
          </w:divBdr>
        </w:div>
      </w:divsChild>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579943747">
      <w:bodyDiv w:val="1"/>
      <w:marLeft w:val="0"/>
      <w:marRight w:val="0"/>
      <w:marTop w:val="0"/>
      <w:marBottom w:val="0"/>
      <w:divBdr>
        <w:top w:val="none" w:sz="0" w:space="0" w:color="auto"/>
        <w:left w:val="none" w:sz="0" w:space="0" w:color="auto"/>
        <w:bottom w:val="none" w:sz="0" w:space="0" w:color="auto"/>
        <w:right w:val="none" w:sz="0" w:space="0" w:color="auto"/>
      </w:divBdr>
    </w:div>
    <w:div w:id="626620000">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11358397">
      <w:bodyDiv w:val="1"/>
      <w:marLeft w:val="0"/>
      <w:marRight w:val="0"/>
      <w:marTop w:val="0"/>
      <w:marBottom w:val="0"/>
      <w:divBdr>
        <w:top w:val="none" w:sz="0" w:space="0" w:color="auto"/>
        <w:left w:val="none" w:sz="0" w:space="0" w:color="auto"/>
        <w:bottom w:val="none" w:sz="0" w:space="0" w:color="auto"/>
        <w:right w:val="none" w:sz="0" w:space="0" w:color="auto"/>
      </w:divBdr>
      <w:divsChild>
        <w:div w:id="749892126">
          <w:marLeft w:val="0"/>
          <w:marRight w:val="0"/>
          <w:marTop w:val="0"/>
          <w:marBottom w:val="0"/>
          <w:divBdr>
            <w:top w:val="none" w:sz="0" w:space="0" w:color="auto"/>
            <w:left w:val="none" w:sz="0" w:space="0" w:color="auto"/>
            <w:bottom w:val="none" w:sz="0" w:space="0" w:color="auto"/>
            <w:right w:val="none" w:sz="0" w:space="0" w:color="auto"/>
          </w:divBdr>
        </w:div>
        <w:div w:id="214895178">
          <w:marLeft w:val="0"/>
          <w:marRight w:val="0"/>
          <w:marTop w:val="0"/>
          <w:marBottom w:val="0"/>
          <w:divBdr>
            <w:top w:val="none" w:sz="0" w:space="0" w:color="auto"/>
            <w:left w:val="none" w:sz="0" w:space="0" w:color="auto"/>
            <w:bottom w:val="none" w:sz="0" w:space="0" w:color="auto"/>
            <w:right w:val="none" w:sz="0" w:space="0" w:color="auto"/>
          </w:divBdr>
        </w:div>
        <w:div w:id="956982920">
          <w:marLeft w:val="0"/>
          <w:marRight w:val="0"/>
          <w:marTop w:val="0"/>
          <w:marBottom w:val="0"/>
          <w:divBdr>
            <w:top w:val="none" w:sz="0" w:space="0" w:color="auto"/>
            <w:left w:val="none" w:sz="0" w:space="0" w:color="auto"/>
            <w:bottom w:val="none" w:sz="0" w:space="0" w:color="auto"/>
            <w:right w:val="none" w:sz="0" w:space="0" w:color="auto"/>
          </w:divBdr>
        </w:div>
        <w:div w:id="617953857">
          <w:marLeft w:val="0"/>
          <w:marRight w:val="0"/>
          <w:marTop w:val="0"/>
          <w:marBottom w:val="0"/>
          <w:divBdr>
            <w:top w:val="none" w:sz="0" w:space="0" w:color="auto"/>
            <w:left w:val="none" w:sz="0" w:space="0" w:color="auto"/>
            <w:bottom w:val="none" w:sz="0" w:space="0" w:color="auto"/>
            <w:right w:val="none" w:sz="0" w:space="0" w:color="auto"/>
          </w:divBdr>
        </w:div>
        <w:div w:id="1555042193">
          <w:marLeft w:val="0"/>
          <w:marRight w:val="0"/>
          <w:marTop w:val="0"/>
          <w:marBottom w:val="0"/>
          <w:divBdr>
            <w:top w:val="none" w:sz="0" w:space="0" w:color="auto"/>
            <w:left w:val="none" w:sz="0" w:space="0" w:color="auto"/>
            <w:bottom w:val="none" w:sz="0" w:space="0" w:color="auto"/>
            <w:right w:val="none" w:sz="0" w:space="0" w:color="auto"/>
          </w:divBdr>
        </w:div>
        <w:div w:id="913471126">
          <w:marLeft w:val="0"/>
          <w:marRight w:val="0"/>
          <w:marTop w:val="0"/>
          <w:marBottom w:val="0"/>
          <w:divBdr>
            <w:top w:val="none" w:sz="0" w:space="0" w:color="auto"/>
            <w:left w:val="none" w:sz="0" w:space="0" w:color="auto"/>
            <w:bottom w:val="none" w:sz="0" w:space="0" w:color="auto"/>
            <w:right w:val="none" w:sz="0" w:space="0" w:color="auto"/>
          </w:divBdr>
        </w:div>
        <w:div w:id="10376444">
          <w:marLeft w:val="0"/>
          <w:marRight w:val="0"/>
          <w:marTop w:val="0"/>
          <w:marBottom w:val="0"/>
          <w:divBdr>
            <w:top w:val="none" w:sz="0" w:space="0" w:color="auto"/>
            <w:left w:val="none" w:sz="0" w:space="0" w:color="auto"/>
            <w:bottom w:val="none" w:sz="0" w:space="0" w:color="auto"/>
            <w:right w:val="none" w:sz="0" w:space="0" w:color="auto"/>
          </w:divBdr>
        </w:div>
        <w:div w:id="1504586586">
          <w:marLeft w:val="0"/>
          <w:marRight w:val="0"/>
          <w:marTop w:val="0"/>
          <w:marBottom w:val="0"/>
          <w:divBdr>
            <w:top w:val="none" w:sz="0" w:space="0" w:color="auto"/>
            <w:left w:val="none" w:sz="0" w:space="0" w:color="auto"/>
            <w:bottom w:val="none" w:sz="0" w:space="0" w:color="auto"/>
            <w:right w:val="none" w:sz="0" w:space="0" w:color="auto"/>
          </w:divBdr>
        </w:div>
        <w:div w:id="710151361">
          <w:marLeft w:val="0"/>
          <w:marRight w:val="0"/>
          <w:marTop w:val="0"/>
          <w:marBottom w:val="0"/>
          <w:divBdr>
            <w:top w:val="none" w:sz="0" w:space="0" w:color="auto"/>
            <w:left w:val="none" w:sz="0" w:space="0" w:color="auto"/>
            <w:bottom w:val="none" w:sz="0" w:space="0" w:color="auto"/>
            <w:right w:val="none" w:sz="0" w:space="0" w:color="auto"/>
          </w:divBdr>
        </w:div>
      </w:divsChild>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8524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unimelb.edu.au/careers" TargetMode="External"/><Relationship Id="rId18" Type="http://schemas.openxmlformats.org/officeDocument/2006/relationships/hyperlink" Target="http://www.medicine.unimelb.edu.au/"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about.unimelb.edu.au/strategy-and-leadership" TargetMode="External"/><Relationship Id="rId7" Type="http://schemas.openxmlformats.org/officeDocument/2006/relationships/webSettings" Target="webSettings.xml"/><Relationship Id="rId12" Type="http://schemas.openxmlformats.org/officeDocument/2006/relationships/hyperlink" Target="http://about.unimelb.edu.au/careers/working/benefits" TargetMode="External"/><Relationship Id="rId17" Type="http://schemas.openxmlformats.org/officeDocument/2006/relationships/hyperlink" Target="http://www.psychiatry.unimelb.edu.au/"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phoenixaustralia.org" TargetMode="External"/><Relationship Id="rId20" Type="http://schemas.openxmlformats.org/officeDocument/2006/relationships/hyperlink" Target="http://about.unimelb.edu.au/careers"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40.wmf"/><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afety.unimelb.edu.au/topics/responsibilities/" TargetMode="External"/><Relationship Id="rId23" Type="http://schemas.openxmlformats.org/officeDocument/2006/relationships/hyperlink" Target="http://www.unimelb.edu.au/governance" TargetMode="External"/><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yperlink" Target="http://www.mdhs.unimelb.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r.unimelb.edu.au/careers" TargetMode="External"/><Relationship Id="rId22" Type="http://schemas.openxmlformats.org/officeDocument/2006/relationships/hyperlink" Target="http://research.unimelb.edu.au/our-research/research-at-melbourn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81981-3474-4489-AAC3-E469294B00BA}">
  <ds:schemaRefs>
    <ds:schemaRef ds:uri="http://www.w3.org/2001/XMLSchema"/>
  </ds:schemaRefs>
</ds:datastoreItem>
</file>

<file path=customXml/itemProps2.xml><?xml version="1.0" encoding="utf-8"?>
<ds:datastoreItem xmlns:ds="http://schemas.openxmlformats.org/officeDocument/2006/customXml" ds:itemID="{C64B9DD1-D902-434E-985B-AA917324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TotalTime>
  <Pages>9</Pages>
  <Words>3139</Words>
  <Characters>20603</Characters>
  <Application>Microsoft Office Word</Application>
  <DocSecurity>4</DocSecurity>
  <Lines>171</Lines>
  <Paragraphs>47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23695</CharactersWithSpaces>
  <SharedDoc>false</SharedDoc>
  <HLinks>
    <vt:vector size="60" baseType="variant">
      <vt:variant>
        <vt:i4>5898310</vt:i4>
      </vt:variant>
      <vt:variant>
        <vt:i4>69</vt:i4>
      </vt:variant>
      <vt:variant>
        <vt:i4>0</vt:i4>
      </vt:variant>
      <vt:variant>
        <vt:i4>5</vt:i4>
      </vt:variant>
      <vt:variant>
        <vt:lpwstr>http://safety.unimelb.edu.au/topics/responsibilities/</vt:lpwstr>
      </vt:variant>
      <vt:variant>
        <vt:lpwstr/>
      </vt:variant>
      <vt:variant>
        <vt:i4>131074</vt:i4>
      </vt:variant>
      <vt:variant>
        <vt:i4>66</vt:i4>
      </vt:variant>
      <vt:variant>
        <vt:i4>0</vt:i4>
      </vt:variant>
      <vt:variant>
        <vt:i4>5</vt:i4>
      </vt:variant>
      <vt:variant>
        <vt:lpwstr>http://research.unimelb.edu.au/index.html</vt:lpwstr>
      </vt:variant>
      <vt:variant>
        <vt:lpwstr>home</vt:lpwstr>
      </vt:variant>
      <vt:variant>
        <vt:i4>6946857</vt:i4>
      </vt:variant>
      <vt:variant>
        <vt:i4>63</vt:i4>
      </vt:variant>
      <vt:variant>
        <vt:i4>0</vt:i4>
      </vt:variant>
      <vt:variant>
        <vt:i4>5</vt:i4>
      </vt:variant>
      <vt:variant>
        <vt:lpwstr>http://about.unimelb.edu.au/strategy-and-leadership</vt:lpwstr>
      </vt:variant>
      <vt:variant>
        <vt:lpwstr/>
      </vt:variant>
      <vt:variant>
        <vt:i4>6422586</vt:i4>
      </vt:variant>
      <vt:variant>
        <vt:i4>60</vt:i4>
      </vt:variant>
      <vt:variant>
        <vt:i4>0</vt:i4>
      </vt:variant>
      <vt:variant>
        <vt:i4>5</vt:i4>
      </vt:variant>
      <vt:variant>
        <vt:lpwstr>http://about.unimelb.edu.au/careers</vt:lpwstr>
      </vt:variant>
      <vt:variant>
        <vt:lpwstr/>
      </vt:variant>
      <vt:variant>
        <vt:i4>1572887</vt:i4>
      </vt:variant>
      <vt:variant>
        <vt:i4>57</vt:i4>
      </vt:variant>
      <vt:variant>
        <vt:i4>0</vt:i4>
      </vt:variant>
      <vt:variant>
        <vt:i4>5</vt:i4>
      </vt:variant>
      <vt:variant>
        <vt:lpwstr>http://futurestudents.unimelb.edu.au/explore/why-choose-melbourne/reputation-rankings</vt:lpwstr>
      </vt:variant>
      <vt:variant>
        <vt:lpwstr/>
      </vt:variant>
      <vt:variant>
        <vt:i4>8257581</vt:i4>
      </vt:variant>
      <vt:variant>
        <vt:i4>54</vt:i4>
      </vt:variant>
      <vt:variant>
        <vt:i4>0</vt:i4>
      </vt:variant>
      <vt:variant>
        <vt:i4>5</vt:i4>
      </vt:variant>
      <vt:variant>
        <vt:lpwstr>http://www.mdhs.unimelb.edu.au/</vt:lpwstr>
      </vt:variant>
      <vt:variant>
        <vt:lpwstr/>
      </vt:variant>
      <vt:variant>
        <vt:i4>6488118</vt:i4>
      </vt:variant>
      <vt:variant>
        <vt:i4>29</vt:i4>
      </vt:variant>
      <vt:variant>
        <vt:i4>0</vt:i4>
      </vt:variant>
      <vt:variant>
        <vt:i4>5</vt:i4>
      </vt:variant>
      <vt:variant>
        <vt:lpwstr>http://joining.unimelb.edu.au/</vt:lpwstr>
      </vt:variant>
      <vt:variant>
        <vt:lpwstr/>
      </vt:variant>
      <vt:variant>
        <vt:i4>1310792</vt:i4>
      </vt:variant>
      <vt:variant>
        <vt:i4>26</vt:i4>
      </vt:variant>
      <vt:variant>
        <vt:i4>0</vt:i4>
      </vt:variant>
      <vt:variant>
        <vt:i4>5</vt:i4>
      </vt:variant>
      <vt:variant>
        <vt:lpwstr>http://hr.unimelb.edu.au/careers</vt:lpwstr>
      </vt:variant>
      <vt:variant>
        <vt:lpwstr/>
      </vt:variant>
      <vt:variant>
        <vt:i4>1310792</vt:i4>
      </vt:variant>
      <vt:variant>
        <vt:i4>17</vt:i4>
      </vt:variant>
      <vt:variant>
        <vt:i4>0</vt:i4>
      </vt:variant>
      <vt:variant>
        <vt:i4>5</vt:i4>
      </vt:variant>
      <vt:variant>
        <vt:lpwstr>http://hr.unimelb.edu.au/careers</vt:lpwstr>
      </vt:variant>
      <vt:variant>
        <vt:lpwstr/>
      </vt:variant>
      <vt:variant>
        <vt:i4>1179740</vt:i4>
      </vt:variant>
      <vt:variant>
        <vt:i4>12</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Angela Panetta</cp:lastModifiedBy>
  <cp:revision>2</cp:revision>
  <cp:lastPrinted>2016-10-04T01:16:00Z</cp:lastPrinted>
  <dcterms:created xsi:type="dcterms:W3CDTF">2019-08-13T00:15:00Z</dcterms:created>
  <dcterms:modified xsi:type="dcterms:W3CDTF">2019-08-13T00:15:00Z</dcterms:modified>
</cp:coreProperties>
</file>